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2346960</wp:posOffset>
            </wp:positionH>
            <wp:positionV relativeFrom="page">
              <wp:posOffset>1947545</wp:posOffset>
            </wp:positionV>
            <wp:extent cx="2764790" cy="12312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764790" cy="12312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Candel Therapeutics, Inc.</w:t>
      </w:r>
    </w:p>
    <w:p>
      <w:pPr>
        <w:jc w:val="center"/>
        <w:ind w:right="-39"/>
        <w:spacing w:after="0"/>
        <w:rPr>
          <w:sz w:val="20"/>
          <w:szCs w:val="20"/>
          <w:color w:val="auto"/>
        </w:rPr>
      </w:pPr>
      <w:r>
        <w:rPr>
          <w:rFonts w:ascii="Arial" w:cs="Arial" w:eastAsia="Arial" w:hAnsi="Arial"/>
          <w:sz w:val="18"/>
          <w:szCs w:val="18"/>
          <w:b w:val="1"/>
          <w:bCs w:val="1"/>
          <w:color w:val="auto"/>
        </w:rPr>
        <w:t>202</w:t>
      </w:r>
      <w:r>
        <w:rPr>
          <w:rFonts w:ascii="Calibri" w:cs="Calibri" w:eastAsia="Calibri" w:hAnsi="Calibri"/>
          <w:sz w:val="18"/>
          <w:szCs w:val="18"/>
          <w:color w:val="auto"/>
        </w:rPr>
        <w:t>3</w:t>
      </w:r>
      <w:r>
        <w:rPr>
          <w:rFonts w:ascii="Arial" w:cs="Arial" w:eastAsia="Arial" w:hAnsi="Arial"/>
          <w:sz w:val="18"/>
          <w:szCs w:val="18"/>
          <w:b w:val="1"/>
          <w:bCs w:val="1"/>
          <w:color w:val="auto"/>
        </w:rPr>
        <w:t xml:space="preserve"> Annual Report to Securityholders</w:t>
      </w:r>
    </w:p>
    <w:p>
      <w:pPr>
        <w:sectPr>
          <w:pgSz w:w="12240" w:h="15840" w:orient="portrait"/>
          <w:cols w:equalWidth="0" w:num="1">
            <w:col w:w="9360"/>
          </w:cols>
          <w:pgMar w:left="1440" w:top="1440"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32"/>
          <w:szCs w:val="32"/>
          <w:b w:val="1"/>
          <w:bCs w:val="1"/>
          <w:color w:val="auto"/>
        </w:rPr>
        <mc:AlternateContent>
          <mc:Choice Requires="wps">
            <w:drawing>
              <wp:anchor simplePos="0" relativeHeight="251657728" behindDoc="1" locked="0" layoutInCell="0" allowOverlap="1">
                <wp:simplePos x="0" y="0"/>
                <wp:positionH relativeFrom="page">
                  <wp:posOffset>438785</wp:posOffset>
                </wp:positionH>
                <wp:positionV relativeFrom="page">
                  <wp:posOffset>505460</wp:posOffset>
                </wp:positionV>
                <wp:extent cx="689483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4.55pt,39.8pt" to="577.45pt,39.8pt" o:allowincell="f" strokecolor="#000000" strokeweight="0.75pt">
                <w10:wrap anchorx="page" anchory="page"/>
              </v:line>
            </w:pict>
          </mc:Fallback>
        </mc:AlternateContent>
        <mc:AlternateContent>
          <mc:Choice Requires="wps">
            <w:drawing>
              <wp:anchor simplePos="0" relativeHeight="251657728" behindDoc="1" locked="0" layoutInCell="0" allowOverlap="1">
                <wp:simplePos x="0" y="0"/>
                <wp:positionH relativeFrom="page">
                  <wp:posOffset>438785</wp:posOffset>
                </wp:positionH>
                <wp:positionV relativeFrom="page">
                  <wp:posOffset>524510</wp:posOffset>
                </wp:positionV>
                <wp:extent cx="689483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4.55pt,41.3pt" to="577.45pt,41.3pt" o:allowincell="f" strokecolor="#000000" strokeweight="0.75pt">
                <w10:wrap anchorx="page" anchory="page"/>
              </v:line>
            </w:pict>
          </mc:Fallback>
        </mc:AlternateContent>
        <w:t>UNITED STATES</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2724785</wp:posOffset>
                </wp:positionH>
                <wp:positionV relativeFrom="paragraph">
                  <wp:posOffset>58420</wp:posOffset>
                </wp:positionV>
                <wp:extent cx="140843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843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5pt,4.6pt" to="325.45pt,4.6pt" o:allowincell="f" strokecolor="#000000" strokeweight="1pt"/>
            </w:pict>
          </mc:Fallback>
        </mc:AlternateConten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2724785</wp:posOffset>
                </wp:positionH>
                <wp:positionV relativeFrom="paragraph">
                  <wp:posOffset>89535</wp:posOffset>
                </wp:positionV>
                <wp:extent cx="140843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843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5pt,7.05pt" to="325.45pt,7.05pt" o:allowincell="f" strokecolor="#000000" strokeweight="1pt"/>
            </w:pict>
          </mc:Fallback>
        </mc:AlternateConten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9" w:lineRule="exact"/>
        <w:rPr>
          <w:sz w:val="20"/>
          <w:szCs w:val="20"/>
          <w:color w:val="auto"/>
        </w:rPr>
      </w:pPr>
    </w:p>
    <w:p>
      <w:pPr>
        <w:ind w:left="440" w:hanging="426"/>
        <w:spacing w:after="0"/>
        <w:tabs>
          <w:tab w:leader="none" w:pos="440" w:val="left"/>
        </w:tabs>
        <w:numPr>
          <w:ilvl w:val="0"/>
          <w:numId w:val="1"/>
        </w:numPr>
        <w:rPr>
          <w:rFonts w:ascii="MS PGothic" w:cs="MS PGothic" w:eastAsia="MS PGothic" w:hAnsi="MS PGothic"/>
          <w:sz w:val="18"/>
          <w:szCs w:val="18"/>
          <w:b w:val="1"/>
          <w:bCs w:val="1"/>
          <w:color w:val="auto"/>
        </w:rPr>
      </w:pPr>
      <w:r>
        <w:rPr>
          <w:rFonts w:ascii="Arial" w:cs="Arial" w:eastAsia="Arial" w:hAnsi="Arial"/>
          <w:sz w:val="18"/>
          <w:szCs w:val="18"/>
          <w:b w:val="1"/>
          <w:bCs w:val="1"/>
          <w:color w:val="auto"/>
        </w:rPr>
        <w:t>ANNUAL REPORT PURSUANT TO SECTION 13 OR 15(d) OF THE SECURITIES EXCHANGE ACT OF 1934</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2023</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0" w:lineRule="exact"/>
        <w:rPr>
          <w:sz w:val="20"/>
          <w:szCs w:val="20"/>
          <w:color w:val="auto"/>
        </w:rPr>
      </w:pPr>
    </w:p>
    <w:p>
      <w:pPr>
        <w:ind w:left="440" w:hanging="426"/>
        <w:spacing w:after="0"/>
        <w:tabs>
          <w:tab w:leader="none" w:pos="440" w:val="left"/>
        </w:tabs>
        <w:numPr>
          <w:ilvl w:val="0"/>
          <w:numId w:val="2"/>
        </w:numPr>
        <w:rPr>
          <w:rFonts w:ascii="MS PGothic" w:cs="MS PGothic" w:eastAsia="MS PGothic" w:hAnsi="MS PGothic"/>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 FOR THE</w:t>
      </w:r>
    </w:p>
    <w:p>
      <w:pPr>
        <w:spacing w:after="0" w:line="26" w:lineRule="exact"/>
        <w:rPr>
          <w:sz w:val="20"/>
          <w:szCs w:val="20"/>
          <w:color w:val="auto"/>
        </w:rPr>
      </w:pPr>
    </w:p>
    <w:p>
      <w:pPr>
        <w:ind w:left="440"/>
        <w:spacing w:after="0"/>
        <w:tabs>
          <w:tab w:leader="none" w:pos="3940" w:val="left"/>
        </w:tabs>
        <w:rPr>
          <w:sz w:val="20"/>
          <w:szCs w:val="20"/>
          <w:color w:val="auto"/>
        </w:rPr>
      </w:pPr>
      <w:r>
        <w:rPr>
          <w:rFonts w:ascii="Arial" w:cs="Arial" w:eastAsia="Arial" w:hAnsi="Arial"/>
          <w:sz w:val="18"/>
          <w:szCs w:val="18"/>
          <w:b w:val="1"/>
          <w:bCs w:val="1"/>
          <w:color w:val="auto"/>
        </w:rPr>
        <w:t>TRANSITION PERIOD FROM</w:t>
      </w:r>
      <w:r>
        <w:rPr>
          <w:sz w:val="20"/>
          <w:szCs w:val="20"/>
          <w:color w:val="auto"/>
        </w:rPr>
        <w:tab/>
      </w:r>
      <w:r>
        <w:rPr>
          <w:rFonts w:ascii="Arial" w:cs="Arial" w:eastAsia="Arial" w:hAnsi="Arial"/>
          <w:sz w:val="18"/>
          <w:szCs w:val="18"/>
          <w:b w:val="1"/>
          <w:bCs w:val="1"/>
          <w:color w:val="auto"/>
        </w:rPr>
        <w:t>TO</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Commission File Number 001-40629</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6"/>
          <w:szCs w:val="6"/>
          <w:color w:val="auto"/>
        </w:rPr>
        <w:t>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2724785</wp:posOffset>
                </wp:positionH>
                <wp:positionV relativeFrom="paragraph">
                  <wp:posOffset>17780</wp:posOffset>
                </wp:positionV>
                <wp:extent cx="140843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843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5pt,1.4pt" to="325.45pt,1.4pt" o:allowincell="f" strokecolor="#000000" strokeweight="1pt"/>
            </w:pict>
          </mc:Fallback>
        </mc:AlternateConten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40"/>
          <w:szCs w:val="40"/>
          <w:b w:val="1"/>
          <w:bCs w:val="1"/>
          <w:color w:val="auto"/>
        </w:rPr>
        <w:t>CANDEL THERAPEUTICS, INC.</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2724785</wp:posOffset>
                </wp:positionH>
                <wp:positionV relativeFrom="paragraph">
                  <wp:posOffset>59055</wp:posOffset>
                </wp:positionV>
                <wp:extent cx="140843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843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5pt,4.65pt" to="325.45pt,4.65pt" o:allowincell="f" strokecolor="#000000" strokeweight="1pt"/>
            </w:pict>
          </mc:Fallback>
        </mc:AlternateContent>
      </w:r>
    </w:p>
    <w:p>
      <w:pPr>
        <w:sectPr>
          <w:pgSz w:w="12240" w:h="15840" w:orient="portrait"/>
          <w:cols w:equalWidth="0" w:num="1">
            <w:col w:w="10800"/>
          </w:cols>
          <w:pgMar w:left="720" w:top="954" w:right="720" w:bottom="585" w:gutter="0" w:footer="0" w:header="0"/>
        </w:sectPr>
      </w:pPr>
    </w:p>
    <w:p>
      <w:pPr>
        <w:spacing w:after="0" w:line="150" w:lineRule="exact"/>
        <w:rPr>
          <w:sz w:val="20"/>
          <w:szCs w:val="20"/>
          <w:color w:val="auto"/>
        </w:rPr>
      </w:pPr>
    </w:p>
    <w:p>
      <w:pPr>
        <w:jc w:val="center"/>
        <w:ind w:right="1380"/>
        <w:spacing w:after="0"/>
        <w:rPr>
          <w:sz w:val="20"/>
          <w:szCs w:val="20"/>
          <w:color w:val="auto"/>
        </w:rPr>
      </w:pPr>
      <w:r>
        <w:rPr>
          <w:rFonts w:ascii="Arial" w:cs="Arial" w:eastAsia="Arial" w:hAnsi="Arial"/>
          <w:sz w:val="19"/>
          <w:szCs w:val="19"/>
          <w:b w:val="1"/>
          <w:bCs w:val="1"/>
          <w:color w:val="auto"/>
        </w:rPr>
        <w:t>Delaware</w:t>
      </w:r>
    </w:p>
    <w:p>
      <w:pPr>
        <w:spacing w:after="0" w:line="26" w:lineRule="exact"/>
        <w:rPr>
          <w:sz w:val="20"/>
          <w:szCs w:val="20"/>
          <w:color w:val="auto"/>
        </w:rPr>
      </w:pPr>
    </w:p>
    <w:p>
      <w:pPr>
        <w:ind w:left="1740"/>
        <w:spacing w:after="0"/>
        <w:rPr>
          <w:sz w:val="20"/>
          <w:szCs w:val="20"/>
          <w:color w:val="auto"/>
        </w:rPr>
      </w:pPr>
      <w:r>
        <w:rPr>
          <w:rFonts w:ascii="Arial" w:cs="Arial" w:eastAsia="Arial" w:hAnsi="Arial"/>
          <w:sz w:val="14"/>
          <w:szCs w:val="14"/>
          <w:b w:val="1"/>
          <w:bCs w:val="1"/>
          <w:color w:val="auto"/>
        </w:rPr>
        <w:t>(State or other jurisdiction of</w:t>
      </w:r>
    </w:p>
    <w:p>
      <w:pPr>
        <w:ind w:left="170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auto"/>
        </w:rPr>
        <w:t>52-2214851</w:t>
      </w:r>
    </w:p>
    <w:p>
      <w:pPr>
        <w:spacing w:after="0" w:line="41" w:lineRule="exact"/>
        <w:rPr>
          <w:sz w:val="20"/>
          <w:szCs w:val="20"/>
          <w:color w:val="auto"/>
        </w:rPr>
      </w:pPr>
    </w:p>
    <w:p>
      <w:pPr>
        <w:jc w:val="center"/>
        <w:ind w:right="2120"/>
        <w:spacing w:after="0"/>
        <w:rPr>
          <w:sz w:val="20"/>
          <w:szCs w:val="20"/>
          <w:color w:val="auto"/>
        </w:rPr>
      </w:pPr>
      <w:r>
        <w:rPr>
          <w:rFonts w:ascii="Arial" w:cs="Arial" w:eastAsia="Arial" w:hAnsi="Arial"/>
          <w:sz w:val="14"/>
          <w:szCs w:val="14"/>
          <w:b w:val="1"/>
          <w:bCs w:val="1"/>
          <w:color w:val="auto"/>
        </w:rPr>
        <w:t>(I.R.S. Employer</w:t>
      </w:r>
    </w:p>
    <w:p>
      <w:pPr>
        <w:jc w:val="center"/>
        <w:ind w:right="2120"/>
        <w:spacing w:after="0"/>
        <w:rPr>
          <w:sz w:val="20"/>
          <w:szCs w:val="20"/>
          <w:color w:val="auto"/>
        </w:rPr>
      </w:pPr>
      <w:r>
        <w:rPr>
          <w:rFonts w:ascii="Arial" w:cs="Arial" w:eastAsia="Arial" w:hAnsi="Arial"/>
          <w:sz w:val="13"/>
          <w:szCs w:val="13"/>
          <w:b w:val="1"/>
          <w:bCs w:val="1"/>
          <w:color w:val="auto"/>
        </w:rPr>
        <w:t>Identification No.)</w:t>
      </w:r>
    </w:p>
    <w:p>
      <w:pPr>
        <w:spacing w:after="0" w:line="45" w:lineRule="exact"/>
        <w:rPr>
          <w:sz w:val="20"/>
          <w:szCs w:val="20"/>
          <w:color w:val="auto"/>
        </w:rPr>
      </w:pPr>
    </w:p>
    <w:p>
      <w:pPr>
        <w:sectPr>
          <w:pgSz w:w="12240" w:h="15840" w:orient="portrait"/>
          <w:cols w:equalWidth="0" w:num="2">
            <w:col w:w="6780" w:space="720"/>
            <w:col w:w="3300"/>
          </w:cols>
          <w:pgMar w:left="720" w:top="954" w:right="720" w:bottom="585" w:gutter="0" w:footer="0" w:header="0"/>
          <w:type w:val="continuous"/>
        </w:sectPr>
      </w:pPr>
    </w:p>
    <w:tbl>
      <w:tblPr>
        <w:tblLayout w:type="fixed"/>
        <w:tblInd w:w="1380" w:type="dxa"/>
        <w:tblCellMar>
          <w:top w:w="0" w:type="dxa"/>
          <w:left w:w="0" w:type="dxa"/>
          <w:bottom w:w="0" w:type="dxa"/>
          <w:right w:w="0" w:type="dxa"/>
        </w:tblCellMar>
      </w:tblPr>
      <w:tr>
        <w:trPr>
          <w:trHeight w:val="233"/>
        </w:trPr>
        <w:tc>
          <w:tcPr>
            <w:tcW w:w="4500" w:type="dxa"/>
            <w:vAlign w:val="bottom"/>
          </w:tcPr>
          <w:p>
            <w:pPr>
              <w:jc w:val="center"/>
              <w:ind w:right="1773"/>
              <w:spacing w:after="0"/>
              <w:rPr>
                <w:sz w:val="20"/>
                <w:szCs w:val="20"/>
                <w:color w:val="auto"/>
              </w:rPr>
            </w:pPr>
            <w:r>
              <w:rPr>
                <w:rFonts w:ascii="Arial" w:cs="Arial" w:eastAsia="Arial" w:hAnsi="Arial"/>
                <w:sz w:val="19"/>
                <w:szCs w:val="19"/>
                <w:b w:val="1"/>
                <w:bCs w:val="1"/>
                <w:color w:val="auto"/>
                <w:w w:val="99"/>
              </w:rPr>
              <w:t>117 Kendrick St, Suite 450</w:t>
            </w:r>
          </w:p>
        </w:tc>
        <w:tc>
          <w:tcPr>
            <w:tcW w:w="2560" w:type="dxa"/>
            <w:vAlign w:val="bottom"/>
          </w:tcPr>
          <w:p>
            <w:pPr>
              <w:spacing w:after="0"/>
              <w:rPr>
                <w:sz w:val="20"/>
                <w:szCs w:val="20"/>
                <w:color w:val="auto"/>
              </w:rPr>
            </w:pPr>
          </w:p>
        </w:tc>
      </w:tr>
      <w:tr>
        <w:trPr>
          <w:trHeight w:val="240"/>
        </w:trPr>
        <w:tc>
          <w:tcPr>
            <w:tcW w:w="4500" w:type="dxa"/>
            <w:vAlign w:val="bottom"/>
          </w:tcPr>
          <w:p>
            <w:pPr>
              <w:jc w:val="center"/>
              <w:ind w:right="1793"/>
              <w:spacing w:after="0"/>
              <w:rPr>
                <w:sz w:val="20"/>
                <w:szCs w:val="20"/>
                <w:color w:val="auto"/>
              </w:rPr>
            </w:pPr>
            <w:r>
              <w:rPr>
                <w:rFonts w:ascii="Arial" w:cs="Arial" w:eastAsia="Arial" w:hAnsi="Arial"/>
                <w:sz w:val="19"/>
                <w:szCs w:val="19"/>
                <w:b w:val="1"/>
                <w:bCs w:val="1"/>
                <w:color w:val="auto"/>
              </w:rPr>
              <w:t>Needham, MA</w:t>
            </w:r>
          </w:p>
        </w:tc>
        <w:tc>
          <w:tcPr>
            <w:tcW w:w="2560" w:type="dxa"/>
            <w:vAlign w:val="bottom"/>
          </w:tcPr>
          <w:p>
            <w:pPr>
              <w:jc w:val="right"/>
              <w:spacing w:after="0"/>
              <w:rPr>
                <w:sz w:val="20"/>
                <w:szCs w:val="20"/>
                <w:color w:val="auto"/>
              </w:rPr>
            </w:pPr>
            <w:r>
              <w:rPr>
                <w:rFonts w:ascii="Arial" w:cs="Arial" w:eastAsia="Arial" w:hAnsi="Arial"/>
                <w:sz w:val="19"/>
                <w:szCs w:val="19"/>
                <w:b w:val="1"/>
                <w:bCs w:val="1"/>
                <w:color w:val="auto"/>
              </w:rPr>
              <w:t>02494</w:t>
            </w:r>
          </w:p>
        </w:tc>
      </w:tr>
      <w:tr>
        <w:trPr>
          <w:trHeight w:val="199"/>
        </w:trPr>
        <w:tc>
          <w:tcPr>
            <w:tcW w:w="4500" w:type="dxa"/>
            <w:vAlign w:val="bottom"/>
          </w:tcPr>
          <w:p>
            <w:pPr>
              <w:jc w:val="center"/>
              <w:ind w:right="1793"/>
              <w:spacing w:after="0"/>
              <w:rPr>
                <w:sz w:val="20"/>
                <w:szCs w:val="20"/>
                <w:color w:val="auto"/>
              </w:rPr>
            </w:pPr>
            <w:r>
              <w:rPr>
                <w:rFonts w:ascii="Arial" w:cs="Arial" w:eastAsia="Arial" w:hAnsi="Arial"/>
                <w:sz w:val="14"/>
                <w:szCs w:val="14"/>
                <w:b w:val="1"/>
                <w:bCs w:val="1"/>
                <w:color w:val="auto"/>
              </w:rPr>
              <w:t>(Address of principal executive offices)</w:t>
            </w:r>
          </w:p>
        </w:tc>
        <w:tc>
          <w:tcPr>
            <w:tcW w:w="2560" w:type="dxa"/>
            <w:vAlign w:val="bottom"/>
          </w:tcPr>
          <w:p>
            <w:pPr>
              <w:jc w:val="center"/>
              <w:ind w:left="1778"/>
              <w:spacing w:after="0"/>
              <w:rPr>
                <w:sz w:val="20"/>
                <w:szCs w:val="20"/>
                <w:color w:val="auto"/>
              </w:rPr>
            </w:pPr>
            <w:r>
              <w:rPr>
                <w:rFonts w:ascii="Arial" w:cs="Arial" w:eastAsia="Arial" w:hAnsi="Arial"/>
                <w:sz w:val="14"/>
                <w:szCs w:val="14"/>
                <w:b w:val="1"/>
                <w:bCs w:val="1"/>
                <w:color w:val="auto"/>
              </w:rPr>
              <w:t>(Zip Code)</w:t>
            </w:r>
          </w:p>
        </w:tc>
      </w:tr>
    </w:tbl>
    <w:p>
      <w:pPr>
        <w:spacing w:after="0" w:line="18"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Registrant’s telephone number, including area code: (617) 916-5445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2724785</wp:posOffset>
                </wp:positionH>
                <wp:positionV relativeFrom="paragraph">
                  <wp:posOffset>75565</wp:posOffset>
                </wp:positionV>
                <wp:extent cx="140843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843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5pt,5.95pt" to="325.45pt,5.95pt" o:allowincell="f" strokecolor="#000000" strokeweight="1pt"/>
            </w:pict>
          </mc:Fallback>
        </mc:AlternateConten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jc w:val="center"/>
              <w:ind w:right="298"/>
              <w:spacing w:after="0"/>
              <w:rPr>
                <w:sz w:val="20"/>
                <w:szCs w:val="20"/>
                <w:color w:val="auto"/>
              </w:rPr>
            </w:pPr>
            <w:r>
              <w:rPr>
                <w:rFonts w:ascii="Arial" w:cs="Arial" w:eastAsia="Arial" w:hAnsi="Arial"/>
                <w:sz w:val="16"/>
                <w:szCs w:val="16"/>
                <w:b w:val="1"/>
                <w:bCs w:val="1"/>
                <w:color w:val="auto"/>
              </w:rPr>
              <w:t>Trading</w:t>
            </w:r>
          </w:p>
        </w:tc>
        <w:tc>
          <w:tcPr>
            <w:tcW w:w="100" w:type="dxa"/>
            <w:vAlign w:val="bottom"/>
          </w:tcPr>
          <w:p>
            <w:pPr>
              <w:spacing w:after="0"/>
              <w:rPr>
                <w:sz w:val="16"/>
                <w:szCs w:val="16"/>
                <w:color w:val="auto"/>
              </w:rPr>
            </w:pPr>
          </w:p>
        </w:tc>
        <w:tc>
          <w:tcPr>
            <w:tcW w:w="4860" w:type="dxa"/>
            <w:vAlign w:val="bottom"/>
          </w:tcPr>
          <w:p>
            <w:pPr>
              <w:spacing w:after="0"/>
              <w:rPr>
                <w:sz w:val="16"/>
                <w:szCs w:val="16"/>
                <w:color w:val="auto"/>
              </w:rPr>
            </w:pPr>
          </w:p>
        </w:tc>
      </w:tr>
      <w:tr>
        <w:trPr>
          <w:trHeight w:val="203"/>
        </w:trPr>
        <w:tc>
          <w:tcPr>
            <w:tcW w:w="458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rPr>
              <w:t>Title of each class</w:t>
            </w:r>
          </w:p>
        </w:tc>
        <w:tc>
          <w:tcPr>
            <w:tcW w:w="1260" w:type="dxa"/>
            <w:vAlign w:val="bottom"/>
          </w:tcPr>
          <w:p>
            <w:pPr>
              <w:jc w:val="center"/>
              <w:ind w:right="298"/>
              <w:spacing w:after="0"/>
              <w:rPr>
                <w:sz w:val="20"/>
                <w:szCs w:val="20"/>
                <w:color w:val="auto"/>
              </w:rPr>
            </w:pPr>
            <w:r>
              <w:rPr>
                <w:rFonts w:ascii="Arial" w:cs="Arial" w:eastAsia="Arial" w:hAnsi="Arial"/>
                <w:sz w:val="16"/>
                <w:szCs w:val="16"/>
                <w:b w:val="1"/>
                <w:bCs w:val="1"/>
                <w:color w:val="auto"/>
                <w:w w:val="98"/>
              </w:rPr>
              <w:t>Symbol(s)</w:t>
            </w:r>
          </w:p>
        </w:tc>
        <w:tc>
          <w:tcPr>
            <w:tcW w:w="100" w:type="dxa"/>
            <w:vAlign w:val="bottom"/>
          </w:tcPr>
          <w:p>
            <w:pPr>
              <w:spacing w:after="0"/>
              <w:rPr>
                <w:sz w:val="17"/>
                <w:szCs w:val="17"/>
                <w:color w:val="auto"/>
              </w:rPr>
            </w:pPr>
          </w:p>
        </w:tc>
        <w:tc>
          <w:tcPr>
            <w:tcW w:w="486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20"/>
        </w:trPr>
        <w:tc>
          <w:tcPr>
            <w:tcW w:w="41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9"/>
              </w:rPr>
              <w:t>Common Stock, par value $0.01 per share</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center"/>
              <w:ind w:right="298"/>
              <w:spacing w:after="0"/>
              <w:rPr>
                <w:sz w:val="20"/>
                <w:szCs w:val="20"/>
                <w:color w:val="auto"/>
              </w:rPr>
            </w:pPr>
            <w:r>
              <w:rPr>
                <w:rFonts w:ascii="Arial" w:cs="Arial" w:eastAsia="Arial" w:hAnsi="Arial"/>
                <w:sz w:val="17"/>
                <w:szCs w:val="17"/>
                <w:color w:val="auto"/>
                <w:w w:val="96"/>
              </w:rPr>
              <w:t>CADL</w:t>
            </w:r>
          </w:p>
        </w:tc>
        <w:tc>
          <w:tcPr>
            <w:tcW w:w="100" w:type="dxa"/>
            <w:vAlign w:val="bottom"/>
          </w:tcPr>
          <w:p>
            <w:pPr>
              <w:spacing w:after="0"/>
              <w:rPr>
                <w:sz w:val="19"/>
                <w:szCs w:val="19"/>
                <w:color w:val="auto"/>
              </w:rPr>
            </w:pPr>
          </w:p>
        </w:tc>
        <w:tc>
          <w:tcPr>
            <w:tcW w:w="486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9"/>
              </w:rPr>
              <w:t>The Nasdaq Global Market</w:t>
            </w:r>
          </w:p>
        </w:tc>
      </w:tr>
      <w:tr>
        <w:trPr>
          <w:trHeight w:val="236"/>
        </w:trPr>
        <w:tc>
          <w:tcPr>
            <w:tcW w:w="4580" w:type="dxa"/>
            <w:vAlign w:val="bottom"/>
            <w:gridSpan w:val="3"/>
          </w:tcPr>
          <w:p>
            <w:pPr>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2606040</wp:posOffset>
                </wp:positionH>
                <wp:positionV relativeFrom="paragraph">
                  <wp:posOffset>-298450</wp:posOffset>
                </wp:positionV>
                <wp:extent cx="6858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 cy="4763"/>
                        </a:xfrm>
                        <a:prstGeom prst="line">
                          <a:avLst/>
                        </a:prstGeom>
                        <a:solidFill>
                          <a:srgbClr val="FFFFFF"/>
                        </a:solidFill>
                        <a:ln w="6350">
                          <a:solidFill>
                            <a:srgbClr val="FFFFFF"/>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5.2pt,-23.4999pt" to="210.6pt,-23.4999pt" o:allowincell="f" strokecolor="#FFFFFF" strokeweight="0.5pt"/>
            </w:pict>
          </mc:Fallback>
        </mc:AlternateContent>
        <mc:AlternateContent>
          <mc:Choice Requires="wps">
            <w:drawing>
              <wp:anchor simplePos="0" relativeHeight="251657728" behindDoc="1" locked="0" layoutInCell="0" allowOverlap="1">
                <wp:simplePos x="0" y="0"/>
                <wp:positionH relativeFrom="column">
                  <wp:posOffset>3703320</wp:posOffset>
                </wp:positionH>
                <wp:positionV relativeFrom="paragraph">
                  <wp:posOffset>-298450</wp:posOffset>
                </wp:positionV>
                <wp:extent cx="6858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 cy="4763"/>
                        </a:xfrm>
                        <a:prstGeom prst="line">
                          <a:avLst/>
                        </a:prstGeom>
                        <a:solidFill>
                          <a:srgbClr val="FFFFFF"/>
                        </a:solidFill>
                        <a:ln w="6350">
                          <a:solidFill>
                            <a:srgbClr val="FFFFFF"/>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1.6pt,-23.4999pt" to="297pt,-23.4999pt" o:allowincell="f" strokecolor="#FFFFFF" strokeweight="0.5pt"/>
            </w:pict>
          </mc:Fallback>
        </mc:AlternateContent>
      </w:r>
    </w:p>
    <w:p>
      <w:pPr>
        <w:ind w:right="1280"/>
        <w:spacing w:after="0" w:line="309" w:lineRule="auto"/>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Segoe UI Symbol" w:cs="Segoe UI Symbol" w:eastAsia="Segoe UI Symbol" w:hAnsi="Segoe UI Symbol"/>
          <w:sz w:val="16"/>
          <w:szCs w:val="16"/>
          <w:color w:val="auto"/>
        </w:rPr>
        <w:t>☐</w:t>
      </w:r>
      <w:r>
        <w:rPr>
          <w:rFonts w:ascii="Arial" w:cs="Arial" w:eastAsia="Arial" w:hAnsi="Arial"/>
          <w:sz w:val="16"/>
          <w:szCs w:val="16"/>
          <w:color w:val="auto"/>
        </w:rPr>
        <w:t xml:space="preserve"> NO </w:t>
      </w:r>
      <w:r>
        <w:rPr>
          <w:rFonts w:ascii="Segoe UI Symbol" w:cs="Segoe UI Symbol" w:eastAsia="Segoe UI Symbol" w:hAnsi="Segoe UI Symbol"/>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15(d) of the Act. YES </w:t>
      </w:r>
      <w:r>
        <w:rPr>
          <w:rFonts w:ascii="Segoe UI Symbol" w:cs="Segoe UI Symbol" w:eastAsia="Segoe UI Symbol" w:hAnsi="Segoe UI Symbol"/>
          <w:sz w:val="16"/>
          <w:szCs w:val="16"/>
          <w:color w:val="auto"/>
        </w:rPr>
        <w:t>☐</w:t>
      </w:r>
      <w:r>
        <w:rPr>
          <w:rFonts w:ascii="Arial" w:cs="Arial" w:eastAsia="Arial" w:hAnsi="Arial"/>
          <w:sz w:val="16"/>
          <w:szCs w:val="16"/>
          <w:color w:val="auto"/>
        </w:rPr>
        <w:t xml:space="preserve"> NO </w:t>
      </w:r>
      <w:r>
        <w:rPr>
          <w:rFonts w:ascii="Segoe UI Symbol" w:cs="Segoe UI Symbol" w:eastAsia="Segoe UI Symbol" w:hAnsi="Segoe UI Symbol"/>
          <w:sz w:val="16"/>
          <w:szCs w:val="16"/>
          <w:color w:val="auto"/>
        </w:rPr>
        <w:t>☒</w:t>
      </w:r>
    </w:p>
    <w:p>
      <w:pPr>
        <w:spacing w:after="0" w:line="1"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0"/>
          <w:szCs w:val="20"/>
          <w:color w:val="auto"/>
        </w:rPr>
      </w:pPr>
    </w:p>
    <w:p>
      <w:pPr>
        <w:spacing w:after="0"/>
        <w:tabs>
          <w:tab w:leader="none" w:pos="3220" w:val="left"/>
        </w:tabs>
        <w:rPr>
          <w:sz w:val="20"/>
          <w:szCs w:val="20"/>
          <w:color w:val="auto"/>
        </w:rPr>
      </w:pPr>
      <w:r>
        <w:rPr>
          <w:rFonts w:ascii="Arial" w:cs="Arial" w:eastAsia="Arial" w:hAnsi="Arial"/>
          <w:sz w:val="16"/>
          <w:szCs w:val="16"/>
          <w:color w:val="auto"/>
        </w:rPr>
        <w:t xml:space="preserve">requirements for the past 90 days. YES </w:t>
      </w:r>
      <w:r>
        <w:rPr>
          <w:rFonts w:ascii="Segoe UI Symbol" w:cs="Segoe UI Symbol" w:eastAsia="Segoe UI Symbol" w:hAnsi="Segoe UI Symbol"/>
          <w:sz w:val="16"/>
          <w:szCs w:val="16"/>
          <w:color w:val="auto"/>
        </w:rPr>
        <w:t>☒</w:t>
      </w:r>
      <w:r>
        <w:rPr>
          <w:sz w:val="20"/>
          <w:szCs w:val="20"/>
          <w:color w:val="auto"/>
        </w:rPr>
        <w:tab/>
      </w:r>
      <w:r>
        <w:rPr>
          <w:rFonts w:ascii="Arial" w:cs="Arial" w:eastAsia="Arial" w:hAnsi="Arial"/>
          <w:sz w:val="15"/>
          <w:szCs w:val="15"/>
          <w:color w:val="auto"/>
        </w:rPr>
        <w:t xml:space="preserve">NO </w:t>
      </w:r>
      <w:r>
        <w:rPr>
          <w:rFonts w:ascii="Segoe UI Symbol" w:cs="Segoe UI Symbol" w:eastAsia="Segoe UI Symbol" w:hAnsi="Segoe UI Symbol"/>
          <w:sz w:val="15"/>
          <w:szCs w:val="15"/>
          <w:color w:val="auto"/>
        </w:rPr>
        <w:t>☐</w:t>
      </w:r>
    </w:p>
    <w:p>
      <w:pPr>
        <w:spacing w:after="0" w:line="45" w:lineRule="exact"/>
        <w:rPr>
          <w:sz w:val="20"/>
          <w:szCs w:val="20"/>
          <w:color w:val="auto"/>
        </w:rPr>
      </w:pPr>
    </w:p>
    <w:p>
      <w:pPr>
        <w:ind w:right="120"/>
        <w:spacing w:after="0" w:line="266"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tabs>
          <w:tab w:leader="none" w:pos="1180" w:val="left"/>
        </w:tabs>
        <w:rPr>
          <w:sz w:val="20"/>
          <w:szCs w:val="20"/>
          <w:color w:val="auto"/>
        </w:rPr>
      </w:pPr>
      <w:r>
        <w:rPr>
          <w:rFonts w:ascii="Arial" w:cs="Arial" w:eastAsia="Arial" w:hAnsi="Arial"/>
          <w:sz w:val="16"/>
          <w:szCs w:val="16"/>
          <w:color w:val="auto"/>
        </w:rPr>
        <w:t xml:space="preserve">files). YES </w:t>
      </w:r>
      <w:r>
        <w:rPr>
          <w:rFonts w:ascii="Segoe UI Symbol" w:cs="Segoe UI Symbol" w:eastAsia="Segoe UI Symbol" w:hAnsi="Segoe UI Symbol"/>
          <w:sz w:val="16"/>
          <w:szCs w:val="16"/>
          <w:color w:val="auto"/>
        </w:rPr>
        <w:t>☒</w:t>
      </w:r>
      <w:r>
        <w:rPr>
          <w:sz w:val="20"/>
          <w:szCs w:val="20"/>
          <w:color w:val="auto"/>
        </w:rPr>
        <w:tab/>
      </w:r>
      <w:r>
        <w:rPr>
          <w:rFonts w:ascii="Arial" w:cs="Arial" w:eastAsia="Arial" w:hAnsi="Arial"/>
          <w:sz w:val="15"/>
          <w:szCs w:val="15"/>
          <w:color w:val="auto"/>
        </w:rPr>
        <w:t xml:space="preserve">NO </w:t>
      </w:r>
      <w:r>
        <w:rPr>
          <w:rFonts w:ascii="Segoe UI Symbol" w:cs="Segoe UI Symbol" w:eastAsia="Segoe UI Symbol" w:hAnsi="Segoe UI Symbol"/>
          <w:sz w:val="15"/>
          <w:szCs w:val="15"/>
          <w:color w:val="auto"/>
        </w:rPr>
        <w:t>☐</w:t>
      </w:r>
    </w:p>
    <w:p>
      <w:pPr>
        <w:spacing w:after="0" w:line="45"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8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20" w:type="dxa"/>
            <w:vAlign w:val="bottom"/>
          </w:tcPr>
          <w:p>
            <w:pPr>
              <w:ind w:left="260"/>
              <w:spacing w:after="0"/>
              <w:rPr>
                <w:sz w:val="20"/>
                <w:szCs w:val="20"/>
                <w:color w:val="auto"/>
              </w:rPr>
            </w:pPr>
            <w:r>
              <w:rPr>
                <w:rFonts w:ascii="Segoe UI Symbol" w:cs="Segoe UI Symbol" w:eastAsia="Segoe UI Symbol" w:hAnsi="Segoe UI Symbol"/>
                <w:sz w:val="16"/>
                <w:szCs w:val="16"/>
                <w:color w:val="auto"/>
              </w:rPr>
              <w:t>☐</w:t>
            </w:r>
          </w:p>
        </w:tc>
        <w:tc>
          <w:tcPr>
            <w:tcW w:w="5120" w:type="dxa"/>
            <w:vAlign w:val="bottom"/>
          </w:tcPr>
          <w:p>
            <w:pPr>
              <w:ind w:left="3000"/>
              <w:spacing w:after="0"/>
              <w:rPr>
                <w:sz w:val="20"/>
                <w:szCs w:val="20"/>
                <w:color w:val="auto"/>
              </w:rPr>
            </w:pPr>
            <w:r>
              <w:rPr>
                <w:rFonts w:ascii="Arial" w:cs="Arial" w:eastAsia="Arial" w:hAnsi="Arial"/>
                <w:sz w:val="16"/>
                <w:szCs w:val="16"/>
                <w:color w:val="auto"/>
              </w:rPr>
              <w:t>Accelerated filer</w:t>
            </w:r>
          </w:p>
        </w:tc>
        <w:tc>
          <w:tcPr>
            <w:tcW w:w="340" w:type="dxa"/>
            <w:vAlign w:val="bottom"/>
          </w:tcPr>
          <w:p>
            <w:pPr>
              <w:ind w:left="200"/>
              <w:spacing w:after="0"/>
              <w:rPr>
                <w:sz w:val="20"/>
                <w:szCs w:val="20"/>
                <w:color w:val="auto"/>
              </w:rPr>
            </w:pPr>
            <w:r>
              <w:rPr>
                <w:rFonts w:ascii="Segoe UI Symbol" w:cs="Segoe UI Symbol" w:eastAsia="Segoe UI Symbol" w:hAnsi="Segoe UI Symbol"/>
                <w:sz w:val="16"/>
                <w:szCs w:val="16"/>
                <w:color w:val="auto"/>
                <w:w w:val="86"/>
              </w:rPr>
              <w:t>☐</w:t>
            </w:r>
          </w:p>
        </w:tc>
      </w:tr>
      <w:tr>
        <w:trPr>
          <w:trHeight w:val="227"/>
        </w:trPr>
        <w:tc>
          <w:tcPr>
            <w:tcW w:w="1840" w:type="dxa"/>
            <w:vAlign w:val="bottom"/>
          </w:tcPr>
          <w:p>
            <w:pPr>
              <w:spacing w:after="0"/>
              <w:rPr>
                <w:sz w:val="20"/>
                <w:szCs w:val="20"/>
                <w:color w:val="auto"/>
              </w:rPr>
            </w:pPr>
            <w:r>
              <w:rPr>
                <w:rFonts w:ascii="Arial" w:cs="Arial" w:eastAsia="Arial" w:hAnsi="Arial"/>
                <w:sz w:val="16"/>
                <w:szCs w:val="16"/>
                <w:color w:val="auto"/>
              </w:rPr>
              <w:t>Non-accelerated filer</w:t>
            </w:r>
          </w:p>
        </w:tc>
        <w:tc>
          <w:tcPr>
            <w:tcW w:w="3420" w:type="dxa"/>
            <w:vAlign w:val="bottom"/>
          </w:tcPr>
          <w:p>
            <w:pPr>
              <w:ind w:left="260"/>
              <w:spacing w:after="0"/>
              <w:rPr>
                <w:sz w:val="20"/>
                <w:szCs w:val="20"/>
                <w:color w:val="auto"/>
              </w:rPr>
            </w:pPr>
            <w:r>
              <w:rPr>
                <w:rFonts w:ascii="Segoe UI Symbol" w:cs="Segoe UI Symbol" w:eastAsia="Segoe UI Symbol" w:hAnsi="Segoe UI Symbol"/>
                <w:sz w:val="16"/>
                <w:szCs w:val="16"/>
                <w:color w:val="auto"/>
              </w:rPr>
              <w:t>☒</w:t>
            </w:r>
          </w:p>
        </w:tc>
        <w:tc>
          <w:tcPr>
            <w:tcW w:w="5120" w:type="dxa"/>
            <w:vAlign w:val="bottom"/>
          </w:tcPr>
          <w:p>
            <w:pPr>
              <w:ind w:left="3000"/>
              <w:spacing w:after="0"/>
              <w:rPr>
                <w:sz w:val="20"/>
                <w:szCs w:val="20"/>
                <w:color w:val="auto"/>
              </w:rPr>
            </w:pPr>
            <w:r>
              <w:rPr>
                <w:rFonts w:ascii="Arial" w:cs="Arial" w:eastAsia="Arial" w:hAnsi="Arial"/>
                <w:sz w:val="16"/>
                <w:szCs w:val="16"/>
                <w:color w:val="auto"/>
              </w:rPr>
              <w:t>Smaller reporting company</w:t>
            </w:r>
          </w:p>
        </w:tc>
        <w:tc>
          <w:tcPr>
            <w:tcW w:w="340" w:type="dxa"/>
            <w:vAlign w:val="bottom"/>
          </w:tcPr>
          <w:p>
            <w:pPr>
              <w:ind w:left="200"/>
              <w:spacing w:after="0"/>
              <w:rPr>
                <w:sz w:val="20"/>
                <w:szCs w:val="20"/>
                <w:color w:val="auto"/>
              </w:rPr>
            </w:pPr>
            <w:r>
              <w:rPr>
                <w:rFonts w:ascii="Segoe UI Symbol" w:cs="Segoe UI Symbol" w:eastAsia="Segoe UI Symbol" w:hAnsi="Segoe UI Symbol"/>
                <w:sz w:val="16"/>
                <w:szCs w:val="16"/>
                <w:color w:val="auto"/>
                <w:w w:val="86"/>
              </w:rPr>
              <w:t>☒</w:t>
            </w:r>
          </w:p>
        </w:tc>
      </w:tr>
      <w:tr>
        <w:trPr>
          <w:trHeight w:val="261"/>
        </w:trPr>
        <w:tc>
          <w:tcPr>
            <w:tcW w:w="184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5120" w:type="dxa"/>
            <w:vAlign w:val="bottom"/>
          </w:tcPr>
          <w:p>
            <w:pPr>
              <w:ind w:left="3000"/>
              <w:spacing w:after="0"/>
              <w:rPr>
                <w:sz w:val="20"/>
                <w:szCs w:val="20"/>
                <w:color w:val="auto"/>
              </w:rPr>
            </w:pPr>
            <w:r>
              <w:rPr>
                <w:rFonts w:ascii="Arial" w:cs="Arial" w:eastAsia="Arial" w:hAnsi="Arial"/>
                <w:sz w:val="16"/>
                <w:szCs w:val="16"/>
                <w:color w:val="auto"/>
              </w:rPr>
              <w:t>Emerging growth company</w:t>
            </w:r>
          </w:p>
        </w:tc>
        <w:tc>
          <w:tcPr>
            <w:tcW w:w="340" w:type="dxa"/>
            <w:vAlign w:val="bottom"/>
          </w:tcPr>
          <w:p>
            <w:pPr>
              <w:ind w:left="200"/>
              <w:spacing w:after="0"/>
              <w:rPr>
                <w:sz w:val="20"/>
                <w:szCs w:val="20"/>
                <w:color w:val="auto"/>
              </w:rPr>
            </w:pPr>
            <w:r>
              <w:rPr>
                <w:rFonts w:ascii="Segoe UI Symbol" w:cs="Segoe UI Symbol" w:eastAsia="Segoe UI Symbol" w:hAnsi="Segoe UI Symbol"/>
                <w:sz w:val="16"/>
                <w:szCs w:val="16"/>
                <w:color w:val="auto"/>
                <w:w w:val="86"/>
              </w:rPr>
              <w:t>☒</w:t>
            </w:r>
          </w:p>
        </w:tc>
      </w:tr>
    </w:tbl>
    <w:p>
      <w:pPr>
        <w:spacing w:after="0" w:line="24"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Symbol" w:cs="Segoe UI Symbol" w:eastAsia="Segoe UI Symbol" w:hAnsi="Segoe UI Symbol"/>
          <w:sz w:val="16"/>
          <w:szCs w:val="16"/>
          <w:color w:val="auto"/>
        </w:rPr>
        <w:t>☐</w:t>
      </w:r>
    </w:p>
    <w:p>
      <w:pPr>
        <w:ind w:right="260"/>
        <w:spacing w:after="0" w:line="249" w:lineRule="auto"/>
        <w:rPr>
          <w:sz w:val="20"/>
          <w:szCs w:val="20"/>
          <w:color w:val="auto"/>
        </w:rPr>
      </w:pPr>
      <w:r>
        <w:rPr>
          <w:rFonts w:ascii="Arial" w:cs="Arial" w:eastAsia="Arial" w:hAnsi="Arial"/>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prepared or issued its audit report. </w:t>
      </w:r>
      <w:r>
        <w:rPr>
          <w:rFonts w:ascii="Segoe UI Symbol" w:cs="Segoe UI Symbol" w:eastAsia="Segoe UI Symbol" w:hAnsi="Segoe UI Symbol"/>
          <w:sz w:val="16"/>
          <w:szCs w:val="16"/>
          <w:color w:val="auto"/>
        </w:rPr>
        <w:t>☐</w:t>
      </w:r>
    </w:p>
    <w:p>
      <w:pPr>
        <w:spacing w:after="0" w:line="45"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Symbol" w:cs="Segoe UI Symbol" w:eastAsia="Segoe UI Symbol" w:hAnsi="Segoe UI Symbol"/>
          <w:sz w:val="16"/>
          <w:szCs w:val="16"/>
          <w:color w:val="auto"/>
        </w:rPr>
        <w:t>☐</w:t>
      </w:r>
    </w:p>
    <w:p>
      <w:pPr>
        <w:ind w:right="440"/>
        <w:spacing w:after="0" w:line="274" w:lineRule="auto"/>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Symbol" w:cs="Segoe UI Symbol" w:eastAsia="Segoe UI Symbol" w:hAnsi="Segoe UI Symbol"/>
          <w:sz w:val="16"/>
          <w:szCs w:val="16"/>
          <w:color w:val="auto"/>
        </w:rPr>
        <w:t>☐</w:t>
      </w:r>
    </w:p>
    <w:p>
      <w:pPr>
        <w:spacing w:after="0" w:line="1" w:lineRule="exact"/>
        <w:rPr>
          <w:sz w:val="20"/>
          <w:szCs w:val="20"/>
          <w:color w:val="auto"/>
        </w:rPr>
      </w:pPr>
    </w:p>
    <w:p>
      <w:pPr>
        <w:spacing w:after="0"/>
        <w:tabs>
          <w:tab w:leader="none" w:pos="878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Segoe UI Symbol" w:cs="Segoe UI Symbol" w:eastAsia="Segoe UI Symbol" w:hAnsi="Segoe UI Symbol"/>
          <w:sz w:val="16"/>
          <w:szCs w:val="16"/>
          <w:color w:val="auto"/>
        </w:rPr>
        <w:t>☐</w:t>
      </w:r>
      <w:r>
        <w:rPr>
          <w:rFonts w:ascii="Arial" w:cs="Arial" w:eastAsia="Arial" w:hAnsi="Arial"/>
          <w:sz w:val="16"/>
          <w:szCs w:val="16"/>
          <w:color w:val="auto"/>
        </w:rPr>
        <w:tab/>
        <w:t xml:space="preserve">NO </w:t>
      </w:r>
      <w:r>
        <w:rPr>
          <w:rFonts w:ascii="Segoe UI Symbol" w:cs="Segoe UI Symbol" w:eastAsia="Segoe UI Symbol" w:hAnsi="Segoe UI Symbol"/>
          <w:sz w:val="16"/>
          <w:szCs w:val="16"/>
          <w:color w:val="auto"/>
        </w:rPr>
        <w:t>☒</w:t>
      </w:r>
    </w:p>
    <w:p>
      <w:pPr>
        <w:spacing w:after="0" w:line="23"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The aggregate market value of voting stock held by non-affiliates of the registrant on June 30, 2023, based on the closing price of $1.26 for shares of the registrant’s common stock as reported by the Nasdaq Global Market, was approximately $28.2 million. This calculation does not reflect a determination that certain persons are affiliates of the registrant for any other purposes.</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of registrant’s Common Stock outstanding as of March 21, 2024 was 29,347,468.</w:t>
      </w:r>
    </w:p>
    <w:p>
      <w:pPr>
        <w:spacing w:after="0" w:line="60"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DOCUMENTS INCORPORATED BY REFERENCE</w:t>
      </w:r>
    </w:p>
    <w:p>
      <w:pPr>
        <w:sectPr>
          <w:pgSz w:w="12240" w:h="15840" w:orient="portrait"/>
          <w:cols w:equalWidth="0" w:num="1">
            <w:col w:w="10800"/>
          </w:cols>
          <w:pgMar w:left="720" w:top="954" w:right="720" w:bottom="585" w:gutter="0" w:footer="0" w:header="0"/>
          <w:type w:val="continuous"/>
        </w:sectPr>
      </w:pPr>
    </w:p>
    <w:bookmarkStart w:id="2" w:name="page3"/>
    <w:bookmarkEnd w:id="2"/>
    <w:p>
      <w:pPr>
        <w:spacing w:after="0" w:line="253" w:lineRule="auto"/>
        <w:rPr>
          <w:sz w:val="20"/>
          <w:szCs w:val="20"/>
          <w:color w:val="auto"/>
        </w:rPr>
      </w:pPr>
      <w:r>
        <w:rPr>
          <w:rFonts w:ascii="Arial" w:cs="Arial" w:eastAsia="Arial" w:hAnsi="Arial"/>
          <w:sz w:val="16"/>
          <w:szCs w:val="16"/>
          <w:color w:val="auto"/>
        </w:rPr>
        <w:t>Portions of the registrant’s definitive proxy statement for its 2024 Annual Meeting of Stockholders (the Proxy Statement) are incorporated by reference in Part III of this Annual Report on Form 10-K. Such Proxy Statement will be filed with the U.S. Securities and Exchange Commission within 120 days after the end of the fiscal year to which this report relates. Except with respect to information specifically incorporated by reference in this Form 10-K, the Proxy Statement is not deemed to be filed as part of this 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107950</wp:posOffset>
                </wp:positionV>
                <wp:extent cx="689483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8.5pt" to="541.45pt,8.5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-18415</wp:posOffset>
                </wp:positionH>
                <wp:positionV relativeFrom="paragraph">
                  <wp:posOffset>88900</wp:posOffset>
                </wp:positionV>
                <wp:extent cx="689483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7pt" to="541.45pt,7pt" o:allowincell="f" strokecolor="#000000" strokeweight="0.75pt"/>
            </w:pict>
          </mc:Fallback>
        </mc:AlternateContent>
      </w:r>
    </w:p>
    <w:p>
      <w:pPr>
        <w:spacing w:after="0" w:line="152" w:lineRule="exact"/>
        <w:rPr>
          <w:sz w:val="20"/>
          <w:szCs w:val="20"/>
          <w:color w:val="auto"/>
        </w:rPr>
      </w:pPr>
    </w:p>
    <w:p>
      <w:pPr>
        <w:spacing w:after="0"/>
        <w:rPr>
          <w:sz w:val="20"/>
          <w:szCs w:val="20"/>
          <w:color w:val="auto"/>
        </w:rPr>
      </w:pPr>
      <w:r>
        <w:rPr>
          <w:rFonts w:ascii="Arial" w:cs="Arial" w:eastAsia="Arial" w:hAnsi="Arial"/>
          <w:sz w:val="6"/>
          <w:szCs w:val="6"/>
          <w:color w:val="auto"/>
        </w:rPr>
        <w:t> </w:t>
      </w:r>
    </w:p>
    <w:p>
      <w:pPr>
        <w:sectPr>
          <w:pgSz w:w="12240" w:h="15840" w:orient="portrait"/>
          <w:cols w:equalWidth="0" w:num="1">
            <w:col w:w="10780"/>
          </w:cols>
          <w:pgMar w:left="720" w:top="774" w:right="7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70"/>
        </w:trPr>
        <w:tc>
          <w:tcPr>
            <w:tcW w:w="1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80" w:type="dxa"/>
            <w:vAlign w:val="bottom"/>
            <w:gridSpan w:val="12"/>
          </w:tcPr>
          <w:p>
            <w:pPr>
              <w:ind w:left="760"/>
              <w:spacing w:after="0"/>
              <w:rPr>
                <w:sz w:val="20"/>
                <w:szCs w:val="20"/>
                <w:color w:val="auto"/>
              </w:rPr>
            </w:pPr>
            <w:r>
              <w:rPr>
                <w:rFonts w:ascii="Arial" w:cs="Arial" w:eastAsia="Arial" w:hAnsi="Arial"/>
                <w:sz w:val="19"/>
                <w:szCs w:val="19"/>
                <w:b w:val="1"/>
                <w:bCs w:val="1"/>
                <w:color w:val="auto"/>
              </w:rPr>
              <w:t>Table of Contents</w:t>
            </w: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88"/>
        </w:trPr>
        <w:tc>
          <w:tcPr>
            <w:tcW w:w="1100" w:type="dxa"/>
            <w:vAlign w:val="bottom"/>
            <w:vMerge w:val="restart"/>
          </w:tcPr>
          <w:p>
            <w:pPr>
              <w:spacing w:after="0"/>
              <w:rPr>
                <w:sz w:val="20"/>
                <w:szCs w:val="20"/>
                <w:color w:val="auto"/>
              </w:rPr>
            </w:pPr>
            <w:r>
              <w:rPr>
                <w:rFonts w:ascii="Arial" w:cs="Arial" w:eastAsia="Arial" w:hAnsi="Arial"/>
                <w:sz w:val="19"/>
                <w:szCs w:val="19"/>
                <w:b w:val="1"/>
                <w:bCs w:val="1"/>
                <w:color w:val="auto"/>
              </w:rPr>
              <w:t>PART I</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Borders>
              <w:bottom w:val="single" w:sz="8" w:color="auto"/>
            </w:tcBorders>
          </w:tcPr>
          <w:p>
            <w:pPr>
              <w:jc w:val="right"/>
              <w:ind w:right="86"/>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ind w:left="140"/>
              <w:spacing w:after="0" w:line="216" w:lineRule="exact"/>
              <w:rPr>
                <w:sz w:val="20"/>
                <w:szCs w:val="20"/>
                <w:color w:val="auto"/>
              </w:rPr>
            </w:pPr>
            <w:r>
              <w:rPr>
                <w:rFonts w:ascii="Arial" w:cs="Arial" w:eastAsia="Arial" w:hAnsi="Arial"/>
                <w:sz w:val="19"/>
                <w:szCs w:val="19"/>
                <w:color w:val="auto"/>
              </w:rPr>
              <w:t>Item 1.</w:t>
            </w:r>
          </w:p>
        </w:tc>
        <w:tc>
          <w:tcPr>
            <w:tcW w:w="780" w:type="dxa"/>
            <w:vAlign w:val="bottom"/>
            <w:tcBorders>
              <w:bottom w:val="single" w:sz="8" w:color="0000FF"/>
            </w:tcBorders>
            <w:gridSpan w:val="2"/>
          </w:tcPr>
          <w:p>
            <w:pPr>
              <w:spacing w:after="0" w:line="216" w:lineRule="exact"/>
              <w:rPr>
                <w:rFonts w:ascii="Arial" w:cs="Arial" w:eastAsia="Arial" w:hAnsi="Arial"/>
                <w:sz w:val="19"/>
                <w:szCs w:val="19"/>
                <w:color w:val="0000FF"/>
                <w:w w:val="98"/>
              </w:rPr>
            </w:pPr>
            <w:hyperlink w:anchor="page8">
              <w:r>
                <w:rPr>
                  <w:rFonts w:ascii="Arial" w:cs="Arial" w:eastAsia="Arial" w:hAnsi="Arial"/>
                  <w:sz w:val="19"/>
                  <w:szCs w:val="19"/>
                  <w:color w:val="0000FF"/>
                  <w:w w:val="98"/>
                </w:rPr>
                <w:t>Business</w:t>
              </w:r>
            </w:hyperlink>
          </w:p>
        </w:tc>
        <w:tc>
          <w:tcPr>
            <w:tcW w:w="7480" w:type="dxa"/>
            <w:vAlign w:val="bottom"/>
            <w:gridSpan w:val="23"/>
          </w:tcPr>
          <w:p>
            <w:pPr>
              <w:spacing w:after="0"/>
              <w:rPr>
                <w:sz w:val="18"/>
                <w:szCs w:val="18"/>
                <w:color w:val="auto"/>
              </w:rPr>
            </w:pPr>
          </w:p>
        </w:tc>
        <w:tc>
          <w:tcPr>
            <w:tcW w:w="720" w:type="dxa"/>
            <w:vAlign w:val="bottom"/>
          </w:tcPr>
          <w:p>
            <w:pPr>
              <w:jc w:val="right"/>
              <w:spacing w:after="0" w:line="216" w:lineRule="exact"/>
              <w:rPr>
                <w:sz w:val="20"/>
                <w:szCs w:val="20"/>
                <w:color w:val="auto"/>
              </w:rPr>
            </w:pPr>
            <w:r>
              <w:rPr>
                <w:rFonts w:ascii="Arial" w:cs="Arial" w:eastAsia="Arial" w:hAnsi="Arial"/>
                <w:sz w:val="19"/>
                <w:szCs w:val="19"/>
                <w:color w:val="auto"/>
              </w:rPr>
              <w:t>4</w:t>
            </w:r>
          </w:p>
        </w:tc>
        <w:tc>
          <w:tcPr>
            <w:tcW w:w="0" w:type="dxa"/>
            <w:vAlign w:val="bottom"/>
          </w:tcPr>
          <w:p>
            <w:pPr>
              <w:spacing w:after="0"/>
              <w:rPr>
                <w:sz w:val="1"/>
                <w:szCs w:val="1"/>
                <w:color w:val="auto"/>
              </w:rPr>
            </w:pPr>
          </w:p>
        </w:tc>
      </w:tr>
      <w:tr>
        <w:trPr>
          <w:trHeight w:val="213"/>
        </w:trPr>
        <w:tc>
          <w:tcPr>
            <w:tcW w:w="1100" w:type="dxa"/>
            <w:vAlign w:val="bottom"/>
          </w:tcPr>
          <w:p>
            <w:pPr>
              <w:ind w:left="140"/>
              <w:spacing w:after="0" w:line="214" w:lineRule="exact"/>
              <w:rPr>
                <w:sz w:val="20"/>
                <w:szCs w:val="20"/>
                <w:color w:val="auto"/>
              </w:rPr>
            </w:pPr>
            <w:r>
              <w:rPr>
                <w:rFonts w:ascii="Arial" w:cs="Arial" w:eastAsia="Arial" w:hAnsi="Arial"/>
                <w:sz w:val="19"/>
                <w:szCs w:val="19"/>
                <w:color w:val="auto"/>
              </w:rPr>
              <w:t>Item 1A.</w:t>
            </w:r>
          </w:p>
        </w:tc>
        <w:tc>
          <w:tcPr>
            <w:tcW w:w="8260" w:type="dxa"/>
            <w:vAlign w:val="bottom"/>
            <w:gridSpan w:val="25"/>
          </w:tcPr>
          <w:p>
            <w:pPr>
              <w:spacing w:after="0" w:line="214" w:lineRule="exact"/>
              <w:rPr>
                <w:rFonts w:ascii="Arial" w:cs="Arial" w:eastAsia="Arial" w:hAnsi="Arial"/>
                <w:sz w:val="19"/>
                <w:szCs w:val="19"/>
                <w:color w:val="0000FF"/>
              </w:rPr>
            </w:pPr>
            <w:hyperlink w:anchor="page46">
              <w:r>
                <w:rPr>
                  <w:rFonts w:ascii="Arial" w:cs="Arial" w:eastAsia="Arial" w:hAnsi="Arial"/>
                  <w:sz w:val="19"/>
                  <w:szCs w:val="19"/>
                  <w:color w:val="0000FF"/>
                </w:rPr>
                <w:t>Risk Factors</w:t>
              </w:r>
            </w:hyperlink>
          </w:p>
        </w:tc>
        <w:tc>
          <w:tcPr>
            <w:tcW w:w="720" w:type="dxa"/>
            <w:vAlign w:val="bottom"/>
          </w:tcPr>
          <w:p>
            <w:pPr>
              <w:jc w:val="right"/>
              <w:spacing w:after="0" w:line="214" w:lineRule="exact"/>
              <w:rPr>
                <w:sz w:val="20"/>
                <w:szCs w:val="20"/>
                <w:color w:val="auto"/>
              </w:rPr>
            </w:pPr>
            <w:r>
              <w:rPr>
                <w:rFonts w:ascii="Arial" w:cs="Arial" w:eastAsia="Arial" w:hAnsi="Arial"/>
                <w:sz w:val="19"/>
                <w:szCs w:val="19"/>
                <w:color w:val="auto"/>
              </w:rPr>
              <w:t>42</w:t>
            </w:r>
          </w:p>
        </w:tc>
        <w:tc>
          <w:tcPr>
            <w:tcW w:w="0" w:type="dxa"/>
            <w:vAlign w:val="bottom"/>
          </w:tcPr>
          <w:p>
            <w:pPr>
              <w:spacing w:after="0"/>
              <w:rPr>
                <w:sz w:val="1"/>
                <w:szCs w:val="1"/>
                <w:color w:val="auto"/>
              </w:rPr>
            </w:pPr>
          </w:p>
        </w:tc>
      </w:tr>
      <w:tr>
        <w:trPr>
          <w:trHeight w:val="20"/>
        </w:trPr>
        <w:tc>
          <w:tcPr>
            <w:tcW w:w="1100" w:type="dxa"/>
            <w:vAlign w:val="bottom"/>
            <w:vMerge w:val="restart"/>
          </w:tcPr>
          <w:p>
            <w:pPr>
              <w:ind w:left="140"/>
              <w:spacing w:after="0"/>
              <w:rPr>
                <w:sz w:val="20"/>
                <w:szCs w:val="20"/>
                <w:color w:val="auto"/>
              </w:rPr>
            </w:pPr>
            <w:r>
              <w:rPr>
                <w:rFonts w:ascii="Arial" w:cs="Arial" w:eastAsia="Arial" w:hAnsi="Arial"/>
                <w:sz w:val="19"/>
                <w:szCs w:val="19"/>
                <w:color w:val="auto"/>
              </w:rPr>
              <w:t>Item 1B.</w:t>
            </w:r>
          </w:p>
        </w:tc>
        <w:tc>
          <w:tcPr>
            <w:tcW w:w="24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Arial" w:cs="Arial" w:eastAsia="Arial" w:hAnsi="Arial"/>
                <w:sz w:val="19"/>
                <w:szCs w:val="19"/>
                <w:color w:val="auto"/>
              </w:rPr>
              <w:t>96</w:t>
            </w:r>
          </w:p>
        </w:tc>
        <w:tc>
          <w:tcPr>
            <w:tcW w:w="0" w:type="dxa"/>
            <w:vAlign w:val="bottom"/>
          </w:tcPr>
          <w:p>
            <w:pPr>
              <w:spacing w:after="0" w:line="20" w:lineRule="exact"/>
              <w:rPr>
                <w:sz w:val="1"/>
                <w:szCs w:val="1"/>
                <w:color w:val="auto"/>
              </w:rPr>
            </w:pPr>
          </w:p>
        </w:tc>
      </w:tr>
      <w:tr>
        <w:trPr>
          <w:trHeight w:val="213"/>
        </w:trPr>
        <w:tc>
          <w:tcPr>
            <w:tcW w:w="1100" w:type="dxa"/>
            <w:vAlign w:val="bottom"/>
            <w:vMerge w:val="continue"/>
          </w:tcPr>
          <w:p>
            <w:pPr>
              <w:spacing w:after="0"/>
              <w:rPr>
                <w:sz w:val="18"/>
                <w:szCs w:val="18"/>
                <w:color w:val="auto"/>
              </w:rPr>
            </w:pPr>
          </w:p>
        </w:tc>
        <w:tc>
          <w:tcPr>
            <w:tcW w:w="8260" w:type="dxa"/>
            <w:vAlign w:val="bottom"/>
            <w:gridSpan w:val="25"/>
          </w:tcPr>
          <w:p>
            <w:pPr>
              <w:spacing w:after="0" w:line="214" w:lineRule="exact"/>
              <w:rPr>
                <w:rFonts w:ascii="Arial" w:cs="Arial" w:eastAsia="Arial" w:hAnsi="Arial"/>
                <w:sz w:val="19"/>
                <w:szCs w:val="19"/>
                <w:color w:val="0000FF"/>
              </w:rPr>
            </w:pPr>
            <w:hyperlink w:anchor="page100">
              <w:r>
                <w:rPr>
                  <w:rFonts w:ascii="Arial" w:cs="Arial" w:eastAsia="Arial" w:hAnsi="Arial"/>
                  <w:sz w:val="19"/>
                  <w:szCs w:val="19"/>
                  <w:color w:val="0000FF"/>
                </w:rPr>
                <w:t>Unresolved Staff Comments</w:t>
              </w:r>
            </w:hyperlink>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00" w:type="dxa"/>
            <w:vAlign w:val="bottom"/>
          </w:tcPr>
          <w:p>
            <w:pPr>
              <w:ind w:left="140"/>
              <w:spacing w:after="0" w:line="214" w:lineRule="exact"/>
              <w:rPr>
                <w:sz w:val="20"/>
                <w:szCs w:val="20"/>
                <w:color w:val="auto"/>
              </w:rPr>
            </w:pPr>
            <w:r>
              <w:rPr>
                <w:rFonts w:ascii="Arial" w:cs="Arial" w:eastAsia="Arial" w:hAnsi="Arial"/>
                <w:sz w:val="19"/>
                <w:szCs w:val="19"/>
                <w:color w:val="auto"/>
              </w:rPr>
              <w:t>Item 1C.</w:t>
            </w:r>
          </w:p>
        </w:tc>
        <w:tc>
          <w:tcPr>
            <w:tcW w:w="1180" w:type="dxa"/>
            <w:vAlign w:val="bottom"/>
            <w:tcBorders>
              <w:top w:val="single" w:sz="8" w:color="0000FF"/>
              <w:bottom w:val="single" w:sz="8" w:color="0000FF"/>
            </w:tcBorders>
            <w:gridSpan w:val="6"/>
          </w:tcPr>
          <w:p>
            <w:pPr>
              <w:spacing w:after="0" w:line="214" w:lineRule="exact"/>
              <w:rPr>
                <w:rFonts w:ascii="Arial" w:cs="Arial" w:eastAsia="Arial" w:hAnsi="Arial"/>
                <w:sz w:val="19"/>
                <w:szCs w:val="19"/>
                <w:color w:val="0000FF"/>
                <w:w w:val="99"/>
              </w:rPr>
            </w:pPr>
            <w:hyperlink w:anchor="page100">
              <w:r>
                <w:rPr>
                  <w:rFonts w:ascii="Arial" w:cs="Arial" w:eastAsia="Arial" w:hAnsi="Arial"/>
                  <w:sz w:val="19"/>
                  <w:szCs w:val="19"/>
                  <w:color w:val="0000FF"/>
                  <w:w w:val="99"/>
                </w:rPr>
                <w:t>Cybersecurity</w:t>
              </w:r>
            </w:hyperlink>
          </w:p>
        </w:tc>
        <w:tc>
          <w:tcPr>
            <w:tcW w:w="1200" w:type="dxa"/>
            <w:vAlign w:val="bottom"/>
            <w:tcBorders>
              <w:top w:val="single" w:sz="8" w:color="0000FF"/>
            </w:tcBorders>
            <w:gridSpan w:val="7"/>
          </w:tcPr>
          <w:p>
            <w:pPr>
              <w:spacing w:after="0"/>
              <w:rPr>
                <w:sz w:val="18"/>
                <w:szCs w:val="18"/>
                <w:color w:val="auto"/>
              </w:rPr>
            </w:pPr>
          </w:p>
        </w:tc>
        <w:tc>
          <w:tcPr>
            <w:tcW w:w="5880" w:type="dxa"/>
            <w:vAlign w:val="bottom"/>
            <w:gridSpan w:val="12"/>
          </w:tcPr>
          <w:p>
            <w:pPr>
              <w:spacing w:after="0"/>
              <w:rPr>
                <w:sz w:val="18"/>
                <w:szCs w:val="18"/>
                <w:color w:val="auto"/>
              </w:rPr>
            </w:pPr>
          </w:p>
        </w:tc>
        <w:tc>
          <w:tcPr>
            <w:tcW w:w="720" w:type="dxa"/>
            <w:vAlign w:val="bottom"/>
          </w:tcPr>
          <w:p>
            <w:pPr>
              <w:jc w:val="right"/>
              <w:spacing w:after="0" w:line="214" w:lineRule="exact"/>
              <w:rPr>
                <w:sz w:val="20"/>
                <w:szCs w:val="20"/>
                <w:color w:val="auto"/>
              </w:rPr>
            </w:pPr>
            <w:r>
              <w:rPr>
                <w:rFonts w:ascii="Arial" w:cs="Arial" w:eastAsia="Arial" w:hAnsi="Arial"/>
                <w:sz w:val="19"/>
                <w:szCs w:val="19"/>
                <w:color w:val="auto"/>
              </w:rPr>
              <w:t>96</w:t>
            </w:r>
          </w:p>
        </w:tc>
        <w:tc>
          <w:tcPr>
            <w:tcW w:w="0" w:type="dxa"/>
            <w:vAlign w:val="bottom"/>
          </w:tcPr>
          <w:p>
            <w:pPr>
              <w:spacing w:after="0"/>
              <w:rPr>
                <w:sz w:val="1"/>
                <w:szCs w:val="1"/>
                <w:color w:val="auto"/>
              </w:rPr>
            </w:pPr>
          </w:p>
        </w:tc>
      </w:tr>
      <w:tr>
        <w:trPr>
          <w:trHeight w:val="213"/>
        </w:trPr>
        <w:tc>
          <w:tcPr>
            <w:tcW w:w="1100" w:type="dxa"/>
            <w:vAlign w:val="bottom"/>
          </w:tcPr>
          <w:p>
            <w:pPr>
              <w:ind w:left="140"/>
              <w:spacing w:after="0" w:line="214" w:lineRule="exact"/>
              <w:rPr>
                <w:sz w:val="20"/>
                <w:szCs w:val="20"/>
                <w:color w:val="auto"/>
              </w:rPr>
            </w:pPr>
            <w:r>
              <w:rPr>
                <w:rFonts w:ascii="Arial" w:cs="Arial" w:eastAsia="Arial" w:hAnsi="Arial"/>
                <w:sz w:val="19"/>
                <w:szCs w:val="19"/>
                <w:color w:val="auto"/>
              </w:rPr>
              <w:t>Item 2.</w:t>
            </w:r>
          </w:p>
        </w:tc>
        <w:tc>
          <w:tcPr>
            <w:tcW w:w="880" w:type="dxa"/>
            <w:vAlign w:val="bottom"/>
            <w:tcBorders>
              <w:bottom w:val="single" w:sz="8" w:color="0000FF"/>
            </w:tcBorders>
            <w:gridSpan w:val="4"/>
          </w:tcPr>
          <w:p>
            <w:pPr>
              <w:spacing w:after="0" w:line="214" w:lineRule="exact"/>
              <w:rPr>
                <w:rFonts w:ascii="Arial" w:cs="Arial" w:eastAsia="Arial" w:hAnsi="Arial"/>
                <w:sz w:val="19"/>
                <w:szCs w:val="19"/>
                <w:color w:val="0000FF"/>
                <w:w w:val="99"/>
              </w:rPr>
            </w:pPr>
            <w:hyperlink w:anchor="page101">
              <w:r>
                <w:rPr>
                  <w:rFonts w:ascii="Arial" w:cs="Arial" w:eastAsia="Arial" w:hAnsi="Arial"/>
                  <w:sz w:val="19"/>
                  <w:szCs w:val="19"/>
                  <w:color w:val="0000FF"/>
                  <w:w w:val="99"/>
                </w:rPr>
                <w:t>Properties</w:t>
              </w:r>
            </w:hyperlink>
          </w:p>
        </w:tc>
        <w:tc>
          <w:tcPr>
            <w:tcW w:w="7380" w:type="dxa"/>
            <w:vAlign w:val="bottom"/>
            <w:gridSpan w:val="21"/>
          </w:tcPr>
          <w:p>
            <w:pPr>
              <w:spacing w:after="0"/>
              <w:rPr>
                <w:sz w:val="18"/>
                <w:szCs w:val="18"/>
                <w:color w:val="auto"/>
              </w:rPr>
            </w:pPr>
          </w:p>
        </w:tc>
        <w:tc>
          <w:tcPr>
            <w:tcW w:w="720" w:type="dxa"/>
            <w:vAlign w:val="bottom"/>
          </w:tcPr>
          <w:p>
            <w:pPr>
              <w:jc w:val="right"/>
              <w:spacing w:after="0" w:line="214" w:lineRule="exact"/>
              <w:rPr>
                <w:sz w:val="20"/>
                <w:szCs w:val="20"/>
                <w:color w:val="auto"/>
              </w:rPr>
            </w:pPr>
            <w:r>
              <w:rPr>
                <w:rFonts w:ascii="Arial" w:cs="Arial" w:eastAsia="Arial" w:hAnsi="Arial"/>
                <w:sz w:val="19"/>
                <w:szCs w:val="19"/>
                <w:color w:val="auto"/>
              </w:rPr>
              <w:t>97</w:t>
            </w:r>
          </w:p>
        </w:tc>
        <w:tc>
          <w:tcPr>
            <w:tcW w:w="0" w:type="dxa"/>
            <w:vAlign w:val="bottom"/>
          </w:tcPr>
          <w:p>
            <w:pPr>
              <w:spacing w:after="0"/>
              <w:rPr>
                <w:sz w:val="1"/>
                <w:szCs w:val="1"/>
                <w:color w:val="auto"/>
              </w:rPr>
            </w:pPr>
          </w:p>
        </w:tc>
      </w:tr>
      <w:tr>
        <w:trPr>
          <w:trHeight w:val="213"/>
        </w:trPr>
        <w:tc>
          <w:tcPr>
            <w:tcW w:w="1100" w:type="dxa"/>
            <w:vAlign w:val="bottom"/>
          </w:tcPr>
          <w:p>
            <w:pPr>
              <w:ind w:left="140"/>
              <w:spacing w:after="0" w:line="214" w:lineRule="exact"/>
              <w:rPr>
                <w:sz w:val="20"/>
                <w:szCs w:val="20"/>
                <w:color w:val="auto"/>
              </w:rPr>
            </w:pPr>
            <w:r>
              <w:rPr>
                <w:rFonts w:ascii="Arial" w:cs="Arial" w:eastAsia="Arial" w:hAnsi="Arial"/>
                <w:sz w:val="19"/>
                <w:szCs w:val="19"/>
                <w:color w:val="auto"/>
              </w:rPr>
              <w:t>Item 3.</w:t>
            </w:r>
          </w:p>
        </w:tc>
        <w:tc>
          <w:tcPr>
            <w:tcW w:w="8260" w:type="dxa"/>
            <w:vAlign w:val="bottom"/>
            <w:gridSpan w:val="25"/>
          </w:tcPr>
          <w:p>
            <w:pPr>
              <w:spacing w:after="0" w:line="214" w:lineRule="exact"/>
              <w:rPr>
                <w:rFonts w:ascii="Arial" w:cs="Arial" w:eastAsia="Arial" w:hAnsi="Arial"/>
                <w:sz w:val="19"/>
                <w:szCs w:val="19"/>
                <w:color w:val="0000FF"/>
              </w:rPr>
            </w:pPr>
            <w:hyperlink w:anchor="page101">
              <w:r>
                <w:rPr>
                  <w:rFonts w:ascii="Arial" w:cs="Arial" w:eastAsia="Arial" w:hAnsi="Arial"/>
                  <w:sz w:val="19"/>
                  <w:szCs w:val="19"/>
                  <w:color w:val="0000FF"/>
                </w:rPr>
                <w:t>Legal Proceedings</w:t>
              </w:r>
            </w:hyperlink>
          </w:p>
        </w:tc>
        <w:tc>
          <w:tcPr>
            <w:tcW w:w="720" w:type="dxa"/>
            <w:vAlign w:val="bottom"/>
          </w:tcPr>
          <w:p>
            <w:pPr>
              <w:jc w:val="right"/>
              <w:spacing w:after="0" w:line="214" w:lineRule="exact"/>
              <w:rPr>
                <w:sz w:val="20"/>
                <w:szCs w:val="20"/>
                <w:color w:val="auto"/>
              </w:rPr>
            </w:pPr>
            <w:r>
              <w:rPr>
                <w:rFonts w:ascii="Arial" w:cs="Arial" w:eastAsia="Arial" w:hAnsi="Arial"/>
                <w:sz w:val="19"/>
                <w:szCs w:val="19"/>
                <w:color w:val="auto"/>
              </w:rPr>
              <w:t>97</w:t>
            </w:r>
          </w:p>
        </w:tc>
        <w:tc>
          <w:tcPr>
            <w:tcW w:w="0" w:type="dxa"/>
            <w:vAlign w:val="bottom"/>
          </w:tcPr>
          <w:p>
            <w:pPr>
              <w:spacing w:after="0"/>
              <w:rPr>
                <w:sz w:val="1"/>
                <w:szCs w:val="1"/>
                <w:color w:val="auto"/>
              </w:rPr>
            </w:pPr>
          </w:p>
        </w:tc>
      </w:tr>
      <w:tr>
        <w:trPr>
          <w:trHeight w:val="20"/>
        </w:trPr>
        <w:tc>
          <w:tcPr>
            <w:tcW w:w="1100" w:type="dxa"/>
            <w:vAlign w:val="bottom"/>
            <w:vMerge w:val="restart"/>
          </w:tcPr>
          <w:p>
            <w:pPr>
              <w:ind w:left="140"/>
              <w:spacing w:after="0"/>
              <w:rPr>
                <w:sz w:val="20"/>
                <w:szCs w:val="20"/>
                <w:color w:val="auto"/>
              </w:rPr>
            </w:pPr>
            <w:r>
              <w:rPr>
                <w:rFonts w:ascii="Arial" w:cs="Arial" w:eastAsia="Arial" w:hAnsi="Arial"/>
                <w:sz w:val="19"/>
                <w:szCs w:val="19"/>
                <w:color w:val="auto"/>
              </w:rPr>
              <w:t>Item 4.</w:t>
            </w:r>
          </w:p>
        </w:tc>
        <w:tc>
          <w:tcPr>
            <w:tcW w:w="24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Arial" w:cs="Arial" w:eastAsia="Arial" w:hAnsi="Arial"/>
                <w:sz w:val="19"/>
                <w:szCs w:val="19"/>
                <w:color w:val="auto"/>
              </w:rPr>
              <w:t>97</w:t>
            </w:r>
          </w:p>
        </w:tc>
        <w:tc>
          <w:tcPr>
            <w:tcW w:w="0" w:type="dxa"/>
            <w:vAlign w:val="bottom"/>
          </w:tcPr>
          <w:p>
            <w:pPr>
              <w:spacing w:after="0" w:line="20" w:lineRule="exact"/>
              <w:rPr>
                <w:sz w:val="1"/>
                <w:szCs w:val="1"/>
                <w:color w:val="auto"/>
              </w:rPr>
            </w:pPr>
          </w:p>
        </w:tc>
      </w:tr>
      <w:tr>
        <w:trPr>
          <w:trHeight w:val="213"/>
        </w:trPr>
        <w:tc>
          <w:tcPr>
            <w:tcW w:w="1100" w:type="dxa"/>
            <w:vAlign w:val="bottom"/>
            <w:vMerge w:val="continue"/>
          </w:tcPr>
          <w:p>
            <w:pPr>
              <w:spacing w:after="0"/>
              <w:rPr>
                <w:sz w:val="18"/>
                <w:szCs w:val="18"/>
                <w:color w:val="auto"/>
              </w:rPr>
            </w:pPr>
          </w:p>
        </w:tc>
        <w:tc>
          <w:tcPr>
            <w:tcW w:w="8260" w:type="dxa"/>
            <w:vAlign w:val="bottom"/>
            <w:gridSpan w:val="25"/>
          </w:tcPr>
          <w:p>
            <w:pPr>
              <w:spacing w:after="0" w:line="214" w:lineRule="exact"/>
              <w:rPr>
                <w:rFonts w:ascii="Arial" w:cs="Arial" w:eastAsia="Arial" w:hAnsi="Arial"/>
                <w:sz w:val="19"/>
                <w:szCs w:val="19"/>
                <w:color w:val="0000FF"/>
              </w:rPr>
            </w:pPr>
            <w:hyperlink w:anchor="page101">
              <w:r>
                <w:rPr>
                  <w:rFonts w:ascii="Arial" w:cs="Arial" w:eastAsia="Arial" w:hAnsi="Arial"/>
                  <w:sz w:val="19"/>
                  <w:szCs w:val="19"/>
                  <w:color w:val="0000FF"/>
                </w:rPr>
                <w:t>Mine Safety Disclosures</w:t>
              </w:r>
            </w:hyperlink>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64"/>
        </w:trPr>
        <w:tc>
          <w:tcPr>
            <w:tcW w:w="1100" w:type="dxa"/>
            <w:vAlign w:val="bottom"/>
          </w:tcPr>
          <w:p>
            <w:pPr>
              <w:spacing w:after="0"/>
              <w:rPr>
                <w:sz w:val="20"/>
                <w:szCs w:val="20"/>
                <w:color w:val="auto"/>
              </w:rPr>
            </w:pPr>
            <w:r>
              <w:rPr>
                <w:rFonts w:ascii="Arial" w:cs="Arial" w:eastAsia="Arial" w:hAnsi="Arial"/>
                <w:sz w:val="19"/>
                <w:szCs w:val="19"/>
                <w:b w:val="1"/>
                <w:bCs w:val="1"/>
                <w:color w:val="auto"/>
              </w:rPr>
              <w:t>PART II</w:t>
            </w:r>
          </w:p>
        </w:tc>
        <w:tc>
          <w:tcPr>
            <w:tcW w:w="24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00" w:type="dxa"/>
            <w:vAlign w:val="bottom"/>
          </w:tcPr>
          <w:p>
            <w:pPr>
              <w:ind w:left="140"/>
              <w:spacing w:after="0" w:line="216" w:lineRule="exact"/>
              <w:rPr>
                <w:sz w:val="20"/>
                <w:szCs w:val="20"/>
                <w:color w:val="auto"/>
              </w:rPr>
            </w:pPr>
            <w:r>
              <w:rPr>
                <w:rFonts w:ascii="Arial" w:cs="Arial" w:eastAsia="Arial" w:hAnsi="Arial"/>
                <w:sz w:val="19"/>
                <w:szCs w:val="19"/>
                <w:color w:val="auto"/>
              </w:rPr>
              <w:t>Item 5.</w:t>
            </w:r>
          </w:p>
        </w:tc>
        <w:tc>
          <w:tcPr>
            <w:tcW w:w="8260" w:type="dxa"/>
            <w:vAlign w:val="bottom"/>
            <w:gridSpan w:val="25"/>
          </w:tcPr>
          <w:p>
            <w:pPr>
              <w:spacing w:after="0" w:line="216" w:lineRule="exact"/>
              <w:rPr>
                <w:rFonts w:ascii="Arial" w:cs="Arial" w:eastAsia="Arial" w:hAnsi="Arial"/>
                <w:sz w:val="19"/>
                <w:szCs w:val="19"/>
                <w:color w:val="0000FF"/>
              </w:rPr>
            </w:pPr>
            <w:hyperlink w:anchor="page102">
              <w:r>
                <w:rPr>
                  <w:rFonts w:ascii="Arial" w:cs="Arial" w:eastAsia="Arial" w:hAnsi="Arial"/>
                  <w:sz w:val="19"/>
                  <w:szCs w:val="19"/>
                  <w:color w:val="0000FF"/>
                </w:rPr>
                <w:t>Market for Registrant’s Common Equity, Related Stockholder Matters and Issuer Purchases of</w:t>
              </w:r>
            </w:hyperlink>
          </w:p>
        </w:tc>
        <w:tc>
          <w:tcPr>
            <w:tcW w:w="720" w:type="dxa"/>
            <w:vAlign w:val="bottom"/>
            <w:vMerge w:val="restart"/>
          </w:tcPr>
          <w:p>
            <w:pPr>
              <w:jc w:val="right"/>
              <w:spacing w:after="0"/>
              <w:rPr>
                <w:sz w:val="20"/>
                <w:szCs w:val="20"/>
                <w:color w:val="auto"/>
              </w:rPr>
            </w:pPr>
            <w:r>
              <w:rPr>
                <w:rFonts w:ascii="Arial" w:cs="Arial" w:eastAsia="Arial" w:hAnsi="Arial"/>
                <w:sz w:val="19"/>
                <w:szCs w:val="19"/>
                <w:color w:val="auto"/>
              </w:rPr>
              <w:t>98</w:t>
            </w:r>
          </w:p>
        </w:tc>
        <w:tc>
          <w:tcPr>
            <w:tcW w:w="0" w:type="dxa"/>
            <w:vAlign w:val="bottom"/>
          </w:tcPr>
          <w:p>
            <w:pPr>
              <w:spacing w:after="0"/>
              <w:rPr>
                <w:sz w:val="1"/>
                <w:szCs w:val="1"/>
                <w:color w:val="auto"/>
              </w:rPr>
            </w:pPr>
          </w:p>
        </w:tc>
      </w:tr>
      <w:tr>
        <w:trPr>
          <w:trHeight w:val="198"/>
        </w:trPr>
        <w:tc>
          <w:tcPr>
            <w:tcW w:w="110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7680" w:type="dxa"/>
            <w:vAlign w:val="bottom"/>
            <w:tcBorders>
              <w:top w:val="single" w:sz="8" w:color="0000FF"/>
            </w:tcBorders>
            <w:gridSpan w:val="23"/>
          </w:tcPr>
          <w:p>
            <w:pPr>
              <w:spacing w:after="0" w:line="199" w:lineRule="exact"/>
              <w:rPr>
                <w:rFonts w:ascii="Arial" w:cs="Arial" w:eastAsia="Arial" w:hAnsi="Arial"/>
                <w:sz w:val="19"/>
                <w:szCs w:val="19"/>
                <w:color w:val="0000FF"/>
              </w:rPr>
            </w:pPr>
            <w:hyperlink w:anchor="page102">
              <w:r>
                <w:rPr>
                  <w:rFonts w:ascii="Arial" w:cs="Arial" w:eastAsia="Arial" w:hAnsi="Arial"/>
                  <w:sz w:val="19"/>
                  <w:szCs w:val="19"/>
                  <w:color w:val="0000FF"/>
                </w:rPr>
                <w:t>Equity Securities</w:t>
              </w:r>
            </w:hyperlink>
          </w:p>
        </w:tc>
        <w:tc>
          <w:tcPr>
            <w:tcW w:w="3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ind w:left="140"/>
              <w:spacing w:after="0"/>
              <w:rPr>
                <w:sz w:val="20"/>
                <w:szCs w:val="20"/>
                <w:color w:val="auto"/>
              </w:rPr>
            </w:pPr>
            <w:r>
              <w:rPr>
                <w:rFonts w:ascii="Arial" w:cs="Arial" w:eastAsia="Arial" w:hAnsi="Arial"/>
                <w:sz w:val="19"/>
                <w:szCs w:val="19"/>
                <w:color w:val="auto"/>
              </w:rPr>
              <w:t>Item 6.</w:t>
            </w:r>
          </w:p>
        </w:tc>
        <w:tc>
          <w:tcPr>
            <w:tcW w:w="2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Arial" w:cs="Arial" w:eastAsia="Arial" w:hAnsi="Arial"/>
                <w:sz w:val="19"/>
                <w:szCs w:val="19"/>
                <w:color w:val="auto"/>
              </w:rPr>
              <w:t>98</w:t>
            </w:r>
          </w:p>
        </w:tc>
        <w:tc>
          <w:tcPr>
            <w:tcW w:w="0" w:type="dxa"/>
            <w:vAlign w:val="bottom"/>
          </w:tcPr>
          <w:p>
            <w:pPr>
              <w:spacing w:after="0" w:line="20" w:lineRule="exact"/>
              <w:rPr>
                <w:sz w:val="1"/>
                <w:szCs w:val="1"/>
                <w:color w:val="auto"/>
              </w:rPr>
            </w:pPr>
          </w:p>
        </w:tc>
      </w:tr>
      <w:tr>
        <w:trPr>
          <w:trHeight w:val="213"/>
        </w:trPr>
        <w:tc>
          <w:tcPr>
            <w:tcW w:w="1100" w:type="dxa"/>
            <w:vAlign w:val="bottom"/>
            <w:vMerge w:val="continue"/>
          </w:tcPr>
          <w:p>
            <w:pPr>
              <w:spacing w:after="0"/>
              <w:rPr>
                <w:sz w:val="18"/>
                <w:szCs w:val="18"/>
                <w:color w:val="auto"/>
              </w:rPr>
            </w:pPr>
          </w:p>
        </w:tc>
        <w:tc>
          <w:tcPr>
            <w:tcW w:w="8260" w:type="dxa"/>
            <w:vAlign w:val="bottom"/>
            <w:gridSpan w:val="25"/>
          </w:tcPr>
          <w:p>
            <w:pPr>
              <w:spacing w:after="0" w:line="214" w:lineRule="exact"/>
              <w:rPr>
                <w:rFonts w:ascii="Arial" w:cs="Arial" w:eastAsia="Arial" w:hAnsi="Arial"/>
                <w:sz w:val="19"/>
                <w:szCs w:val="19"/>
                <w:color w:val="0000FF"/>
              </w:rPr>
            </w:pPr>
            <w:hyperlink w:anchor="page102">
              <w:r>
                <w:rPr>
                  <w:rFonts w:ascii="Arial" w:cs="Arial" w:eastAsia="Arial" w:hAnsi="Arial"/>
                  <w:sz w:val="19"/>
                  <w:szCs w:val="19"/>
                  <w:color w:val="0000FF"/>
                </w:rPr>
                <w:t>Reserved</w:t>
              </w:r>
            </w:hyperlink>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ind w:left="140"/>
              <w:spacing w:after="0"/>
              <w:rPr>
                <w:sz w:val="20"/>
                <w:szCs w:val="20"/>
                <w:color w:val="auto"/>
              </w:rPr>
            </w:pPr>
            <w:r>
              <w:rPr>
                <w:rFonts w:ascii="Arial" w:cs="Arial" w:eastAsia="Arial" w:hAnsi="Arial"/>
                <w:sz w:val="19"/>
                <w:szCs w:val="19"/>
                <w:color w:val="auto"/>
              </w:rPr>
              <w:t>Item 7.</w:t>
            </w:r>
          </w:p>
        </w:tc>
        <w:tc>
          <w:tcPr>
            <w:tcW w:w="8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Arial" w:cs="Arial" w:eastAsia="Arial" w:hAnsi="Arial"/>
                <w:sz w:val="19"/>
                <w:szCs w:val="19"/>
                <w:color w:val="auto"/>
              </w:rPr>
              <w:t>99</w:t>
            </w:r>
          </w:p>
        </w:tc>
        <w:tc>
          <w:tcPr>
            <w:tcW w:w="0" w:type="dxa"/>
            <w:vAlign w:val="bottom"/>
          </w:tcPr>
          <w:p>
            <w:pPr>
              <w:spacing w:after="0" w:line="20" w:lineRule="exact"/>
              <w:rPr>
                <w:sz w:val="1"/>
                <w:szCs w:val="1"/>
                <w:color w:val="auto"/>
              </w:rPr>
            </w:pPr>
          </w:p>
        </w:tc>
      </w:tr>
      <w:tr>
        <w:trPr>
          <w:trHeight w:val="213"/>
        </w:trPr>
        <w:tc>
          <w:tcPr>
            <w:tcW w:w="1100" w:type="dxa"/>
            <w:vAlign w:val="bottom"/>
            <w:vMerge w:val="continue"/>
          </w:tcPr>
          <w:p>
            <w:pPr>
              <w:spacing w:after="0"/>
              <w:rPr>
                <w:sz w:val="18"/>
                <w:szCs w:val="18"/>
                <w:color w:val="auto"/>
              </w:rPr>
            </w:pPr>
          </w:p>
        </w:tc>
        <w:tc>
          <w:tcPr>
            <w:tcW w:w="8260" w:type="dxa"/>
            <w:vAlign w:val="bottom"/>
            <w:gridSpan w:val="25"/>
          </w:tcPr>
          <w:p>
            <w:pPr>
              <w:spacing w:after="0" w:line="214" w:lineRule="exact"/>
              <w:rPr>
                <w:rFonts w:ascii="Arial" w:cs="Arial" w:eastAsia="Arial" w:hAnsi="Arial"/>
                <w:sz w:val="19"/>
                <w:szCs w:val="19"/>
                <w:color w:val="0000FF"/>
              </w:rPr>
            </w:pPr>
            <w:hyperlink w:anchor="page103">
              <w:r>
                <w:rPr>
                  <w:rFonts w:ascii="Arial" w:cs="Arial" w:eastAsia="Arial" w:hAnsi="Arial"/>
                  <w:sz w:val="19"/>
                  <w:szCs w:val="19"/>
                  <w:color w:val="0000FF"/>
                </w:rPr>
                <w:t>Management’s Discussion and Analysis of Financial Condition and Results of Operations</w:t>
              </w:r>
            </w:hyperlink>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00" w:type="dxa"/>
            <w:vAlign w:val="bottom"/>
          </w:tcPr>
          <w:p>
            <w:pPr>
              <w:ind w:left="140"/>
              <w:spacing w:after="0" w:line="214" w:lineRule="exact"/>
              <w:rPr>
                <w:sz w:val="20"/>
                <w:szCs w:val="20"/>
                <w:color w:val="auto"/>
              </w:rPr>
            </w:pPr>
            <w:r>
              <w:rPr>
                <w:rFonts w:ascii="Arial" w:cs="Arial" w:eastAsia="Arial" w:hAnsi="Arial"/>
                <w:sz w:val="19"/>
                <w:szCs w:val="19"/>
                <w:color w:val="auto"/>
              </w:rPr>
              <w:t>Item 7A.</w:t>
            </w:r>
          </w:p>
        </w:tc>
        <w:tc>
          <w:tcPr>
            <w:tcW w:w="7480" w:type="dxa"/>
            <w:vAlign w:val="bottom"/>
            <w:tcBorders>
              <w:top w:val="single" w:sz="8" w:color="0000FF"/>
            </w:tcBorders>
            <w:gridSpan w:val="21"/>
          </w:tcPr>
          <w:p>
            <w:pPr>
              <w:spacing w:after="0" w:line="214" w:lineRule="exact"/>
              <w:rPr>
                <w:rFonts w:ascii="Arial" w:cs="Arial" w:eastAsia="Arial" w:hAnsi="Arial"/>
                <w:sz w:val="19"/>
                <w:szCs w:val="19"/>
                <w:color w:val="0000FF"/>
              </w:rPr>
            </w:pPr>
            <w:hyperlink w:anchor="page118">
              <w:r>
                <w:rPr>
                  <w:rFonts w:ascii="Arial" w:cs="Arial" w:eastAsia="Arial" w:hAnsi="Arial"/>
                  <w:sz w:val="19"/>
                  <w:szCs w:val="19"/>
                  <w:color w:val="0000FF"/>
                </w:rPr>
                <w:t>Quantitative and Qualitative Disclosures About Market Risk</w:t>
              </w:r>
            </w:hyperlink>
          </w:p>
        </w:tc>
        <w:tc>
          <w:tcPr>
            <w:tcW w:w="780" w:type="dxa"/>
            <w:vAlign w:val="bottom"/>
            <w:gridSpan w:val="4"/>
          </w:tcPr>
          <w:p>
            <w:pPr>
              <w:spacing w:after="0"/>
              <w:rPr>
                <w:sz w:val="18"/>
                <w:szCs w:val="18"/>
                <w:color w:val="auto"/>
              </w:rPr>
            </w:pPr>
          </w:p>
        </w:tc>
        <w:tc>
          <w:tcPr>
            <w:tcW w:w="720" w:type="dxa"/>
            <w:vAlign w:val="bottom"/>
          </w:tcPr>
          <w:p>
            <w:pPr>
              <w:jc w:val="right"/>
              <w:spacing w:after="0" w:line="214" w:lineRule="exact"/>
              <w:rPr>
                <w:sz w:val="20"/>
                <w:szCs w:val="20"/>
                <w:color w:val="auto"/>
              </w:rPr>
            </w:pPr>
            <w:r>
              <w:rPr>
                <w:rFonts w:ascii="Arial" w:cs="Arial" w:eastAsia="Arial" w:hAnsi="Arial"/>
                <w:sz w:val="19"/>
                <w:szCs w:val="19"/>
                <w:color w:val="auto"/>
              </w:rPr>
              <w:t>114</w:t>
            </w:r>
          </w:p>
        </w:tc>
        <w:tc>
          <w:tcPr>
            <w:tcW w:w="0" w:type="dxa"/>
            <w:vAlign w:val="bottom"/>
          </w:tcPr>
          <w:p>
            <w:pPr>
              <w:spacing w:after="0"/>
              <w:rPr>
                <w:sz w:val="1"/>
                <w:szCs w:val="1"/>
                <w:color w:val="auto"/>
              </w:rPr>
            </w:pPr>
          </w:p>
        </w:tc>
      </w:tr>
      <w:tr>
        <w:trPr>
          <w:trHeight w:val="213"/>
        </w:trPr>
        <w:tc>
          <w:tcPr>
            <w:tcW w:w="1100" w:type="dxa"/>
            <w:vAlign w:val="bottom"/>
          </w:tcPr>
          <w:p>
            <w:pPr>
              <w:ind w:left="140"/>
              <w:spacing w:after="0" w:line="214" w:lineRule="exact"/>
              <w:rPr>
                <w:sz w:val="20"/>
                <w:szCs w:val="20"/>
                <w:color w:val="auto"/>
              </w:rPr>
            </w:pPr>
            <w:r>
              <w:rPr>
                <w:rFonts w:ascii="Arial" w:cs="Arial" w:eastAsia="Arial" w:hAnsi="Arial"/>
                <w:sz w:val="19"/>
                <w:szCs w:val="19"/>
                <w:color w:val="auto"/>
              </w:rPr>
              <w:t>Item 8.</w:t>
            </w:r>
          </w:p>
        </w:tc>
        <w:tc>
          <w:tcPr>
            <w:tcW w:w="3940" w:type="dxa"/>
            <w:vAlign w:val="bottom"/>
            <w:tcBorders>
              <w:top w:val="single" w:sz="8" w:color="0000FF"/>
              <w:bottom w:val="single" w:sz="8" w:color="0000FF"/>
            </w:tcBorders>
            <w:gridSpan w:val="16"/>
          </w:tcPr>
          <w:p>
            <w:pPr>
              <w:spacing w:after="0" w:line="214" w:lineRule="exact"/>
              <w:rPr>
                <w:rFonts w:ascii="Arial" w:cs="Arial" w:eastAsia="Arial" w:hAnsi="Arial"/>
                <w:sz w:val="19"/>
                <w:szCs w:val="19"/>
                <w:color w:val="0000FF"/>
                <w:w w:val="99"/>
              </w:rPr>
            </w:pPr>
            <w:hyperlink w:anchor="page118">
              <w:r>
                <w:rPr>
                  <w:rFonts w:ascii="Arial" w:cs="Arial" w:eastAsia="Arial" w:hAnsi="Arial"/>
                  <w:sz w:val="19"/>
                  <w:szCs w:val="19"/>
                  <w:color w:val="0000FF"/>
                  <w:w w:val="99"/>
                </w:rPr>
                <w:t>Financial Statements and Supplementary Data</w:t>
              </w:r>
            </w:hyperlink>
          </w:p>
        </w:tc>
        <w:tc>
          <w:tcPr>
            <w:tcW w:w="1040" w:type="dxa"/>
            <w:vAlign w:val="bottom"/>
            <w:tcBorders>
              <w:top w:val="single" w:sz="8" w:color="0000FF"/>
            </w:tcBorders>
            <w:gridSpan w:val="2"/>
          </w:tcPr>
          <w:p>
            <w:pPr>
              <w:spacing w:after="0"/>
              <w:rPr>
                <w:sz w:val="18"/>
                <w:szCs w:val="18"/>
                <w:color w:val="auto"/>
              </w:rPr>
            </w:pPr>
          </w:p>
        </w:tc>
        <w:tc>
          <w:tcPr>
            <w:tcW w:w="3280" w:type="dxa"/>
            <w:vAlign w:val="bottom"/>
            <w:gridSpan w:val="7"/>
          </w:tcPr>
          <w:p>
            <w:pPr>
              <w:spacing w:after="0"/>
              <w:rPr>
                <w:sz w:val="18"/>
                <w:szCs w:val="18"/>
                <w:color w:val="auto"/>
              </w:rPr>
            </w:pPr>
          </w:p>
        </w:tc>
        <w:tc>
          <w:tcPr>
            <w:tcW w:w="720" w:type="dxa"/>
            <w:vAlign w:val="bottom"/>
          </w:tcPr>
          <w:p>
            <w:pPr>
              <w:jc w:val="right"/>
              <w:spacing w:after="0" w:line="214" w:lineRule="exact"/>
              <w:rPr>
                <w:sz w:val="20"/>
                <w:szCs w:val="20"/>
                <w:color w:val="auto"/>
              </w:rPr>
            </w:pPr>
            <w:r>
              <w:rPr>
                <w:rFonts w:ascii="Arial" w:cs="Arial" w:eastAsia="Arial" w:hAnsi="Arial"/>
                <w:sz w:val="19"/>
                <w:szCs w:val="19"/>
                <w:color w:val="auto"/>
              </w:rPr>
              <w:t>114</w:t>
            </w:r>
          </w:p>
        </w:tc>
        <w:tc>
          <w:tcPr>
            <w:tcW w:w="0" w:type="dxa"/>
            <w:vAlign w:val="bottom"/>
          </w:tcPr>
          <w:p>
            <w:pPr>
              <w:spacing w:after="0"/>
              <w:rPr>
                <w:sz w:val="1"/>
                <w:szCs w:val="1"/>
                <w:color w:val="auto"/>
              </w:rPr>
            </w:pPr>
          </w:p>
        </w:tc>
      </w:tr>
      <w:tr>
        <w:trPr>
          <w:trHeight w:val="213"/>
        </w:trPr>
        <w:tc>
          <w:tcPr>
            <w:tcW w:w="1100" w:type="dxa"/>
            <w:vAlign w:val="bottom"/>
          </w:tcPr>
          <w:p>
            <w:pPr>
              <w:ind w:left="140"/>
              <w:spacing w:after="0" w:line="214" w:lineRule="exact"/>
              <w:rPr>
                <w:sz w:val="20"/>
                <w:szCs w:val="20"/>
                <w:color w:val="auto"/>
              </w:rPr>
            </w:pPr>
            <w:r>
              <w:rPr>
                <w:rFonts w:ascii="Arial" w:cs="Arial" w:eastAsia="Arial" w:hAnsi="Arial"/>
                <w:sz w:val="19"/>
                <w:szCs w:val="19"/>
                <w:color w:val="auto"/>
              </w:rPr>
              <w:t>Item 9.</w:t>
            </w:r>
          </w:p>
        </w:tc>
        <w:tc>
          <w:tcPr>
            <w:tcW w:w="8260" w:type="dxa"/>
            <w:vAlign w:val="bottom"/>
            <w:gridSpan w:val="25"/>
          </w:tcPr>
          <w:p>
            <w:pPr>
              <w:spacing w:after="0" w:line="214" w:lineRule="exact"/>
              <w:rPr>
                <w:rFonts w:ascii="Arial" w:cs="Arial" w:eastAsia="Arial" w:hAnsi="Arial"/>
                <w:sz w:val="19"/>
                <w:szCs w:val="19"/>
                <w:color w:val="0000FF"/>
              </w:rPr>
            </w:pPr>
            <w:hyperlink w:anchor="page118">
              <w:r>
                <w:rPr>
                  <w:rFonts w:ascii="Arial" w:cs="Arial" w:eastAsia="Arial" w:hAnsi="Arial"/>
                  <w:sz w:val="19"/>
                  <w:szCs w:val="19"/>
                  <w:color w:val="0000FF"/>
                </w:rPr>
                <w:t>Changes in and Disagreements With Accountants on Accounting and Financial Disclosure</w:t>
              </w:r>
            </w:hyperlink>
          </w:p>
        </w:tc>
        <w:tc>
          <w:tcPr>
            <w:tcW w:w="720" w:type="dxa"/>
            <w:vAlign w:val="bottom"/>
          </w:tcPr>
          <w:p>
            <w:pPr>
              <w:jc w:val="right"/>
              <w:spacing w:after="0" w:line="214" w:lineRule="exact"/>
              <w:rPr>
                <w:sz w:val="20"/>
                <w:szCs w:val="20"/>
                <w:color w:val="auto"/>
              </w:rPr>
            </w:pPr>
            <w:r>
              <w:rPr>
                <w:rFonts w:ascii="Arial" w:cs="Arial" w:eastAsia="Arial" w:hAnsi="Arial"/>
                <w:sz w:val="19"/>
                <w:szCs w:val="19"/>
                <w:color w:val="auto"/>
              </w:rPr>
              <w:t>114</w:t>
            </w:r>
          </w:p>
        </w:tc>
        <w:tc>
          <w:tcPr>
            <w:tcW w:w="0" w:type="dxa"/>
            <w:vAlign w:val="bottom"/>
          </w:tcPr>
          <w:p>
            <w:pPr>
              <w:spacing w:after="0"/>
              <w:rPr>
                <w:sz w:val="1"/>
                <w:szCs w:val="1"/>
                <w:color w:val="auto"/>
              </w:rPr>
            </w:pPr>
          </w:p>
        </w:tc>
      </w:tr>
      <w:tr>
        <w:trPr>
          <w:trHeight w:val="213"/>
        </w:trPr>
        <w:tc>
          <w:tcPr>
            <w:tcW w:w="1100" w:type="dxa"/>
            <w:vAlign w:val="bottom"/>
          </w:tcPr>
          <w:p>
            <w:pPr>
              <w:ind w:left="140"/>
              <w:spacing w:after="0" w:line="214" w:lineRule="exact"/>
              <w:rPr>
                <w:sz w:val="20"/>
                <w:szCs w:val="20"/>
                <w:color w:val="auto"/>
              </w:rPr>
            </w:pPr>
            <w:r>
              <w:rPr>
                <w:rFonts w:ascii="Arial" w:cs="Arial" w:eastAsia="Arial" w:hAnsi="Arial"/>
                <w:sz w:val="19"/>
                <w:szCs w:val="19"/>
                <w:color w:val="auto"/>
              </w:rPr>
              <w:t>Item 9A.</w:t>
            </w:r>
          </w:p>
        </w:tc>
        <w:tc>
          <w:tcPr>
            <w:tcW w:w="2120" w:type="dxa"/>
            <w:vAlign w:val="bottom"/>
            <w:tcBorders>
              <w:top w:val="single" w:sz="8" w:color="0000FF"/>
              <w:bottom w:val="single" w:sz="8" w:color="0000FF"/>
            </w:tcBorders>
            <w:gridSpan w:val="12"/>
          </w:tcPr>
          <w:p>
            <w:pPr>
              <w:spacing w:after="0" w:line="214" w:lineRule="exact"/>
              <w:rPr>
                <w:rFonts w:ascii="Arial" w:cs="Arial" w:eastAsia="Arial" w:hAnsi="Arial"/>
                <w:sz w:val="19"/>
                <w:szCs w:val="19"/>
                <w:color w:val="0000FF"/>
                <w:w w:val="99"/>
              </w:rPr>
            </w:pPr>
            <w:hyperlink w:anchor="page118">
              <w:r>
                <w:rPr>
                  <w:rFonts w:ascii="Arial" w:cs="Arial" w:eastAsia="Arial" w:hAnsi="Arial"/>
                  <w:sz w:val="19"/>
                  <w:szCs w:val="19"/>
                  <w:color w:val="0000FF"/>
                  <w:w w:val="99"/>
                </w:rPr>
                <w:t>Controls and Procedures</w:t>
              </w:r>
            </w:hyperlink>
          </w:p>
        </w:tc>
        <w:tc>
          <w:tcPr>
            <w:tcW w:w="5460" w:type="dxa"/>
            <w:vAlign w:val="bottom"/>
            <w:tcBorders>
              <w:top w:val="single" w:sz="8" w:color="0000FF"/>
            </w:tcBorders>
            <w:gridSpan w:val="10"/>
          </w:tcPr>
          <w:p>
            <w:pPr>
              <w:spacing w:after="0"/>
              <w:rPr>
                <w:sz w:val="18"/>
                <w:szCs w:val="18"/>
                <w:color w:val="auto"/>
              </w:rPr>
            </w:pPr>
          </w:p>
        </w:tc>
        <w:tc>
          <w:tcPr>
            <w:tcW w:w="680" w:type="dxa"/>
            <w:vAlign w:val="bottom"/>
            <w:gridSpan w:val="3"/>
          </w:tcPr>
          <w:p>
            <w:pPr>
              <w:spacing w:after="0"/>
              <w:rPr>
                <w:sz w:val="18"/>
                <w:szCs w:val="18"/>
                <w:color w:val="auto"/>
              </w:rPr>
            </w:pPr>
          </w:p>
        </w:tc>
        <w:tc>
          <w:tcPr>
            <w:tcW w:w="720" w:type="dxa"/>
            <w:vAlign w:val="bottom"/>
          </w:tcPr>
          <w:p>
            <w:pPr>
              <w:jc w:val="right"/>
              <w:spacing w:after="0" w:line="214" w:lineRule="exact"/>
              <w:rPr>
                <w:sz w:val="20"/>
                <w:szCs w:val="20"/>
                <w:color w:val="auto"/>
              </w:rPr>
            </w:pPr>
            <w:r>
              <w:rPr>
                <w:rFonts w:ascii="Arial" w:cs="Arial" w:eastAsia="Arial" w:hAnsi="Arial"/>
                <w:sz w:val="19"/>
                <w:szCs w:val="19"/>
                <w:color w:val="auto"/>
              </w:rPr>
              <w:t>114</w:t>
            </w:r>
          </w:p>
        </w:tc>
        <w:tc>
          <w:tcPr>
            <w:tcW w:w="0" w:type="dxa"/>
            <w:vAlign w:val="bottom"/>
          </w:tcPr>
          <w:p>
            <w:pPr>
              <w:spacing w:after="0"/>
              <w:rPr>
                <w:sz w:val="1"/>
                <w:szCs w:val="1"/>
                <w:color w:val="auto"/>
              </w:rPr>
            </w:pPr>
          </w:p>
        </w:tc>
      </w:tr>
      <w:tr>
        <w:trPr>
          <w:trHeight w:val="213"/>
        </w:trPr>
        <w:tc>
          <w:tcPr>
            <w:tcW w:w="1100" w:type="dxa"/>
            <w:vAlign w:val="bottom"/>
          </w:tcPr>
          <w:p>
            <w:pPr>
              <w:ind w:left="140"/>
              <w:spacing w:after="0" w:line="214" w:lineRule="exact"/>
              <w:rPr>
                <w:sz w:val="20"/>
                <w:szCs w:val="20"/>
                <w:color w:val="auto"/>
              </w:rPr>
            </w:pPr>
            <w:r>
              <w:rPr>
                <w:rFonts w:ascii="Arial" w:cs="Arial" w:eastAsia="Arial" w:hAnsi="Arial"/>
                <w:sz w:val="19"/>
                <w:szCs w:val="19"/>
                <w:color w:val="auto"/>
              </w:rPr>
              <w:t>Item 9B.</w:t>
            </w:r>
          </w:p>
        </w:tc>
        <w:tc>
          <w:tcPr>
            <w:tcW w:w="8260" w:type="dxa"/>
            <w:vAlign w:val="bottom"/>
            <w:gridSpan w:val="25"/>
          </w:tcPr>
          <w:p>
            <w:pPr>
              <w:spacing w:after="0" w:line="214" w:lineRule="exact"/>
              <w:rPr>
                <w:rFonts w:ascii="Arial" w:cs="Arial" w:eastAsia="Arial" w:hAnsi="Arial"/>
                <w:sz w:val="19"/>
                <w:szCs w:val="19"/>
                <w:color w:val="0000FF"/>
              </w:rPr>
            </w:pPr>
            <w:hyperlink w:anchor="page119">
              <w:r>
                <w:rPr>
                  <w:rFonts w:ascii="Arial" w:cs="Arial" w:eastAsia="Arial" w:hAnsi="Arial"/>
                  <w:sz w:val="19"/>
                  <w:szCs w:val="19"/>
                  <w:color w:val="0000FF"/>
                </w:rPr>
                <w:t>Other Information</w:t>
              </w:r>
            </w:hyperlink>
          </w:p>
        </w:tc>
        <w:tc>
          <w:tcPr>
            <w:tcW w:w="720" w:type="dxa"/>
            <w:vAlign w:val="bottom"/>
          </w:tcPr>
          <w:p>
            <w:pPr>
              <w:jc w:val="right"/>
              <w:spacing w:after="0" w:line="214" w:lineRule="exact"/>
              <w:rPr>
                <w:sz w:val="20"/>
                <w:szCs w:val="20"/>
                <w:color w:val="auto"/>
              </w:rPr>
            </w:pPr>
            <w:r>
              <w:rPr>
                <w:rFonts w:ascii="Arial" w:cs="Arial" w:eastAsia="Arial" w:hAnsi="Arial"/>
                <w:sz w:val="19"/>
                <w:szCs w:val="19"/>
                <w:color w:val="auto"/>
              </w:rPr>
              <w:t>115</w:t>
            </w:r>
          </w:p>
        </w:tc>
        <w:tc>
          <w:tcPr>
            <w:tcW w:w="0" w:type="dxa"/>
            <w:vAlign w:val="bottom"/>
          </w:tcPr>
          <w:p>
            <w:pPr>
              <w:spacing w:after="0"/>
              <w:rPr>
                <w:sz w:val="1"/>
                <w:szCs w:val="1"/>
                <w:color w:val="auto"/>
              </w:rPr>
            </w:pPr>
          </w:p>
        </w:tc>
      </w:tr>
      <w:tr>
        <w:trPr>
          <w:trHeight w:val="20"/>
        </w:trPr>
        <w:tc>
          <w:tcPr>
            <w:tcW w:w="1100" w:type="dxa"/>
            <w:vAlign w:val="bottom"/>
            <w:vMerge w:val="restart"/>
          </w:tcPr>
          <w:p>
            <w:pPr>
              <w:ind w:left="140"/>
              <w:spacing w:after="0"/>
              <w:rPr>
                <w:sz w:val="20"/>
                <w:szCs w:val="20"/>
                <w:color w:val="auto"/>
              </w:rPr>
            </w:pPr>
            <w:r>
              <w:rPr>
                <w:rFonts w:ascii="Arial" w:cs="Arial" w:eastAsia="Arial" w:hAnsi="Arial"/>
                <w:sz w:val="19"/>
                <w:szCs w:val="19"/>
                <w:color w:val="auto"/>
              </w:rPr>
              <w:t>Item 9C.</w:t>
            </w:r>
          </w:p>
        </w:tc>
        <w:tc>
          <w:tcPr>
            <w:tcW w:w="880" w:type="dxa"/>
            <w:vAlign w:val="bottom"/>
            <w:gridSpan w:val="4"/>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Arial" w:cs="Arial" w:eastAsia="Arial" w:hAnsi="Arial"/>
                <w:sz w:val="19"/>
                <w:szCs w:val="19"/>
                <w:color w:val="auto"/>
              </w:rPr>
              <w:t>115</w:t>
            </w:r>
          </w:p>
        </w:tc>
        <w:tc>
          <w:tcPr>
            <w:tcW w:w="0" w:type="dxa"/>
            <w:vAlign w:val="bottom"/>
          </w:tcPr>
          <w:p>
            <w:pPr>
              <w:spacing w:after="0" w:line="20" w:lineRule="exact"/>
              <w:rPr>
                <w:sz w:val="1"/>
                <w:szCs w:val="1"/>
                <w:color w:val="auto"/>
              </w:rPr>
            </w:pPr>
          </w:p>
        </w:tc>
      </w:tr>
      <w:tr>
        <w:trPr>
          <w:trHeight w:val="213"/>
        </w:trPr>
        <w:tc>
          <w:tcPr>
            <w:tcW w:w="1100" w:type="dxa"/>
            <w:vAlign w:val="bottom"/>
            <w:vMerge w:val="continue"/>
          </w:tcPr>
          <w:p>
            <w:pPr>
              <w:spacing w:after="0"/>
              <w:rPr>
                <w:sz w:val="18"/>
                <w:szCs w:val="18"/>
                <w:color w:val="auto"/>
              </w:rPr>
            </w:pPr>
          </w:p>
        </w:tc>
        <w:tc>
          <w:tcPr>
            <w:tcW w:w="8260" w:type="dxa"/>
            <w:vAlign w:val="bottom"/>
            <w:gridSpan w:val="25"/>
          </w:tcPr>
          <w:p>
            <w:pPr>
              <w:spacing w:after="0" w:line="214" w:lineRule="exact"/>
              <w:rPr>
                <w:rFonts w:ascii="Arial" w:cs="Arial" w:eastAsia="Arial" w:hAnsi="Arial"/>
                <w:sz w:val="19"/>
                <w:szCs w:val="19"/>
                <w:color w:val="0000FF"/>
              </w:rPr>
            </w:pPr>
            <w:hyperlink w:anchor="page119">
              <w:r>
                <w:rPr>
                  <w:rFonts w:ascii="Arial" w:cs="Arial" w:eastAsia="Arial" w:hAnsi="Arial"/>
                  <w:sz w:val="19"/>
                  <w:szCs w:val="19"/>
                  <w:color w:val="0000FF"/>
                </w:rPr>
                <w:t>Disclosure Regarding Foreign Jurisdictions that Prevent Inspections</w:t>
              </w:r>
            </w:hyperlink>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64"/>
        </w:trPr>
        <w:tc>
          <w:tcPr>
            <w:tcW w:w="1100" w:type="dxa"/>
            <w:vAlign w:val="bottom"/>
          </w:tcPr>
          <w:p>
            <w:pPr>
              <w:spacing w:after="0"/>
              <w:rPr>
                <w:sz w:val="20"/>
                <w:szCs w:val="20"/>
                <w:color w:val="auto"/>
              </w:rPr>
            </w:pPr>
            <w:r>
              <w:rPr>
                <w:rFonts w:ascii="Arial" w:cs="Arial" w:eastAsia="Arial" w:hAnsi="Arial"/>
                <w:sz w:val="19"/>
                <w:szCs w:val="19"/>
                <w:b w:val="1"/>
                <w:bCs w:val="1"/>
                <w:color w:val="auto"/>
              </w:rPr>
              <w:t>PART III</w:t>
            </w:r>
          </w:p>
        </w:tc>
        <w:tc>
          <w:tcPr>
            <w:tcW w:w="24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00" w:type="dxa"/>
            <w:vAlign w:val="bottom"/>
          </w:tcPr>
          <w:p>
            <w:pPr>
              <w:ind w:left="140"/>
              <w:spacing w:after="0" w:line="216" w:lineRule="exact"/>
              <w:rPr>
                <w:sz w:val="20"/>
                <w:szCs w:val="20"/>
                <w:color w:val="auto"/>
              </w:rPr>
            </w:pPr>
            <w:r>
              <w:rPr>
                <w:rFonts w:ascii="Arial" w:cs="Arial" w:eastAsia="Arial" w:hAnsi="Arial"/>
                <w:sz w:val="19"/>
                <w:szCs w:val="19"/>
                <w:color w:val="auto"/>
              </w:rPr>
              <w:t>Item 10.</w:t>
            </w:r>
          </w:p>
        </w:tc>
        <w:tc>
          <w:tcPr>
            <w:tcW w:w="8260" w:type="dxa"/>
            <w:vAlign w:val="bottom"/>
            <w:gridSpan w:val="25"/>
          </w:tcPr>
          <w:p>
            <w:pPr>
              <w:spacing w:after="0" w:line="216" w:lineRule="exact"/>
              <w:rPr>
                <w:rFonts w:ascii="Arial" w:cs="Arial" w:eastAsia="Arial" w:hAnsi="Arial"/>
                <w:sz w:val="19"/>
                <w:szCs w:val="19"/>
                <w:color w:val="0000FF"/>
              </w:rPr>
            </w:pPr>
            <w:hyperlink w:anchor="page120">
              <w:r>
                <w:rPr>
                  <w:rFonts w:ascii="Arial" w:cs="Arial" w:eastAsia="Arial" w:hAnsi="Arial"/>
                  <w:sz w:val="19"/>
                  <w:szCs w:val="19"/>
                  <w:color w:val="0000FF"/>
                </w:rPr>
                <w:t>Directors, Executive Officers and Corporate Governance</w:t>
              </w:r>
            </w:hyperlink>
          </w:p>
        </w:tc>
        <w:tc>
          <w:tcPr>
            <w:tcW w:w="720" w:type="dxa"/>
            <w:vAlign w:val="bottom"/>
          </w:tcPr>
          <w:p>
            <w:pPr>
              <w:jc w:val="right"/>
              <w:spacing w:after="0" w:line="216" w:lineRule="exact"/>
              <w:rPr>
                <w:sz w:val="20"/>
                <w:szCs w:val="20"/>
                <w:color w:val="auto"/>
              </w:rPr>
            </w:pPr>
            <w:r>
              <w:rPr>
                <w:rFonts w:ascii="Arial" w:cs="Arial" w:eastAsia="Arial" w:hAnsi="Arial"/>
                <w:sz w:val="19"/>
                <w:szCs w:val="19"/>
                <w:color w:val="auto"/>
              </w:rPr>
              <w:t>116</w:t>
            </w:r>
          </w:p>
        </w:tc>
        <w:tc>
          <w:tcPr>
            <w:tcW w:w="0" w:type="dxa"/>
            <w:vAlign w:val="bottom"/>
          </w:tcPr>
          <w:p>
            <w:pPr>
              <w:spacing w:after="0"/>
              <w:rPr>
                <w:sz w:val="1"/>
                <w:szCs w:val="1"/>
                <w:color w:val="auto"/>
              </w:rPr>
            </w:pPr>
          </w:p>
        </w:tc>
      </w:tr>
      <w:tr>
        <w:trPr>
          <w:trHeight w:val="213"/>
        </w:trPr>
        <w:tc>
          <w:tcPr>
            <w:tcW w:w="1100" w:type="dxa"/>
            <w:vAlign w:val="bottom"/>
          </w:tcPr>
          <w:p>
            <w:pPr>
              <w:ind w:left="140"/>
              <w:spacing w:after="0" w:line="214" w:lineRule="exact"/>
              <w:rPr>
                <w:sz w:val="20"/>
                <w:szCs w:val="20"/>
                <w:color w:val="auto"/>
              </w:rPr>
            </w:pPr>
            <w:r>
              <w:rPr>
                <w:rFonts w:ascii="Arial" w:cs="Arial" w:eastAsia="Arial" w:hAnsi="Arial"/>
                <w:sz w:val="19"/>
                <w:szCs w:val="19"/>
                <w:color w:val="auto"/>
              </w:rPr>
              <w:t>Item 11.</w:t>
            </w:r>
          </w:p>
        </w:tc>
        <w:tc>
          <w:tcPr>
            <w:tcW w:w="2120" w:type="dxa"/>
            <w:vAlign w:val="bottom"/>
            <w:tcBorders>
              <w:top w:val="single" w:sz="8" w:color="0000FF"/>
              <w:bottom w:val="single" w:sz="8" w:color="0000FF"/>
            </w:tcBorders>
            <w:gridSpan w:val="12"/>
          </w:tcPr>
          <w:p>
            <w:pPr>
              <w:spacing w:after="0" w:line="214" w:lineRule="exact"/>
              <w:rPr>
                <w:rFonts w:ascii="Arial" w:cs="Arial" w:eastAsia="Arial" w:hAnsi="Arial"/>
                <w:sz w:val="19"/>
                <w:szCs w:val="19"/>
                <w:color w:val="0000FF"/>
                <w:w w:val="99"/>
              </w:rPr>
            </w:pPr>
            <w:hyperlink w:anchor="page120">
              <w:r>
                <w:rPr>
                  <w:rFonts w:ascii="Arial" w:cs="Arial" w:eastAsia="Arial" w:hAnsi="Arial"/>
                  <w:sz w:val="19"/>
                  <w:szCs w:val="19"/>
                  <w:color w:val="0000FF"/>
                  <w:w w:val="99"/>
                </w:rPr>
                <w:t>Executive Compensation</w:t>
              </w:r>
            </w:hyperlink>
          </w:p>
        </w:tc>
        <w:tc>
          <w:tcPr>
            <w:tcW w:w="2640" w:type="dxa"/>
            <w:vAlign w:val="bottom"/>
            <w:tcBorders>
              <w:top w:val="single" w:sz="8" w:color="0000FF"/>
            </w:tcBorders>
            <w:gridSpan w:val="5"/>
          </w:tcPr>
          <w:p>
            <w:pPr>
              <w:spacing w:after="0"/>
              <w:rPr>
                <w:sz w:val="18"/>
                <w:szCs w:val="18"/>
                <w:color w:val="auto"/>
              </w:rPr>
            </w:pPr>
          </w:p>
        </w:tc>
        <w:tc>
          <w:tcPr>
            <w:tcW w:w="3500" w:type="dxa"/>
            <w:vAlign w:val="bottom"/>
            <w:gridSpan w:val="8"/>
          </w:tcPr>
          <w:p>
            <w:pPr>
              <w:spacing w:after="0"/>
              <w:rPr>
                <w:sz w:val="18"/>
                <w:szCs w:val="18"/>
                <w:color w:val="auto"/>
              </w:rPr>
            </w:pPr>
          </w:p>
        </w:tc>
        <w:tc>
          <w:tcPr>
            <w:tcW w:w="720" w:type="dxa"/>
            <w:vAlign w:val="bottom"/>
          </w:tcPr>
          <w:p>
            <w:pPr>
              <w:jc w:val="right"/>
              <w:spacing w:after="0" w:line="214" w:lineRule="exact"/>
              <w:rPr>
                <w:sz w:val="20"/>
                <w:szCs w:val="20"/>
                <w:color w:val="auto"/>
              </w:rPr>
            </w:pPr>
            <w:r>
              <w:rPr>
                <w:rFonts w:ascii="Arial" w:cs="Arial" w:eastAsia="Arial" w:hAnsi="Arial"/>
                <w:sz w:val="19"/>
                <w:szCs w:val="19"/>
                <w:color w:val="auto"/>
              </w:rPr>
              <w:t>116</w:t>
            </w:r>
          </w:p>
        </w:tc>
        <w:tc>
          <w:tcPr>
            <w:tcW w:w="0" w:type="dxa"/>
            <w:vAlign w:val="bottom"/>
          </w:tcPr>
          <w:p>
            <w:pPr>
              <w:spacing w:after="0"/>
              <w:rPr>
                <w:sz w:val="1"/>
                <w:szCs w:val="1"/>
                <w:color w:val="auto"/>
              </w:rPr>
            </w:pPr>
          </w:p>
        </w:tc>
      </w:tr>
      <w:tr>
        <w:trPr>
          <w:trHeight w:val="213"/>
        </w:trPr>
        <w:tc>
          <w:tcPr>
            <w:tcW w:w="1100" w:type="dxa"/>
            <w:vAlign w:val="bottom"/>
          </w:tcPr>
          <w:p>
            <w:pPr>
              <w:ind w:left="140"/>
              <w:spacing w:after="0" w:line="214" w:lineRule="exact"/>
              <w:rPr>
                <w:sz w:val="20"/>
                <w:szCs w:val="20"/>
                <w:color w:val="auto"/>
              </w:rPr>
            </w:pPr>
            <w:r>
              <w:rPr>
                <w:rFonts w:ascii="Arial" w:cs="Arial" w:eastAsia="Arial" w:hAnsi="Arial"/>
                <w:sz w:val="19"/>
                <w:szCs w:val="19"/>
                <w:color w:val="auto"/>
              </w:rPr>
              <w:t>Item 12.</w:t>
            </w:r>
          </w:p>
        </w:tc>
        <w:tc>
          <w:tcPr>
            <w:tcW w:w="8260" w:type="dxa"/>
            <w:vAlign w:val="bottom"/>
            <w:gridSpan w:val="25"/>
          </w:tcPr>
          <w:p>
            <w:pPr>
              <w:spacing w:after="0" w:line="214" w:lineRule="exact"/>
              <w:rPr>
                <w:rFonts w:ascii="Arial" w:cs="Arial" w:eastAsia="Arial" w:hAnsi="Arial"/>
                <w:sz w:val="19"/>
                <w:szCs w:val="19"/>
                <w:color w:val="0000FF"/>
              </w:rPr>
            </w:pPr>
            <w:hyperlink w:anchor="page120">
              <w:r>
                <w:rPr>
                  <w:rFonts w:ascii="Arial" w:cs="Arial" w:eastAsia="Arial" w:hAnsi="Arial"/>
                  <w:sz w:val="19"/>
                  <w:szCs w:val="19"/>
                  <w:color w:val="0000FF"/>
                </w:rPr>
                <w:t>Security Ownership of Certain Beneficial Owners and Management and Related Stockholder</w:t>
              </w:r>
            </w:hyperlink>
          </w:p>
        </w:tc>
        <w:tc>
          <w:tcPr>
            <w:tcW w:w="720" w:type="dxa"/>
            <w:vAlign w:val="bottom"/>
            <w:vMerge w:val="restart"/>
          </w:tcPr>
          <w:p>
            <w:pPr>
              <w:jc w:val="right"/>
              <w:spacing w:after="0"/>
              <w:rPr>
                <w:sz w:val="20"/>
                <w:szCs w:val="20"/>
                <w:color w:val="auto"/>
              </w:rPr>
            </w:pPr>
            <w:r>
              <w:rPr>
                <w:rFonts w:ascii="Arial" w:cs="Arial" w:eastAsia="Arial" w:hAnsi="Arial"/>
                <w:sz w:val="19"/>
                <w:szCs w:val="19"/>
                <w:color w:val="auto"/>
              </w:rPr>
              <w:t>116</w:t>
            </w:r>
          </w:p>
        </w:tc>
        <w:tc>
          <w:tcPr>
            <w:tcW w:w="0" w:type="dxa"/>
            <w:vAlign w:val="bottom"/>
          </w:tcPr>
          <w:p>
            <w:pPr>
              <w:spacing w:after="0"/>
              <w:rPr>
                <w:sz w:val="1"/>
                <w:szCs w:val="1"/>
                <w:color w:val="auto"/>
              </w:rPr>
            </w:pPr>
          </w:p>
        </w:tc>
      </w:tr>
      <w:tr>
        <w:trPr>
          <w:trHeight w:val="198"/>
        </w:trPr>
        <w:tc>
          <w:tcPr>
            <w:tcW w:w="110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7540" w:type="dxa"/>
            <w:vAlign w:val="bottom"/>
            <w:tcBorders>
              <w:top w:val="single" w:sz="8" w:color="0000FF"/>
            </w:tcBorders>
            <w:gridSpan w:val="22"/>
          </w:tcPr>
          <w:p>
            <w:pPr>
              <w:spacing w:after="0" w:line="199" w:lineRule="exact"/>
              <w:rPr>
                <w:rFonts w:ascii="Arial" w:cs="Arial" w:eastAsia="Arial" w:hAnsi="Arial"/>
                <w:sz w:val="19"/>
                <w:szCs w:val="19"/>
                <w:color w:val="0000FF"/>
              </w:rPr>
            </w:pPr>
            <w:hyperlink w:anchor="page120">
              <w:r>
                <w:rPr>
                  <w:rFonts w:ascii="Arial" w:cs="Arial" w:eastAsia="Arial" w:hAnsi="Arial"/>
                  <w:sz w:val="19"/>
                  <w:szCs w:val="19"/>
                  <w:color w:val="0000FF"/>
                </w:rPr>
                <w:t>Matters</w:t>
              </w:r>
            </w:hyperlink>
          </w:p>
        </w:tc>
        <w:tc>
          <w:tcPr>
            <w:tcW w:w="480" w:type="dxa"/>
            <w:vAlign w:val="bottom"/>
            <w:gridSpan w:val="2"/>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ind w:left="140"/>
              <w:spacing w:after="0"/>
              <w:rPr>
                <w:sz w:val="20"/>
                <w:szCs w:val="20"/>
                <w:color w:val="auto"/>
              </w:rPr>
            </w:pPr>
            <w:r>
              <w:rPr>
                <w:rFonts w:ascii="Arial" w:cs="Arial" w:eastAsia="Arial" w:hAnsi="Arial"/>
                <w:sz w:val="19"/>
                <w:szCs w:val="19"/>
                <w:color w:val="auto"/>
              </w:rPr>
              <w:t>Item 13.</w:t>
            </w:r>
          </w:p>
        </w:tc>
        <w:tc>
          <w:tcPr>
            <w:tcW w:w="24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Arial" w:cs="Arial" w:eastAsia="Arial" w:hAnsi="Arial"/>
                <w:sz w:val="19"/>
                <w:szCs w:val="19"/>
                <w:color w:val="auto"/>
              </w:rPr>
              <w:t>116</w:t>
            </w:r>
          </w:p>
        </w:tc>
        <w:tc>
          <w:tcPr>
            <w:tcW w:w="0" w:type="dxa"/>
            <w:vAlign w:val="bottom"/>
          </w:tcPr>
          <w:p>
            <w:pPr>
              <w:spacing w:after="0" w:line="20" w:lineRule="exact"/>
              <w:rPr>
                <w:sz w:val="1"/>
                <w:szCs w:val="1"/>
                <w:color w:val="auto"/>
              </w:rPr>
            </w:pPr>
          </w:p>
        </w:tc>
      </w:tr>
      <w:tr>
        <w:trPr>
          <w:trHeight w:val="213"/>
        </w:trPr>
        <w:tc>
          <w:tcPr>
            <w:tcW w:w="1100" w:type="dxa"/>
            <w:vAlign w:val="bottom"/>
            <w:vMerge w:val="continue"/>
          </w:tcPr>
          <w:p>
            <w:pPr>
              <w:spacing w:after="0"/>
              <w:rPr>
                <w:sz w:val="18"/>
                <w:szCs w:val="18"/>
                <w:color w:val="auto"/>
              </w:rPr>
            </w:pPr>
          </w:p>
        </w:tc>
        <w:tc>
          <w:tcPr>
            <w:tcW w:w="6440" w:type="dxa"/>
            <w:vAlign w:val="bottom"/>
            <w:tcBorders>
              <w:bottom w:val="single" w:sz="8" w:color="0000FF"/>
            </w:tcBorders>
            <w:gridSpan w:val="20"/>
          </w:tcPr>
          <w:p>
            <w:pPr>
              <w:spacing w:after="0" w:line="214" w:lineRule="exact"/>
              <w:rPr>
                <w:rFonts w:ascii="Arial" w:cs="Arial" w:eastAsia="Arial" w:hAnsi="Arial"/>
                <w:sz w:val="19"/>
                <w:szCs w:val="19"/>
                <w:color w:val="0000FF"/>
                <w:w w:val="99"/>
              </w:rPr>
            </w:pPr>
            <w:hyperlink w:anchor="page120">
              <w:r>
                <w:rPr>
                  <w:rFonts w:ascii="Arial" w:cs="Arial" w:eastAsia="Arial" w:hAnsi="Arial"/>
                  <w:sz w:val="19"/>
                  <w:szCs w:val="19"/>
                  <w:color w:val="0000FF"/>
                  <w:w w:val="99"/>
                </w:rPr>
                <w:t>Certain Relationships and Related Transactions, and Director Independence</w:t>
              </w:r>
            </w:hyperlink>
          </w:p>
        </w:tc>
        <w:tc>
          <w:tcPr>
            <w:tcW w:w="1820" w:type="dxa"/>
            <w:vAlign w:val="bottom"/>
            <w:gridSpan w:val="5"/>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00" w:type="dxa"/>
            <w:vAlign w:val="bottom"/>
          </w:tcPr>
          <w:p>
            <w:pPr>
              <w:ind w:left="140"/>
              <w:spacing w:after="0" w:line="214" w:lineRule="exact"/>
              <w:rPr>
                <w:sz w:val="20"/>
                <w:szCs w:val="20"/>
                <w:color w:val="auto"/>
              </w:rPr>
            </w:pPr>
            <w:r>
              <w:rPr>
                <w:rFonts w:ascii="Arial" w:cs="Arial" w:eastAsia="Arial" w:hAnsi="Arial"/>
                <w:sz w:val="19"/>
                <w:szCs w:val="19"/>
                <w:color w:val="auto"/>
              </w:rPr>
              <w:t>Item 14.</w:t>
            </w:r>
          </w:p>
        </w:tc>
        <w:tc>
          <w:tcPr>
            <w:tcW w:w="8260" w:type="dxa"/>
            <w:vAlign w:val="bottom"/>
            <w:gridSpan w:val="25"/>
          </w:tcPr>
          <w:p>
            <w:pPr>
              <w:spacing w:after="0" w:line="214" w:lineRule="exact"/>
              <w:rPr>
                <w:rFonts w:ascii="Arial" w:cs="Arial" w:eastAsia="Arial" w:hAnsi="Arial"/>
                <w:sz w:val="19"/>
                <w:szCs w:val="19"/>
                <w:color w:val="0000FF"/>
              </w:rPr>
            </w:pPr>
            <w:hyperlink w:anchor="page120">
              <w:r>
                <w:rPr>
                  <w:rFonts w:ascii="Arial" w:cs="Arial" w:eastAsia="Arial" w:hAnsi="Arial"/>
                  <w:sz w:val="19"/>
                  <w:szCs w:val="19"/>
                  <w:color w:val="0000FF"/>
                </w:rPr>
                <w:t>Principal Accountant Fees and Services</w:t>
              </w:r>
            </w:hyperlink>
          </w:p>
        </w:tc>
        <w:tc>
          <w:tcPr>
            <w:tcW w:w="720" w:type="dxa"/>
            <w:vAlign w:val="bottom"/>
          </w:tcPr>
          <w:p>
            <w:pPr>
              <w:jc w:val="right"/>
              <w:spacing w:after="0" w:line="214" w:lineRule="exact"/>
              <w:rPr>
                <w:sz w:val="20"/>
                <w:szCs w:val="20"/>
                <w:color w:val="auto"/>
              </w:rPr>
            </w:pPr>
            <w:r>
              <w:rPr>
                <w:rFonts w:ascii="Arial" w:cs="Arial" w:eastAsia="Arial" w:hAnsi="Arial"/>
                <w:sz w:val="19"/>
                <w:szCs w:val="19"/>
                <w:color w:val="auto"/>
              </w:rPr>
              <w:t>116</w:t>
            </w:r>
          </w:p>
        </w:tc>
        <w:tc>
          <w:tcPr>
            <w:tcW w:w="0" w:type="dxa"/>
            <w:vAlign w:val="bottom"/>
          </w:tcPr>
          <w:p>
            <w:pPr>
              <w:spacing w:after="0"/>
              <w:rPr>
                <w:sz w:val="1"/>
                <w:szCs w:val="1"/>
                <w:color w:val="auto"/>
              </w:rPr>
            </w:pPr>
          </w:p>
        </w:tc>
      </w:tr>
      <w:tr>
        <w:trPr>
          <w:trHeight w:val="464"/>
        </w:trPr>
        <w:tc>
          <w:tcPr>
            <w:tcW w:w="1100" w:type="dxa"/>
            <w:vAlign w:val="bottom"/>
          </w:tcPr>
          <w:p>
            <w:pPr>
              <w:spacing w:after="0"/>
              <w:rPr>
                <w:sz w:val="20"/>
                <w:szCs w:val="20"/>
                <w:color w:val="auto"/>
              </w:rPr>
            </w:pPr>
            <w:r>
              <w:rPr>
                <w:rFonts w:ascii="Arial" w:cs="Arial" w:eastAsia="Arial" w:hAnsi="Arial"/>
                <w:sz w:val="19"/>
                <w:szCs w:val="19"/>
                <w:b w:val="1"/>
                <w:bCs w:val="1"/>
                <w:color w:val="auto"/>
              </w:rPr>
              <w:t>PART IV</w:t>
            </w:r>
          </w:p>
        </w:tc>
        <w:tc>
          <w:tcPr>
            <w:tcW w:w="24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00" w:type="dxa"/>
            <w:vAlign w:val="bottom"/>
          </w:tcPr>
          <w:p>
            <w:pPr>
              <w:ind w:left="140"/>
              <w:spacing w:after="0" w:line="216" w:lineRule="exact"/>
              <w:rPr>
                <w:sz w:val="20"/>
                <w:szCs w:val="20"/>
                <w:color w:val="auto"/>
              </w:rPr>
            </w:pPr>
            <w:r>
              <w:rPr>
                <w:rFonts w:ascii="Arial" w:cs="Arial" w:eastAsia="Arial" w:hAnsi="Arial"/>
                <w:sz w:val="19"/>
                <w:szCs w:val="19"/>
                <w:color w:val="auto"/>
              </w:rPr>
              <w:t>Item 15.</w:t>
            </w:r>
          </w:p>
        </w:tc>
        <w:tc>
          <w:tcPr>
            <w:tcW w:w="3720" w:type="dxa"/>
            <w:vAlign w:val="bottom"/>
            <w:tcBorders>
              <w:bottom w:val="single" w:sz="8" w:color="0000FF"/>
            </w:tcBorders>
            <w:gridSpan w:val="15"/>
          </w:tcPr>
          <w:p>
            <w:pPr>
              <w:spacing w:after="0" w:line="216" w:lineRule="exact"/>
              <w:rPr>
                <w:rFonts w:ascii="Arial" w:cs="Arial" w:eastAsia="Arial" w:hAnsi="Arial"/>
                <w:sz w:val="19"/>
                <w:szCs w:val="19"/>
                <w:color w:val="0000FF"/>
                <w:w w:val="99"/>
              </w:rPr>
            </w:pPr>
            <w:hyperlink w:anchor="page121">
              <w:r>
                <w:rPr>
                  <w:rFonts w:ascii="Arial" w:cs="Arial" w:eastAsia="Arial" w:hAnsi="Arial"/>
                  <w:sz w:val="19"/>
                  <w:szCs w:val="19"/>
                  <w:color w:val="0000FF"/>
                  <w:w w:val="99"/>
                </w:rPr>
                <w:t>Exhibits and Financial Statement Schedules</w:t>
              </w:r>
            </w:hyperlink>
          </w:p>
        </w:tc>
        <w:tc>
          <w:tcPr>
            <w:tcW w:w="4540" w:type="dxa"/>
            <w:vAlign w:val="bottom"/>
            <w:gridSpan w:val="10"/>
          </w:tcPr>
          <w:p>
            <w:pPr>
              <w:spacing w:after="0"/>
              <w:rPr>
                <w:sz w:val="18"/>
                <w:szCs w:val="18"/>
                <w:color w:val="auto"/>
              </w:rPr>
            </w:pPr>
          </w:p>
        </w:tc>
        <w:tc>
          <w:tcPr>
            <w:tcW w:w="720" w:type="dxa"/>
            <w:vAlign w:val="bottom"/>
          </w:tcPr>
          <w:p>
            <w:pPr>
              <w:jc w:val="right"/>
              <w:spacing w:after="0" w:line="216" w:lineRule="exact"/>
              <w:rPr>
                <w:sz w:val="20"/>
                <w:szCs w:val="20"/>
                <w:color w:val="auto"/>
              </w:rPr>
            </w:pPr>
            <w:r>
              <w:rPr>
                <w:rFonts w:ascii="Arial" w:cs="Arial" w:eastAsia="Arial" w:hAnsi="Arial"/>
                <w:sz w:val="19"/>
                <w:szCs w:val="19"/>
                <w:color w:val="auto"/>
              </w:rPr>
              <w:t>117</w:t>
            </w:r>
          </w:p>
        </w:tc>
        <w:tc>
          <w:tcPr>
            <w:tcW w:w="0" w:type="dxa"/>
            <w:vAlign w:val="bottom"/>
          </w:tcPr>
          <w:p>
            <w:pPr>
              <w:spacing w:after="0"/>
              <w:rPr>
                <w:sz w:val="1"/>
                <w:szCs w:val="1"/>
                <w:color w:val="auto"/>
              </w:rPr>
            </w:pPr>
          </w:p>
        </w:tc>
      </w:tr>
      <w:tr>
        <w:trPr>
          <w:trHeight w:val="213"/>
        </w:trPr>
        <w:tc>
          <w:tcPr>
            <w:tcW w:w="1100" w:type="dxa"/>
            <w:vAlign w:val="bottom"/>
          </w:tcPr>
          <w:p>
            <w:pPr>
              <w:ind w:left="140"/>
              <w:spacing w:after="0" w:line="214" w:lineRule="exact"/>
              <w:rPr>
                <w:sz w:val="20"/>
                <w:szCs w:val="20"/>
                <w:color w:val="auto"/>
              </w:rPr>
            </w:pPr>
            <w:r>
              <w:rPr>
                <w:rFonts w:ascii="Arial" w:cs="Arial" w:eastAsia="Arial" w:hAnsi="Arial"/>
                <w:sz w:val="19"/>
                <w:szCs w:val="19"/>
                <w:color w:val="auto"/>
              </w:rPr>
              <w:t>Item 16.</w:t>
            </w:r>
          </w:p>
        </w:tc>
        <w:tc>
          <w:tcPr>
            <w:tcW w:w="1780" w:type="dxa"/>
            <w:vAlign w:val="bottom"/>
            <w:tcBorders>
              <w:bottom w:val="single" w:sz="8" w:color="0000FF"/>
            </w:tcBorders>
            <w:gridSpan w:val="10"/>
          </w:tcPr>
          <w:p>
            <w:pPr>
              <w:spacing w:after="0" w:line="214" w:lineRule="exact"/>
              <w:rPr>
                <w:rFonts w:ascii="Arial" w:cs="Arial" w:eastAsia="Arial" w:hAnsi="Arial"/>
                <w:sz w:val="19"/>
                <w:szCs w:val="19"/>
                <w:color w:val="0000FF"/>
                <w:w w:val="99"/>
              </w:rPr>
            </w:pPr>
            <w:hyperlink w:anchor="page123">
              <w:r>
                <w:rPr>
                  <w:rFonts w:ascii="Arial" w:cs="Arial" w:eastAsia="Arial" w:hAnsi="Arial"/>
                  <w:sz w:val="19"/>
                  <w:szCs w:val="19"/>
                  <w:color w:val="0000FF"/>
                  <w:w w:val="99"/>
                </w:rPr>
                <w:t>Form 10-K Summary</w:t>
              </w:r>
            </w:hyperlink>
          </w:p>
        </w:tc>
        <w:tc>
          <w:tcPr>
            <w:tcW w:w="6480" w:type="dxa"/>
            <w:vAlign w:val="bottom"/>
            <w:gridSpan w:val="15"/>
          </w:tcPr>
          <w:p>
            <w:pPr>
              <w:spacing w:after="0"/>
              <w:rPr>
                <w:sz w:val="18"/>
                <w:szCs w:val="18"/>
                <w:color w:val="auto"/>
              </w:rPr>
            </w:pPr>
          </w:p>
        </w:tc>
        <w:tc>
          <w:tcPr>
            <w:tcW w:w="720" w:type="dxa"/>
            <w:vAlign w:val="bottom"/>
          </w:tcPr>
          <w:p>
            <w:pPr>
              <w:jc w:val="right"/>
              <w:spacing w:after="0" w:line="214" w:lineRule="exact"/>
              <w:rPr>
                <w:sz w:val="20"/>
                <w:szCs w:val="20"/>
                <w:color w:val="auto"/>
              </w:rPr>
            </w:pPr>
            <w:r>
              <w:rPr>
                <w:rFonts w:ascii="Arial" w:cs="Arial" w:eastAsia="Arial" w:hAnsi="Arial"/>
                <w:sz w:val="19"/>
                <w:szCs w:val="19"/>
                <w:color w:val="auto"/>
              </w:rPr>
              <w:t>119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-4436745</wp:posOffset>
            </wp:positionV>
            <wp:extent cx="6426200" cy="4750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extLst>
                    </a:blip>
                    <a:srcRect/>
                    <a:stretch>
                      <a:fillRect/>
                    </a:stretch>
                  </pic:blipFill>
                  <pic:spPr bwMode="auto">
                    <a:xfrm>
                      <a:off x="0" y="0"/>
                      <a:ext cx="6426200" cy="4750435"/>
                    </a:xfrm>
                    <a:prstGeom prst="rect">
                      <a:avLst/>
                    </a:prstGeom>
                    <a:noFill/>
                  </pic:spPr>
                </pic:pic>
              </a:graphicData>
            </a:graphic>
          </wp:anchor>
        </w:drawing>
      </w:r>
    </w:p>
    <w:p>
      <w:pPr>
        <w:spacing w:after="0" w:line="159" w:lineRule="exact"/>
        <w:rPr>
          <w:sz w:val="20"/>
          <w:szCs w:val="20"/>
          <w:color w:val="auto"/>
        </w:rPr>
      </w:pPr>
    </w:p>
    <w:p>
      <w:pPr>
        <w:ind w:left="140"/>
        <w:spacing w:after="0"/>
        <w:rPr>
          <w:sz w:val="20"/>
          <w:szCs w:val="20"/>
          <w:color w:val="auto"/>
        </w:rPr>
      </w:pPr>
      <w:r>
        <w:rPr>
          <w:rFonts w:ascii="Arial" w:cs="Arial" w:eastAsia="Arial" w:hAnsi="Arial"/>
          <w:sz w:val="19"/>
          <w:szCs w:val="19"/>
          <w:u w:val="single" w:color="auto"/>
          <w:color w:val="0000FF"/>
        </w:rPr>
        <w:t xml:space="preserve">Signatures </w:t>
      </w:r>
      <w:r>
        <w:rPr>
          <w:sz w:val="1"/>
          <w:szCs w:val="1"/>
          <w:color w:val="auto"/>
        </w:rPr>
        <w:drawing>
          <wp:inline distT="0" distB="0" distL="0" distR="0">
            <wp:extent cx="5264785" cy="1651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a:extLst>
                        <a:ext uri="{28A0092B-C50C-407E-A947-70E740481C1C}"/>
                      </a:extLst>
                    </a:blip>
                    <a:srcRect/>
                    <a:stretch>
                      <a:fillRect/>
                    </a:stretch>
                  </pic:blipFill>
                  <pic:spPr bwMode="auto">
                    <a:xfrm>
                      <a:off x="0" y="0"/>
                      <a:ext cx="5264785" cy="165100"/>
                    </a:xfrm>
                    <a:prstGeom prst="rect">
                      <a:avLst/>
                    </a:prstGeom>
                    <a:noFill/>
                    <a:ln>
                      <a:noFill/>
                    </a:ln>
                  </pic:spPr>
                </pic:pic>
              </a:graphicData>
            </a:graphic>
          </wp:inline>
        </w:drawing>
      </w:r>
    </w:p>
    <w:p>
      <w:pPr>
        <w:spacing w:after="0"/>
        <w:rPr>
          <w:sz w:val="20"/>
          <w:szCs w:val="20"/>
          <w:color w:val="auto"/>
        </w:rPr>
      </w:pPr>
      <w:r>
        <w:rPr>
          <w:rFonts w:ascii="Arial" w:cs="Arial" w:eastAsia="Arial" w:hAnsi="Arial"/>
          <w:sz w:val="19"/>
          <w:szCs w:val="19"/>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i</w:t>
      </w:r>
    </w:p>
    <w:p>
      <w:pPr>
        <w:sectPr>
          <w:pgSz w:w="12240" w:h="15840" w:orient="portrait"/>
          <w:cols w:equalWidth="0" w:num="1">
            <w:col w:w="10080"/>
          </w:cols>
          <w:pgMar w:left="1080" w:top="1058" w:right="1080" w:bottom="173" w:gutter="0" w:footer="0" w:header="0"/>
        </w:sectPr>
      </w:pPr>
    </w:p>
    <w:bookmarkStart w:id="4" w:name="page5"/>
    <w:bookmarkEnd w:id="4"/>
    <w:p>
      <w:pPr>
        <w:jc w:val="center"/>
        <w:ind w:right="-39"/>
        <w:spacing w:after="0"/>
        <w:rPr>
          <w:sz w:val="20"/>
          <w:szCs w:val="20"/>
          <w:color w:val="auto"/>
        </w:rPr>
      </w:pPr>
      <w:r>
        <w:rPr>
          <w:rFonts w:ascii="Arial" w:cs="Arial" w:eastAsia="Arial" w:hAnsi="Arial"/>
          <w:sz w:val="19"/>
          <w:szCs w:val="19"/>
          <w:b w:val="1"/>
          <w:bCs w:val="1"/>
          <w:color w:val="auto"/>
        </w:rPr>
        <w:t>Forward-Looking Statements</w:t>
      </w:r>
    </w:p>
    <w:p>
      <w:pPr>
        <w:spacing w:after="0" w:line="364" w:lineRule="exact"/>
        <w:rPr>
          <w:sz w:val="20"/>
          <w:szCs w:val="20"/>
          <w:color w:val="auto"/>
        </w:rPr>
      </w:pPr>
    </w:p>
    <w:p>
      <w:pPr>
        <w:ind w:right="60"/>
        <w:spacing w:after="0" w:line="244" w:lineRule="auto"/>
        <w:rPr>
          <w:sz w:val="20"/>
          <w:szCs w:val="20"/>
          <w:color w:val="auto"/>
        </w:rPr>
      </w:pPr>
      <w:r>
        <w:rPr>
          <w:rFonts w:ascii="Arial" w:cs="Arial" w:eastAsia="Arial" w:hAnsi="Arial"/>
          <w:sz w:val="19"/>
          <w:szCs w:val="19"/>
          <w:color w:val="auto"/>
        </w:rPr>
        <w:t>This Annual Report on Form 10-K contains forward-looking statements. We intend such forward-looking statements to be covered by the safe harbor provisions for forward-looking statements contained in Section 27A of the Securities Act of 1933, as amended, and Section 21E of the Securities Exchange Act of 1934, as amended. All statements other than statements of historical facts contained in this Annual Report on Form 10-K, including statements regarding our future results of operations and financial position, business strategy, product candidates, clinical development plans and expectations, prospective products, product approvals, research and development costs, timing and likelihood of success, and plans and objectives of management for future operations and results,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44" w:lineRule="exact"/>
        <w:rPr>
          <w:sz w:val="20"/>
          <w:szCs w:val="20"/>
          <w:color w:val="auto"/>
        </w:rPr>
      </w:pPr>
    </w:p>
    <w:p>
      <w:pPr>
        <w:spacing w:after="0" w:line="244" w:lineRule="auto"/>
        <w:rPr>
          <w:sz w:val="20"/>
          <w:szCs w:val="20"/>
          <w:color w:val="auto"/>
        </w:rPr>
      </w:pPr>
      <w:r>
        <w:rPr>
          <w:rFonts w:ascii="Arial" w:cs="Arial" w:eastAsia="Arial" w:hAnsi="Arial"/>
          <w:sz w:val="19"/>
          <w:szCs w:val="19"/>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Annual Report on Form 10-K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Annual Report on Form 10-K and are subject to a number of important factors that could cause actual results to differ materially from those in the forward-looking statements, including the risks, uncertainties and assumptions described under the sections in this Annual Report on Form 10-K titled “Risk Factors” and “Management’s Discussion and Analysis of Financial Condition and Results of Operations.” These forward-looking statements are subject to numerous risks, including, without limitation, the following:</w:t>
      </w:r>
    </w:p>
    <w:p>
      <w:pPr>
        <w:spacing w:after="0" w:line="218" w:lineRule="exact"/>
        <w:rPr>
          <w:sz w:val="20"/>
          <w:szCs w:val="20"/>
          <w:color w:val="auto"/>
        </w:rPr>
      </w:pPr>
    </w:p>
    <w:p>
      <w:pPr>
        <w:ind w:left="800" w:right="140" w:hanging="354"/>
        <w:spacing w:after="0" w:line="261" w:lineRule="auto"/>
        <w:tabs>
          <w:tab w:leader="none" w:pos="800"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timing and the success of preclinical studies and clinical trials of CAN-2409 (international non-proprietary name: aglatimagene besadenovec) and CAN-3110 and any other product candidates;</w:t>
      </w:r>
    </w:p>
    <w:p>
      <w:pPr>
        <w:spacing w:after="0" w:line="1" w:lineRule="exact"/>
        <w:rPr>
          <w:rFonts w:ascii="Arial" w:cs="Arial" w:eastAsia="Arial" w:hAnsi="Arial"/>
          <w:sz w:val="19"/>
          <w:szCs w:val="19"/>
          <w:color w:val="auto"/>
        </w:rPr>
      </w:pPr>
    </w:p>
    <w:p>
      <w:pPr>
        <w:ind w:left="800" w:hanging="354"/>
        <w:spacing w:after="0"/>
        <w:tabs>
          <w:tab w:leader="none" w:pos="800"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initiation of any clinical trials of CAN-2409 and CAN-3110 and any other product candidates;</w:t>
      </w:r>
    </w:p>
    <w:p>
      <w:pPr>
        <w:spacing w:after="0" w:line="39" w:lineRule="exact"/>
        <w:rPr>
          <w:rFonts w:ascii="Arial" w:cs="Arial" w:eastAsia="Arial" w:hAnsi="Arial"/>
          <w:sz w:val="19"/>
          <w:szCs w:val="19"/>
          <w:color w:val="auto"/>
        </w:rPr>
      </w:pPr>
    </w:p>
    <w:p>
      <w:pPr>
        <w:ind w:left="800" w:hanging="354"/>
        <w:spacing w:after="0"/>
        <w:tabs>
          <w:tab w:leader="none" w:pos="800" w:val="left"/>
        </w:tabs>
        <w:numPr>
          <w:ilvl w:val="0"/>
          <w:numId w:val="3"/>
        </w:numPr>
        <w:rPr>
          <w:rFonts w:ascii="Arial" w:cs="Arial" w:eastAsia="Arial" w:hAnsi="Arial"/>
          <w:sz w:val="19"/>
          <w:szCs w:val="19"/>
          <w:color w:val="auto"/>
        </w:rPr>
      </w:pPr>
      <w:r>
        <w:rPr>
          <w:rFonts w:ascii="Arial" w:cs="Arial" w:eastAsia="Arial" w:hAnsi="Arial"/>
          <w:sz w:val="19"/>
          <w:szCs w:val="19"/>
          <w:color w:val="auto"/>
        </w:rPr>
        <w:t>our need to raise additional funding before we can expect to generate any revenues from product sales;</w:t>
      </w:r>
    </w:p>
    <w:p>
      <w:pPr>
        <w:spacing w:after="0" w:line="39" w:lineRule="exact"/>
        <w:rPr>
          <w:rFonts w:ascii="Arial" w:cs="Arial" w:eastAsia="Arial" w:hAnsi="Arial"/>
          <w:sz w:val="19"/>
          <w:szCs w:val="19"/>
          <w:color w:val="auto"/>
        </w:rPr>
      </w:pPr>
    </w:p>
    <w:p>
      <w:pPr>
        <w:ind w:left="800" w:right="260" w:hanging="354"/>
        <w:spacing w:after="0" w:line="264" w:lineRule="auto"/>
        <w:tabs>
          <w:tab w:leader="none" w:pos="800" w:val="left"/>
        </w:tabs>
        <w:numPr>
          <w:ilvl w:val="0"/>
          <w:numId w:val="3"/>
        </w:numPr>
        <w:rPr>
          <w:rFonts w:ascii="Arial" w:cs="Arial" w:eastAsia="Arial" w:hAnsi="Arial"/>
          <w:sz w:val="19"/>
          <w:szCs w:val="19"/>
          <w:color w:val="auto"/>
        </w:rPr>
      </w:pPr>
      <w:r>
        <w:rPr>
          <w:rFonts w:ascii="Arial" w:cs="Arial" w:eastAsia="Arial" w:hAnsi="Arial"/>
          <w:sz w:val="19"/>
          <w:szCs w:val="19"/>
          <w:color w:val="auto"/>
        </w:rPr>
        <w:t>our ability to conduct successful clinical trials or obtain regulatory approval for CAN-2409 and CAN-3110 or any other product candidates that we may identify or develop;</w:t>
      </w:r>
    </w:p>
    <w:p>
      <w:pPr>
        <w:spacing w:after="0" w:line="1" w:lineRule="exact"/>
        <w:rPr>
          <w:rFonts w:ascii="Arial" w:cs="Arial" w:eastAsia="Arial" w:hAnsi="Arial"/>
          <w:sz w:val="19"/>
          <w:szCs w:val="19"/>
          <w:color w:val="auto"/>
        </w:rPr>
      </w:pPr>
    </w:p>
    <w:p>
      <w:pPr>
        <w:ind w:left="800" w:hanging="354"/>
        <w:spacing w:after="0"/>
        <w:tabs>
          <w:tab w:leader="none" w:pos="800"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ability of our research to generate and advance additional product candidates;</w:t>
      </w:r>
    </w:p>
    <w:p>
      <w:pPr>
        <w:spacing w:after="0" w:line="39" w:lineRule="exact"/>
        <w:rPr>
          <w:rFonts w:ascii="Arial" w:cs="Arial" w:eastAsia="Arial" w:hAnsi="Arial"/>
          <w:sz w:val="19"/>
          <w:szCs w:val="19"/>
          <w:color w:val="auto"/>
        </w:rPr>
      </w:pPr>
    </w:p>
    <w:p>
      <w:pPr>
        <w:ind w:left="800" w:right="380" w:hanging="354"/>
        <w:spacing w:after="0" w:line="257" w:lineRule="auto"/>
        <w:tabs>
          <w:tab w:leader="none" w:pos="800"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effects of public health crises, outbreaks of an infectious disease or ongoing geopolitical conflicts, including mitigation efforts and economic effects, on any of the foregoing or other aspects of our business operations;</w:t>
      </w:r>
    </w:p>
    <w:p>
      <w:pPr>
        <w:spacing w:after="0" w:line="1" w:lineRule="exact"/>
        <w:rPr>
          <w:rFonts w:ascii="Arial" w:cs="Arial" w:eastAsia="Arial" w:hAnsi="Arial"/>
          <w:sz w:val="19"/>
          <w:szCs w:val="19"/>
          <w:color w:val="auto"/>
        </w:rPr>
      </w:pPr>
    </w:p>
    <w:p>
      <w:pPr>
        <w:ind w:left="800" w:right="980" w:hanging="354"/>
        <w:spacing w:after="0" w:line="264" w:lineRule="auto"/>
        <w:tabs>
          <w:tab w:leader="none" w:pos="800" w:val="left"/>
        </w:tabs>
        <w:numPr>
          <w:ilvl w:val="0"/>
          <w:numId w:val="3"/>
        </w:numPr>
        <w:rPr>
          <w:rFonts w:ascii="Arial" w:cs="Arial" w:eastAsia="Arial" w:hAnsi="Arial"/>
          <w:sz w:val="19"/>
          <w:szCs w:val="19"/>
          <w:color w:val="auto"/>
        </w:rPr>
      </w:pPr>
      <w:r>
        <w:rPr>
          <w:rFonts w:ascii="Arial" w:cs="Arial" w:eastAsia="Arial" w:hAnsi="Arial"/>
          <w:sz w:val="19"/>
          <w:szCs w:val="19"/>
          <w:color w:val="auto"/>
        </w:rPr>
        <w:t>our ability to establish an adequate safety or efficacy profile for CAN-2409, CAN-3110 or any other product candidates that we may pursue;</w:t>
      </w:r>
    </w:p>
    <w:p>
      <w:pPr>
        <w:spacing w:after="0" w:line="1" w:lineRule="exact"/>
        <w:rPr>
          <w:rFonts w:ascii="Arial" w:cs="Arial" w:eastAsia="Arial" w:hAnsi="Arial"/>
          <w:sz w:val="19"/>
          <w:szCs w:val="19"/>
          <w:color w:val="auto"/>
        </w:rPr>
      </w:pPr>
    </w:p>
    <w:p>
      <w:pPr>
        <w:ind w:left="800" w:right="700" w:hanging="354"/>
        <w:spacing w:after="0" w:line="257" w:lineRule="auto"/>
        <w:tabs>
          <w:tab w:leader="none" w:pos="800" w:val="left"/>
        </w:tabs>
        <w:numPr>
          <w:ilvl w:val="0"/>
          <w:numId w:val="3"/>
        </w:numPr>
        <w:rPr>
          <w:rFonts w:ascii="Arial" w:cs="Arial" w:eastAsia="Arial" w:hAnsi="Arial"/>
          <w:sz w:val="19"/>
          <w:szCs w:val="19"/>
          <w:color w:val="auto"/>
        </w:rPr>
      </w:pPr>
      <w:r>
        <w:rPr>
          <w:rFonts w:ascii="Arial" w:cs="Arial" w:eastAsia="Arial" w:hAnsi="Arial"/>
          <w:sz w:val="19"/>
          <w:szCs w:val="19"/>
          <w:color w:val="auto"/>
        </w:rPr>
        <w:t>our ability to manufacture CAN-2409, CAN-3110 or any other product candidate in conformity with our specifications and the U.S. Food and Drug Administration’s (FDA) requirements and to scale up manufacturing of our product candidates to commercial scale, if approved;</w:t>
      </w:r>
    </w:p>
    <w:p>
      <w:pPr>
        <w:spacing w:after="0" w:line="1" w:lineRule="exact"/>
        <w:rPr>
          <w:rFonts w:ascii="Arial" w:cs="Arial" w:eastAsia="Arial" w:hAnsi="Arial"/>
          <w:sz w:val="19"/>
          <w:szCs w:val="19"/>
          <w:color w:val="auto"/>
        </w:rPr>
      </w:pPr>
    </w:p>
    <w:p>
      <w:pPr>
        <w:ind w:left="800" w:right="180" w:hanging="354"/>
        <w:spacing w:after="0" w:line="261" w:lineRule="auto"/>
        <w:tabs>
          <w:tab w:leader="none" w:pos="800"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implementation of our strategic plans for our business, any product candidates we may develop and any companion diagnostics;</w:t>
      </w:r>
    </w:p>
    <w:p>
      <w:pPr>
        <w:spacing w:after="0" w:line="1" w:lineRule="exact"/>
        <w:rPr>
          <w:rFonts w:ascii="Arial" w:cs="Arial" w:eastAsia="Arial" w:hAnsi="Arial"/>
          <w:sz w:val="19"/>
          <w:szCs w:val="19"/>
          <w:color w:val="auto"/>
        </w:rPr>
      </w:pPr>
    </w:p>
    <w:p>
      <w:pPr>
        <w:ind w:left="800" w:right="260" w:hanging="354"/>
        <w:spacing w:after="0" w:line="264" w:lineRule="auto"/>
        <w:tabs>
          <w:tab w:leader="none" w:pos="800" w:val="left"/>
        </w:tabs>
        <w:numPr>
          <w:ilvl w:val="0"/>
          <w:numId w:val="3"/>
        </w:numPr>
        <w:rPr>
          <w:rFonts w:ascii="Arial" w:cs="Arial" w:eastAsia="Arial" w:hAnsi="Arial"/>
          <w:sz w:val="19"/>
          <w:szCs w:val="19"/>
          <w:color w:val="auto"/>
        </w:rPr>
      </w:pPr>
      <w:r>
        <w:rPr>
          <w:rFonts w:ascii="Arial" w:cs="Arial" w:eastAsia="Arial" w:hAnsi="Arial"/>
          <w:sz w:val="19"/>
          <w:szCs w:val="19"/>
          <w:color w:val="auto"/>
        </w:rPr>
        <w:t>our intellectual property position, including the scope of protection we are able to establish and maintain for intellectual property rights covering our product candidates any companion diagnostics;</w:t>
      </w:r>
    </w:p>
    <w:p>
      <w:pPr>
        <w:spacing w:after="0" w:line="1" w:lineRule="exact"/>
        <w:rPr>
          <w:rFonts w:ascii="Arial" w:cs="Arial" w:eastAsia="Arial" w:hAnsi="Arial"/>
          <w:sz w:val="19"/>
          <w:szCs w:val="19"/>
          <w:color w:val="auto"/>
        </w:rPr>
      </w:pPr>
    </w:p>
    <w:p>
      <w:pPr>
        <w:ind w:left="800" w:hanging="354"/>
        <w:spacing w:after="0"/>
        <w:tabs>
          <w:tab w:leader="none" w:pos="800"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rate and degree of market acceptance and clinical utility for any product candidates we may develop;</w:t>
      </w:r>
    </w:p>
    <w:p>
      <w:pPr>
        <w:spacing w:after="0" w:line="39" w:lineRule="exact"/>
        <w:rPr>
          <w:rFonts w:ascii="Arial" w:cs="Arial" w:eastAsia="Arial" w:hAnsi="Arial"/>
          <w:sz w:val="19"/>
          <w:szCs w:val="19"/>
          <w:color w:val="auto"/>
        </w:rPr>
      </w:pPr>
    </w:p>
    <w:p>
      <w:pPr>
        <w:ind w:left="800" w:hanging="354"/>
        <w:spacing w:after="0"/>
        <w:tabs>
          <w:tab w:leader="none" w:pos="800" w:val="left"/>
        </w:tabs>
        <w:numPr>
          <w:ilvl w:val="0"/>
          <w:numId w:val="3"/>
        </w:numPr>
        <w:rPr>
          <w:rFonts w:ascii="Arial" w:cs="Arial" w:eastAsia="Arial" w:hAnsi="Arial"/>
          <w:sz w:val="19"/>
          <w:szCs w:val="19"/>
          <w:color w:val="auto"/>
        </w:rPr>
      </w:pPr>
      <w:r>
        <w:rPr>
          <w:rFonts w:ascii="Arial" w:cs="Arial" w:eastAsia="Arial" w:hAnsi="Arial"/>
          <w:sz w:val="19"/>
          <w:szCs w:val="19"/>
          <w:color w:val="auto"/>
        </w:rPr>
        <w:t>estimates of our expenses, future revenues, capital requirements and our needs for additional financing;</w:t>
      </w:r>
    </w:p>
    <w:p>
      <w:pPr>
        <w:spacing w:after="0" w:line="42" w:lineRule="exact"/>
        <w:rPr>
          <w:rFonts w:ascii="Arial" w:cs="Arial" w:eastAsia="Arial" w:hAnsi="Arial"/>
          <w:sz w:val="19"/>
          <w:szCs w:val="19"/>
          <w:color w:val="auto"/>
        </w:rPr>
      </w:pPr>
    </w:p>
    <w:p>
      <w:pPr>
        <w:ind w:left="800" w:hanging="354"/>
        <w:spacing w:after="0"/>
        <w:tabs>
          <w:tab w:leader="none" w:pos="800"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period we estimate to be funded by our existing financial resources;</w:t>
      </w:r>
    </w:p>
    <w:p>
      <w:pPr>
        <w:spacing w:after="0" w:line="42" w:lineRule="exact"/>
        <w:rPr>
          <w:rFonts w:ascii="Arial" w:cs="Arial" w:eastAsia="Arial" w:hAnsi="Arial"/>
          <w:sz w:val="19"/>
          <w:szCs w:val="19"/>
          <w:color w:val="auto"/>
        </w:rPr>
      </w:pPr>
    </w:p>
    <w:p>
      <w:pPr>
        <w:ind w:left="800" w:hanging="354"/>
        <w:spacing w:after="0"/>
        <w:tabs>
          <w:tab w:leader="none" w:pos="800" w:val="left"/>
        </w:tabs>
        <w:numPr>
          <w:ilvl w:val="0"/>
          <w:numId w:val="3"/>
        </w:numPr>
        <w:rPr>
          <w:rFonts w:ascii="Arial" w:cs="Arial" w:eastAsia="Arial" w:hAnsi="Arial"/>
          <w:sz w:val="19"/>
          <w:szCs w:val="19"/>
          <w:color w:val="auto"/>
        </w:rPr>
      </w:pPr>
      <w:r>
        <w:rPr>
          <w:rFonts w:ascii="Arial" w:cs="Arial" w:eastAsia="Arial" w:hAnsi="Arial"/>
          <w:sz w:val="19"/>
          <w:szCs w:val="19"/>
          <w:color w:val="auto"/>
        </w:rPr>
        <w:t>our ability to establish and maintain collaborations;</w:t>
      </w:r>
    </w:p>
    <w:p>
      <w:pPr>
        <w:spacing w:after="0" w:line="39" w:lineRule="exact"/>
        <w:rPr>
          <w:rFonts w:ascii="Arial" w:cs="Arial" w:eastAsia="Arial" w:hAnsi="Arial"/>
          <w:sz w:val="19"/>
          <w:szCs w:val="19"/>
          <w:color w:val="auto"/>
        </w:rPr>
      </w:pPr>
    </w:p>
    <w:p>
      <w:pPr>
        <w:ind w:left="800" w:right="520" w:hanging="354"/>
        <w:spacing w:after="0" w:line="261" w:lineRule="auto"/>
        <w:tabs>
          <w:tab w:leader="none" w:pos="800"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potential benefits with the continued existence of our license agreement with Mass General Brigham (MGB);</w:t>
      </w:r>
    </w:p>
    <w:p>
      <w:pPr>
        <w:spacing w:after="0" w:line="1" w:lineRule="exact"/>
        <w:rPr>
          <w:rFonts w:ascii="Arial" w:cs="Arial" w:eastAsia="Arial" w:hAnsi="Arial"/>
          <w:sz w:val="19"/>
          <w:szCs w:val="19"/>
          <w:color w:val="auto"/>
        </w:rPr>
      </w:pPr>
    </w:p>
    <w:p>
      <w:pPr>
        <w:ind w:left="800" w:hanging="354"/>
        <w:spacing w:after="0"/>
        <w:tabs>
          <w:tab w:leader="none" w:pos="800" w:val="left"/>
        </w:tabs>
        <w:numPr>
          <w:ilvl w:val="0"/>
          <w:numId w:val="3"/>
        </w:numPr>
        <w:rPr>
          <w:rFonts w:ascii="Arial" w:cs="Arial" w:eastAsia="Arial" w:hAnsi="Arial"/>
          <w:sz w:val="19"/>
          <w:szCs w:val="19"/>
          <w:color w:val="auto"/>
        </w:rPr>
      </w:pPr>
      <w:r>
        <w:rPr>
          <w:rFonts w:ascii="Arial" w:cs="Arial" w:eastAsia="Arial" w:hAnsi="Arial"/>
          <w:sz w:val="19"/>
          <w:szCs w:val="19"/>
          <w:color w:val="auto"/>
        </w:rPr>
        <w:t>our financial performance;</w:t>
      </w:r>
    </w:p>
    <w:p>
      <w:pPr>
        <w:spacing w:after="0" w:line="39" w:lineRule="exact"/>
        <w:rPr>
          <w:rFonts w:ascii="Arial" w:cs="Arial" w:eastAsia="Arial" w:hAnsi="Arial"/>
          <w:sz w:val="19"/>
          <w:szCs w:val="19"/>
          <w:color w:val="auto"/>
        </w:rPr>
      </w:pPr>
    </w:p>
    <w:p>
      <w:pPr>
        <w:ind w:left="800" w:hanging="354"/>
        <w:spacing w:after="0"/>
        <w:tabs>
          <w:tab w:leader="none" w:pos="800" w:val="left"/>
        </w:tabs>
        <w:numPr>
          <w:ilvl w:val="0"/>
          <w:numId w:val="3"/>
        </w:numPr>
        <w:rPr>
          <w:rFonts w:ascii="Arial" w:cs="Arial" w:eastAsia="Arial" w:hAnsi="Arial"/>
          <w:sz w:val="19"/>
          <w:szCs w:val="19"/>
          <w:color w:val="auto"/>
        </w:rPr>
      </w:pPr>
      <w:r>
        <w:rPr>
          <w:rFonts w:ascii="Arial" w:cs="Arial" w:eastAsia="Arial" w:hAnsi="Arial"/>
          <w:sz w:val="19"/>
          <w:szCs w:val="19"/>
          <w:color w:val="auto"/>
        </w:rPr>
        <w:t>our ability to effectively manage our anticipated growth;</w:t>
      </w:r>
    </w:p>
    <w:p>
      <w:pPr>
        <w:spacing w:after="0" w:line="39" w:lineRule="exact"/>
        <w:rPr>
          <w:rFonts w:ascii="Arial" w:cs="Arial" w:eastAsia="Arial" w:hAnsi="Arial"/>
          <w:sz w:val="19"/>
          <w:szCs w:val="19"/>
          <w:color w:val="auto"/>
        </w:rPr>
      </w:pPr>
    </w:p>
    <w:p>
      <w:pPr>
        <w:ind w:left="800" w:hanging="354"/>
        <w:spacing w:after="0"/>
        <w:tabs>
          <w:tab w:leader="none" w:pos="800" w:val="left"/>
        </w:tabs>
        <w:numPr>
          <w:ilvl w:val="0"/>
          <w:numId w:val="3"/>
        </w:numPr>
        <w:rPr>
          <w:rFonts w:ascii="Arial" w:cs="Arial" w:eastAsia="Arial" w:hAnsi="Arial"/>
          <w:sz w:val="19"/>
          <w:szCs w:val="19"/>
          <w:color w:val="auto"/>
        </w:rPr>
      </w:pPr>
      <w:r>
        <w:rPr>
          <w:rFonts w:ascii="Arial" w:cs="Arial" w:eastAsia="Arial" w:hAnsi="Arial"/>
          <w:sz w:val="19"/>
          <w:szCs w:val="19"/>
          <w:color w:val="auto"/>
        </w:rPr>
        <w:t>developments relating to our competitors and our industry, including the impact of government regulation;</w:t>
      </w:r>
    </w:p>
    <w:p>
      <w:pPr>
        <w:spacing w:after="0" w:line="39" w:lineRule="exact"/>
        <w:rPr>
          <w:rFonts w:ascii="Arial" w:cs="Arial" w:eastAsia="Arial" w:hAnsi="Arial"/>
          <w:sz w:val="19"/>
          <w:szCs w:val="19"/>
          <w:color w:val="auto"/>
        </w:rPr>
      </w:pPr>
    </w:p>
    <w:p>
      <w:pPr>
        <w:ind w:left="800" w:right="360" w:hanging="354"/>
        <w:spacing w:after="0" w:line="261" w:lineRule="auto"/>
        <w:tabs>
          <w:tab w:leader="none" w:pos="800" w:val="left"/>
        </w:tabs>
        <w:numPr>
          <w:ilvl w:val="0"/>
          <w:numId w:val="3"/>
        </w:numPr>
        <w:rPr>
          <w:rFonts w:ascii="Arial" w:cs="Arial" w:eastAsia="Arial" w:hAnsi="Arial"/>
          <w:sz w:val="19"/>
          <w:szCs w:val="19"/>
          <w:color w:val="auto"/>
        </w:rPr>
      </w:pPr>
      <w:r>
        <w:rPr>
          <w:rFonts w:ascii="Arial" w:cs="Arial" w:eastAsia="Arial" w:hAnsi="Arial"/>
          <w:sz w:val="19"/>
          <w:szCs w:val="19"/>
          <w:color w:val="auto"/>
        </w:rPr>
        <w:t>our ability to retain the continued service of our key professionals and to identify, hire and retain additional qualified professionals; and</w:t>
      </w:r>
    </w:p>
    <w:p>
      <w:pPr>
        <w:spacing w:after="0" w:line="1" w:lineRule="exact"/>
        <w:rPr>
          <w:rFonts w:ascii="Arial" w:cs="Arial" w:eastAsia="Arial" w:hAnsi="Arial"/>
          <w:sz w:val="19"/>
          <w:szCs w:val="19"/>
          <w:color w:val="auto"/>
        </w:rPr>
      </w:pPr>
    </w:p>
    <w:p>
      <w:pPr>
        <w:ind w:left="800" w:right="80" w:hanging="354"/>
        <w:spacing w:after="0" w:line="281" w:lineRule="auto"/>
        <w:tabs>
          <w:tab w:leader="none" w:pos="800" w:val="left"/>
        </w:tabs>
        <w:numPr>
          <w:ilvl w:val="0"/>
          <w:numId w:val="3"/>
        </w:numPr>
        <w:rPr>
          <w:rFonts w:ascii="Arial" w:cs="Arial" w:eastAsia="Arial" w:hAnsi="Arial"/>
          <w:sz w:val="19"/>
          <w:szCs w:val="19"/>
          <w:color w:val="auto"/>
        </w:rPr>
      </w:pPr>
      <w:r>
        <w:rPr>
          <w:rFonts w:ascii="Arial" w:cs="Arial" w:eastAsia="Arial" w:hAnsi="Arial"/>
          <w:sz w:val="19"/>
          <w:szCs w:val="19"/>
          <w:color w:val="auto"/>
        </w:rPr>
        <w:t>other risks and uncertainties, including those discussed in Part I, Item 1A - Risk Factors in this Annual Report on Form 10-K.</w:t>
      </w: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w:t>
      </w:r>
    </w:p>
    <w:p>
      <w:pPr>
        <w:sectPr>
          <w:pgSz w:w="12240" w:h="15840" w:orient="portrait"/>
          <w:cols w:equalWidth="0" w:num="1">
            <w:col w:w="10040"/>
          </w:cols>
          <w:pgMar w:left="1080" w:top="1058" w:right="1120" w:bottom="173" w:gutter="0" w:footer="0" w:header="0"/>
        </w:sectPr>
      </w:pPr>
    </w:p>
    <w:bookmarkStart w:id="5" w:name="page6"/>
    <w:bookmarkEnd w:id="5"/>
    <w:p>
      <w:pPr>
        <w:ind w:right="200"/>
        <w:spacing w:after="0" w:line="245" w:lineRule="auto"/>
        <w:rPr>
          <w:sz w:val="20"/>
          <w:szCs w:val="20"/>
          <w:color w:val="auto"/>
        </w:rPr>
      </w:pPr>
      <w:r>
        <w:rPr>
          <w:rFonts w:ascii="Arial" w:cs="Arial" w:eastAsia="Arial" w:hAnsi="Arial"/>
          <w:sz w:val="19"/>
          <w:szCs w:val="19"/>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occur, and actual results could differ materially from those projected in the forward-looking statements. Moreover, new risk factors and uncertainties may emerge from time to time, and it is not possible for management to predict all risk factors and uncertainties. As a result of these factors, we cannot assure you that the forward-looking statements in this Annual Report on Form 10-K will prove to be accurate. Except as required by applicable law, we do not plan to publicly update or revise any forward-looking statements contained herein, whether as a result of any new information, future events, changed circumstances, or otherwise.</w:t>
      </w:r>
    </w:p>
    <w:p>
      <w:pPr>
        <w:spacing w:after="0" w:line="166" w:lineRule="exact"/>
        <w:rPr>
          <w:sz w:val="20"/>
          <w:szCs w:val="20"/>
          <w:color w:val="auto"/>
        </w:rPr>
      </w:pPr>
    </w:p>
    <w:p>
      <w:pPr>
        <w:ind w:right="80"/>
        <w:spacing w:after="0" w:line="260" w:lineRule="auto"/>
        <w:rPr>
          <w:sz w:val="20"/>
          <w:szCs w:val="20"/>
          <w:color w:val="auto"/>
        </w:rPr>
      </w:pPr>
      <w:r>
        <w:rPr>
          <w:rFonts w:ascii="Arial" w:cs="Arial" w:eastAsia="Arial" w:hAnsi="Arial"/>
          <w:sz w:val="19"/>
          <w:szCs w:val="19"/>
          <w:color w:val="auto"/>
        </w:rPr>
        <w:t>You should read this Annual Report on Form 10-K and the documents that we reference in this Annual Report on Form 10-K completely and with the understanding that our actual future results may be materially different from what we expect. We qualify that all of our forward-looking statements by these cautionary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color w:val="auto"/>
        </w:rPr>
        <w:t>All references to "Candel", "we", "us", "our", or the "Company" mean Candel Therapeutics, Inc. and its subsidiary.</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Summary of the Material and Other Risks Associated with Our Business</w:t>
      </w:r>
    </w:p>
    <w:p>
      <w:pPr>
        <w:spacing w:after="0" w:line="184" w:lineRule="exact"/>
        <w:rPr>
          <w:sz w:val="20"/>
          <w:szCs w:val="20"/>
          <w:color w:val="auto"/>
        </w:rPr>
      </w:pPr>
    </w:p>
    <w:p>
      <w:pPr>
        <w:jc w:val="both"/>
        <w:ind w:right="340"/>
        <w:spacing w:after="0" w:line="319" w:lineRule="auto"/>
        <w:rPr>
          <w:sz w:val="20"/>
          <w:szCs w:val="20"/>
          <w:color w:val="auto"/>
        </w:rPr>
      </w:pPr>
      <w:r>
        <w:rPr>
          <w:rFonts w:ascii="Arial" w:cs="Arial" w:eastAsia="Arial" w:hAnsi="Arial"/>
          <w:sz w:val="18"/>
          <w:szCs w:val="18"/>
          <w:color w:val="auto"/>
        </w:rPr>
        <w:t>Our business is subject to numerous risks and uncertainties, including those described more fully in Part I, Item 1A - Risk Factors in this Annual Report on Form 10-K. You should carefully consider these risks and uncertainties when investing in our common stock. The principal risks and uncertainties affecting our business include the following:</w:t>
      </w:r>
    </w:p>
    <w:p>
      <w:pPr>
        <w:spacing w:after="0" w:line="61" w:lineRule="exact"/>
        <w:rPr>
          <w:sz w:val="20"/>
          <w:szCs w:val="20"/>
          <w:color w:val="auto"/>
        </w:rPr>
      </w:pPr>
    </w:p>
    <w:p>
      <w:pPr>
        <w:ind w:left="980" w:right="220" w:hanging="491"/>
        <w:spacing w:after="0" w:line="260" w:lineRule="auto"/>
        <w:tabs>
          <w:tab w:leader="none" w:pos="980" w:val="left"/>
        </w:tabs>
        <w:numPr>
          <w:ilvl w:val="0"/>
          <w:numId w:val="4"/>
        </w:numPr>
        <w:rPr>
          <w:rFonts w:ascii="Arial" w:cs="Arial" w:eastAsia="Arial" w:hAnsi="Arial"/>
          <w:sz w:val="19"/>
          <w:szCs w:val="19"/>
          <w:color w:val="auto"/>
        </w:rPr>
      </w:pPr>
      <w:r>
        <w:rPr>
          <w:rFonts w:ascii="Arial" w:cs="Arial" w:eastAsia="Arial" w:hAnsi="Arial"/>
          <w:sz w:val="19"/>
          <w:szCs w:val="19"/>
          <w:color w:val="auto"/>
        </w:rPr>
        <w:t>We are a biopharmaceutical company with a limited operating history and we have not generated any revenue from product sales. We expect to continue to incur significant expenses and increasing operating losses for at least the next several years and may never achieve or maintain profitability.</w:t>
      </w:r>
    </w:p>
    <w:p>
      <w:pPr>
        <w:spacing w:after="0" w:line="78" w:lineRule="exact"/>
        <w:rPr>
          <w:rFonts w:ascii="Arial" w:cs="Arial" w:eastAsia="Arial" w:hAnsi="Arial"/>
          <w:sz w:val="19"/>
          <w:szCs w:val="19"/>
          <w:color w:val="auto"/>
        </w:rPr>
      </w:pPr>
    </w:p>
    <w:p>
      <w:pPr>
        <w:ind w:left="980" w:right="160" w:hanging="491"/>
        <w:spacing w:after="0" w:line="253" w:lineRule="auto"/>
        <w:tabs>
          <w:tab w:leader="none" w:pos="980" w:val="left"/>
        </w:tabs>
        <w:numPr>
          <w:ilvl w:val="0"/>
          <w:numId w:val="4"/>
        </w:numPr>
        <w:rPr>
          <w:rFonts w:ascii="Arial" w:cs="Arial" w:eastAsia="Arial" w:hAnsi="Arial"/>
          <w:sz w:val="19"/>
          <w:szCs w:val="19"/>
          <w:color w:val="auto"/>
        </w:rPr>
      </w:pPr>
      <w:r>
        <w:rPr>
          <w:rFonts w:ascii="Arial" w:cs="Arial" w:eastAsia="Arial" w:hAnsi="Arial"/>
          <w:sz w:val="19"/>
          <w:szCs w:val="19"/>
          <w:color w:val="auto"/>
        </w:rPr>
        <w:t>Substantial doubt exists about our ability to continue as a going concern. Our ability to continue as a going concern requires that we obtain sufficient additional funding to finance our operations. If we are unable to raise capital when needed, we would be forced to delay, reduce or eliminate some of our research, clinical trials, product development, or future commercialization efforts.</w:t>
      </w:r>
    </w:p>
    <w:p>
      <w:pPr>
        <w:spacing w:after="0" w:line="85" w:lineRule="exact"/>
        <w:rPr>
          <w:rFonts w:ascii="Arial" w:cs="Arial" w:eastAsia="Arial" w:hAnsi="Arial"/>
          <w:sz w:val="19"/>
          <w:szCs w:val="19"/>
          <w:color w:val="auto"/>
        </w:rPr>
      </w:pPr>
    </w:p>
    <w:p>
      <w:pPr>
        <w:ind w:left="980" w:right="280" w:hanging="491"/>
        <w:spacing w:after="0" w:line="281" w:lineRule="auto"/>
        <w:tabs>
          <w:tab w:leader="none" w:pos="980" w:val="left"/>
        </w:tabs>
        <w:numPr>
          <w:ilvl w:val="0"/>
          <w:numId w:val="4"/>
        </w:numPr>
        <w:rPr>
          <w:rFonts w:ascii="Arial" w:cs="Arial" w:eastAsia="Arial" w:hAnsi="Arial"/>
          <w:sz w:val="19"/>
          <w:szCs w:val="19"/>
          <w:color w:val="auto"/>
        </w:rPr>
      </w:pPr>
      <w:r>
        <w:rPr>
          <w:rFonts w:ascii="Arial" w:cs="Arial" w:eastAsia="Arial" w:hAnsi="Arial"/>
          <w:sz w:val="19"/>
          <w:szCs w:val="19"/>
          <w:color w:val="auto"/>
        </w:rPr>
        <w:t>We have incurred indebtedness, and we may incur additional indebtedness, which could adversely affect our financial condition.</w:t>
      </w:r>
    </w:p>
    <w:p>
      <w:pPr>
        <w:spacing w:after="0" w:line="58" w:lineRule="exact"/>
        <w:rPr>
          <w:rFonts w:ascii="Arial" w:cs="Arial" w:eastAsia="Arial" w:hAnsi="Arial"/>
          <w:sz w:val="19"/>
          <w:szCs w:val="19"/>
          <w:color w:val="auto"/>
        </w:rPr>
      </w:pPr>
    </w:p>
    <w:p>
      <w:pPr>
        <w:ind w:left="980" w:right="100" w:hanging="491"/>
        <w:spacing w:after="0" w:line="260" w:lineRule="auto"/>
        <w:tabs>
          <w:tab w:leader="none" w:pos="980" w:val="left"/>
        </w:tabs>
        <w:numPr>
          <w:ilvl w:val="0"/>
          <w:numId w:val="4"/>
        </w:numPr>
        <w:rPr>
          <w:rFonts w:ascii="Arial" w:cs="Arial" w:eastAsia="Arial" w:hAnsi="Arial"/>
          <w:sz w:val="19"/>
          <w:szCs w:val="19"/>
          <w:color w:val="auto"/>
        </w:rPr>
      </w:pPr>
      <w:r>
        <w:rPr>
          <w:rFonts w:ascii="Arial" w:cs="Arial" w:eastAsia="Arial" w:hAnsi="Arial"/>
          <w:sz w:val="19"/>
          <w:szCs w:val="19"/>
          <w:color w:val="auto"/>
        </w:rPr>
        <w:t>Our business is dependent on the success of CAN-2409, as well as CAN-3110 and any other product candidates that we advance into the clinic. All of our product candidates will require additional development before we may be able to seek regulatory approval for and launch a product commercially.</w:t>
      </w:r>
    </w:p>
    <w:p>
      <w:pPr>
        <w:spacing w:after="0" w:line="78" w:lineRule="exact"/>
        <w:rPr>
          <w:rFonts w:ascii="Arial" w:cs="Arial" w:eastAsia="Arial" w:hAnsi="Arial"/>
          <w:sz w:val="19"/>
          <w:szCs w:val="19"/>
          <w:color w:val="auto"/>
        </w:rPr>
      </w:pPr>
    </w:p>
    <w:p>
      <w:pPr>
        <w:ind w:left="980" w:right="40" w:hanging="491"/>
        <w:spacing w:after="0" w:line="260" w:lineRule="auto"/>
        <w:tabs>
          <w:tab w:leader="none" w:pos="980" w:val="left"/>
        </w:tabs>
        <w:numPr>
          <w:ilvl w:val="0"/>
          <w:numId w:val="4"/>
        </w:numPr>
        <w:rPr>
          <w:rFonts w:ascii="Arial" w:cs="Arial" w:eastAsia="Arial" w:hAnsi="Arial"/>
          <w:sz w:val="19"/>
          <w:szCs w:val="19"/>
          <w:color w:val="auto"/>
        </w:rPr>
      </w:pPr>
      <w:r>
        <w:rPr>
          <w:rFonts w:ascii="Arial" w:cs="Arial" w:eastAsia="Arial" w:hAnsi="Arial"/>
          <w:sz w:val="19"/>
          <w:szCs w:val="19"/>
          <w:color w:val="auto"/>
        </w:rPr>
        <w:t>Our preclinical studies and clinical trials may fail to demonstrate adequately the safety and efficacy of any of our product candidates, which would prevent or delay development, regulatory approval, and commercialization.</w:t>
      </w:r>
    </w:p>
    <w:p>
      <w:pPr>
        <w:spacing w:after="0" w:line="78" w:lineRule="exact"/>
        <w:rPr>
          <w:rFonts w:ascii="Arial" w:cs="Arial" w:eastAsia="Arial" w:hAnsi="Arial"/>
          <w:sz w:val="19"/>
          <w:szCs w:val="19"/>
          <w:color w:val="auto"/>
        </w:rPr>
      </w:pPr>
    </w:p>
    <w:p>
      <w:pPr>
        <w:jc w:val="both"/>
        <w:ind w:left="980" w:hanging="491"/>
        <w:spacing w:after="0" w:line="260" w:lineRule="auto"/>
        <w:tabs>
          <w:tab w:leader="none" w:pos="980" w:val="left"/>
        </w:tabs>
        <w:numPr>
          <w:ilvl w:val="0"/>
          <w:numId w:val="4"/>
        </w:numPr>
        <w:rPr>
          <w:rFonts w:ascii="Arial" w:cs="Arial" w:eastAsia="Arial" w:hAnsi="Arial"/>
          <w:sz w:val="19"/>
          <w:szCs w:val="19"/>
          <w:color w:val="auto"/>
        </w:rPr>
      </w:pPr>
      <w:r>
        <w:rPr>
          <w:rFonts w:ascii="Arial" w:cs="Arial" w:eastAsia="Arial" w:hAnsi="Arial"/>
          <w:sz w:val="19"/>
          <w:szCs w:val="19"/>
          <w:color w:val="auto"/>
        </w:rPr>
        <w:t>Our product candidates are based on a novel approach to the treatment of cancer, which makes it difficult to predict the time and cost of product candidate development and subsequently obtaining regulatory approval, if at all.</w:t>
      </w:r>
    </w:p>
    <w:p>
      <w:pPr>
        <w:spacing w:after="0" w:line="78" w:lineRule="exact"/>
        <w:rPr>
          <w:rFonts w:ascii="Arial" w:cs="Arial" w:eastAsia="Arial" w:hAnsi="Arial"/>
          <w:sz w:val="19"/>
          <w:szCs w:val="19"/>
          <w:color w:val="auto"/>
        </w:rPr>
      </w:pPr>
    </w:p>
    <w:p>
      <w:pPr>
        <w:ind w:left="980" w:right="420" w:hanging="491"/>
        <w:spacing w:after="0" w:line="260" w:lineRule="auto"/>
        <w:tabs>
          <w:tab w:leader="none" w:pos="980" w:val="left"/>
        </w:tabs>
        <w:numPr>
          <w:ilvl w:val="0"/>
          <w:numId w:val="4"/>
        </w:numPr>
        <w:rPr>
          <w:rFonts w:ascii="Arial" w:cs="Arial" w:eastAsia="Arial" w:hAnsi="Arial"/>
          <w:sz w:val="19"/>
          <w:szCs w:val="19"/>
          <w:color w:val="auto"/>
        </w:rPr>
      </w:pPr>
      <w:r>
        <w:rPr>
          <w:rFonts w:ascii="Arial" w:cs="Arial" w:eastAsia="Arial" w:hAnsi="Arial"/>
          <w:sz w:val="19"/>
          <w:szCs w:val="19"/>
          <w:color w:val="auto"/>
        </w:rPr>
        <w:t>Even if we receive marketing approval for our current or future product candidates, our current or future product candidates may not achieve broad market acceptance, which would limit the revenue that we generate from their sales.</w:t>
      </w:r>
    </w:p>
    <w:p>
      <w:pPr>
        <w:spacing w:after="0" w:line="78" w:lineRule="exact"/>
        <w:rPr>
          <w:rFonts w:ascii="Arial" w:cs="Arial" w:eastAsia="Arial" w:hAnsi="Arial"/>
          <w:sz w:val="19"/>
          <w:szCs w:val="19"/>
          <w:color w:val="auto"/>
        </w:rPr>
      </w:pPr>
    </w:p>
    <w:p>
      <w:pPr>
        <w:ind w:left="980" w:right="20" w:hanging="491"/>
        <w:spacing w:after="0" w:line="253" w:lineRule="auto"/>
        <w:tabs>
          <w:tab w:leader="none" w:pos="980"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regulatory approval processes of the FDA and comparable foreign regulatory authorities are lengthy, time consuming and inherently unpredictable. If we are not able to obtain, or experience delays in obtaining, required regulatory approvals, we will not be able to commercialize CAN-2409, CAN-3110 and future product candidates as expected, and our ability to generate revenue may be materially impaired.</w:t>
      </w:r>
    </w:p>
    <w:p>
      <w:pPr>
        <w:spacing w:after="0" w:line="85" w:lineRule="exact"/>
        <w:rPr>
          <w:rFonts w:ascii="Arial" w:cs="Arial" w:eastAsia="Arial" w:hAnsi="Arial"/>
          <w:sz w:val="19"/>
          <w:szCs w:val="19"/>
          <w:color w:val="auto"/>
        </w:rPr>
      </w:pPr>
    </w:p>
    <w:p>
      <w:pPr>
        <w:ind w:left="980" w:right="20" w:hanging="491"/>
        <w:spacing w:after="0" w:line="253" w:lineRule="auto"/>
        <w:tabs>
          <w:tab w:leader="none" w:pos="980"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FDA’s agreement to a Special Protocol Assessment with respect to the study design of our phase 3 clinical trial of CAN-2409 in newly diagnosed localized prostate cancer in intermediate and high-risk patients does not guarantee any particular outcome from regulatory review, including ultimate approval, and may not lead to a successful review or approval process.</w:t>
      </w:r>
    </w:p>
    <w:p>
      <w:pPr>
        <w:spacing w:after="0" w:line="85" w:lineRule="exact"/>
        <w:rPr>
          <w:rFonts w:ascii="Arial" w:cs="Arial" w:eastAsia="Arial" w:hAnsi="Arial"/>
          <w:sz w:val="19"/>
          <w:szCs w:val="19"/>
          <w:color w:val="auto"/>
        </w:rPr>
      </w:pPr>
    </w:p>
    <w:p>
      <w:pPr>
        <w:ind w:left="980" w:right="420" w:hanging="491"/>
        <w:spacing w:after="0" w:line="310"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Some of our product candidates are being and may continue to be studied in third-party research and clinical trials sponsored by organizations or agencies other than us, or in investigator-sponsored clinical</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w:t>
      </w:r>
    </w:p>
    <w:p>
      <w:pPr>
        <w:sectPr>
          <w:pgSz w:w="12240" w:h="15840" w:orient="portrait"/>
          <w:cols w:equalWidth="0" w:num="1">
            <w:col w:w="10060"/>
          </w:cols>
          <w:pgMar w:left="1080" w:top="1269" w:right="1100" w:bottom="173" w:gutter="0" w:footer="0" w:header="0"/>
        </w:sectPr>
      </w:pPr>
    </w:p>
    <w:bookmarkStart w:id="6" w:name="page7"/>
    <w:bookmarkEnd w:id="6"/>
    <w:p>
      <w:pPr>
        <w:ind w:left="620" w:right="700"/>
        <w:spacing w:after="0" w:line="281" w:lineRule="auto"/>
        <w:rPr>
          <w:sz w:val="20"/>
          <w:szCs w:val="20"/>
          <w:color w:val="auto"/>
        </w:rPr>
      </w:pPr>
      <w:r>
        <w:rPr>
          <w:rFonts w:ascii="Arial" w:cs="Arial" w:eastAsia="Arial" w:hAnsi="Arial"/>
          <w:sz w:val="19"/>
          <w:szCs w:val="19"/>
          <w:color w:val="auto"/>
        </w:rPr>
        <w:t>trials, which means we will have minimal or no control over the conduct of such trials and which may adversely affect our ability to obtain marketing approval or certain regulatory exclusivities.</w:t>
      </w:r>
    </w:p>
    <w:p>
      <w:pPr>
        <w:spacing w:after="0" w:line="58" w:lineRule="exact"/>
        <w:rPr>
          <w:sz w:val="20"/>
          <w:szCs w:val="20"/>
          <w:color w:val="auto"/>
        </w:rPr>
      </w:pPr>
    </w:p>
    <w:p>
      <w:pPr>
        <w:ind w:left="620" w:hanging="491"/>
        <w:spacing w:after="0"/>
        <w:tabs>
          <w:tab w:leader="none" w:pos="620" w:val="left"/>
        </w:tabs>
        <w:numPr>
          <w:ilvl w:val="0"/>
          <w:numId w:val="5"/>
        </w:numPr>
        <w:rPr>
          <w:rFonts w:ascii="Arial" w:cs="Arial" w:eastAsia="Arial" w:hAnsi="Arial"/>
          <w:sz w:val="19"/>
          <w:szCs w:val="19"/>
          <w:color w:val="auto"/>
        </w:rPr>
      </w:pPr>
      <w:r>
        <w:rPr>
          <w:rFonts w:ascii="Arial" w:cs="Arial" w:eastAsia="Arial" w:hAnsi="Arial"/>
          <w:sz w:val="19"/>
          <w:szCs w:val="19"/>
          <w:color w:val="auto"/>
        </w:rPr>
        <w:t>Changes in product candidate manufacturing or formulation may result in additional costs or delay.</w:t>
      </w:r>
    </w:p>
    <w:p>
      <w:pPr>
        <w:spacing w:after="0" w:line="132" w:lineRule="exact"/>
        <w:rPr>
          <w:rFonts w:ascii="Arial" w:cs="Arial" w:eastAsia="Arial" w:hAnsi="Arial"/>
          <w:sz w:val="19"/>
          <w:szCs w:val="19"/>
          <w:color w:val="auto"/>
        </w:rPr>
      </w:pPr>
    </w:p>
    <w:p>
      <w:pPr>
        <w:ind w:left="620" w:right="80" w:hanging="491"/>
        <w:spacing w:after="0" w:line="281" w:lineRule="auto"/>
        <w:tabs>
          <w:tab w:leader="none" w:pos="620" w:val="left"/>
        </w:tabs>
        <w:numPr>
          <w:ilvl w:val="0"/>
          <w:numId w:val="5"/>
        </w:numPr>
        <w:rPr>
          <w:rFonts w:ascii="Arial" w:cs="Arial" w:eastAsia="Arial" w:hAnsi="Arial"/>
          <w:sz w:val="19"/>
          <w:szCs w:val="19"/>
          <w:color w:val="auto"/>
        </w:rPr>
      </w:pPr>
      <w:r>
        <w:rPr>
          <w:rFonts w:ascii="Arial" w:cs="Arial" w:eastAsia="Arial" w:hAnsi="Arial"/>
          <w:sz w:val="19"/>
          <w:szCs w:val="19"/>
          <w:color w:val="auto"/>
        </w:rPr>
        <w:t>Any future public health crisis, outbreaks of an infectious disease or ongoing geopolitical conflicts may have adverse effects on our business and operations.</w:t>
      </w:r>
    </w:p>
    <w:p>
      <w:pPr>
        <w:spacing w:after="0" w:line="58" w:lineRule="exact"/>
        <w:rPr>
          <w:rFonts w:ascii="Arial" w:cs="Arial" w:eastAsia="Arial" w:hAnsi="Arial"/>
          <w:sz w:val="19"/>
          <w:szCs w:val="19"/>
          <w:color w:val="auto"/>
        </w:rPr>
      </w:pPr>
    </w:p>
    <w:p>
      <w:pPr>
        <w:ind w:left="620" w:hanging="491"/>
        <w:spacing w:after="0" w:line="253" w:lineRule="auto"/>
        <w:tabs>
          <w:tab w:leader="none" w:pos="620" w:val="left"/>
        </w:tabs>
        <w:numPr>
          <w:ilvl w:val="0"/>
          <w:numId w:val="5"/>
        </w:numPr>
        <w:rPr>
          <w:rFonts w:ascii="Arial" w:cs="Arial" w:eastAsia="Arial" w:hAnsi="Arial"/>
          <w:sz w:val="19"/>
          <w:szCs w:val="19"/>
          <w:color w:val="auto"/>
        </w:rPr>
      </w:pPr>
      <w:r>
        <w:rPr>
          <w:rFonts w:ascii="Arial" w:cs="Arial" w:eastAsia="Arial" w:hAnsi="Arial"/>
          <w:sz w:val="19"/>
          <w:szCs w:val="19"/>
          <w:color w:val="auto"/>
        </w:rPr>
        <w:t>If the government or third-party payors fail to provide adequate coverage, reimbursement and payment rates for our product candidates, or if health maintenance organizations or long-term care facilities choose to use therapies that are less expensive or considered a better value, our revenue and prospects for profitability will be limited.</w:t>
      </w:r>
    </w:p>
    <w:p>
      <w:pPr>
        <w:spacing w:after="0" w:line="85" w:lineRule="exact"/>
        <w:rPr>
          <w:rFonts w:ascii="Arial" w:cs="Arial" w:eastAsia="Arial" w:hAnsi="Arial"/>
          <w:sz w:val="19"/>
          <w:szCs w:val="19"/>
          <w:color w:val="auto"/>
        </w:rPr>
      </w:pPr>
    </w:p>
    <w:p>
      <w:pPr>
        <w:ind w:left="620" w:right="160" w:hanging="491"/>
        <w:spacing w:after="0" w:line="253" w:lineRule="auto"/>
        <w:tabs>
          <w:tab w:leader="none" w:pos="620" w:val="left"/>
        </w:tabs>
        <w:numPr>
          <w:ilvl w:val="0"/>
          <w:numId w:val="5"/>
        </w:numPr>
        <w:rPr>
          <w:rFonts w:ascii="Arial" w:cs="Arial" w:eastAsia="Arial" w:hAnsi="Arial"/>
          <w:sz w:val="19"/>
          <w:szCs w:val="19"/>
          <w:color w:val="auto"/>
        </w:rPr>
      </w:pPr>
      <w:r>
        <w:rPr>
          <w:rFonts w:ascii="Arial" w:cs="Arial" w:eastAsia="Arial" w:hAnsi="Arial"/>
          <w:sz w:val="19"/>
          <w:szCs w:val="19"/>
          <w:color w:val="auto"/>
        </w:rPr>
        <w:t>If the manufacturers upon which we may rely fail to produce our product candidates in the volumes that we require on a timely basis, or fail to comply with stringent regulations applicable to biopharmaceutical manufacturers, we may face delays in the development and commercialization of, or be unable to meet demand for, our product candidates and may lose potential revenues.</w:t>
      </w:r>
    </w:p>
    <w:p>
      <w:pPr>
        <w:spacing w:after="0" w:line="85" w:lineRule="exact"/>
        <w:rPr>
          <w:rFonts w:ascii="Arial" w:cs="Arial" w:eastAsia="Arial" w:hAnsi="Arial"/>
          <w:sz w:val="19"/>
          <w:szCs w:val="19"/>
          <w:color w:val="auto"/>
        </w:rPr>
      </w:pPr>
    </w:p>
    <w:p>
      <w:pPr>
        <w:ind w:left="620" w:right="300" w:hanging="491"/>
        <w:spacing w:after="0" w:line="281" w:lineRule="auto"/>
        <w:tabs>
          <w:tab w:leader="none" w:pos="620"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 transition of our manufacturing operations to a third-party contract manufacturer may result in further delays or expenses, and we may not experience the anticipated operating efficiencies.</w:t>
      </w:r>
    </w:p>
    <w:p>
      <w:pPr>
        <w:spacing w:after="0" w:line="58" w:lineRule="exact"/>
        <w:rPr>
          <w:rFonts w:ascii="Arial" w:cs="Arial" w:eastAsia="Arial" w:hAnsi="Arial"/>
          <w:sz w:val="19"/>
          <w:szCs w:val="19"/>
          <w:color w:val="auto"/>
        </w:rPr>
      </w:pPr>
    </w:p>
    <w:p>
      <w:pPr>
        <w:ind w:left="620" w:right="60" w:hanging="491"/>
        <w:spacing w:after="0" w:line="250" w:lineRule="auto"/>
        <w:tabs>
          <w:tab w:leader="none" w:pos="620" w:val="left"/>
        </w:tabs>
        <w:numPr>
          <w:ilvl w:val="0"/>
          <w:numId w:val="5"/>
        </w:numPr>
        <w:rPr>
          <w:rFonts w:ascii="Arial" w:cs="Arial" w:eastAsia="Arial" w:hAnsi="Arial"/>
          <w:sz w:val="19"/>
          <w:szCs w:val="19"/>
          <w:color w:val="auto"/>
        </w:rPr>
      </w:pPr>
      <w:r>
        <w:rPr>
          <w:rFonts w:ascii="Arial" w:cs="Arial" w:eastAsia="Arial" w:hAnsi="Arial"/>
          <w:sz w:val="19"/>
          <w:szCs w:val="19"/>
          <w:color w:val="auto"/>
        </w:rPr>
        <w:t>Our rights to develop and commercialize certain of our product candidates are subject and may in the future be subject, in part, to the terms and conditions of licenses granted to us by third parties. If we fail to comply with our obligations under our current or future intellectual property license agreements or otherwise experience disruptions to our business relationships with our current or any future licensors, we could lose intellectual property rights that are important to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60"/>
        <w:spacing w:after="0"/>
        <w:rPr>
          <w:sz w:val="20"/>
          <w:szCs w:val="20"/>
          <w:color w:val="auto"/>
        </w:rPr>
      </w:pPr>
      <w:r>
        <w:rPr>
          <w:rFonts w:ascii="Arial" w:cs="Arial" w:eastAsia="Arial" w:hAnsi="Arial"/>
          <w:sz w:val="19"/>
          <w:szCs w:val="19"/>
          <w:color w:val="auto"/>
        </w:rPr>
        <w:t>3</w:t>
      </w:r>
    </w:p>
    <w:p>
      <w:pPr>
        <w:sectPr>
          <w:pgSz w:w="12240" w:h="15840" w:orient="portrait"/>
          <w:cols w:equalWidth="0" w:num="1">
            <w:col w:w="9720"/>
          </w:cols>
          <w:pgMar w:left="1440" w:top="1062" w:right="1080" w:bottom="173" w:gutter="0" w:footer="0" w:header="0"/>
        </w:sectPr>
      </w:pPr>
    </w:p>
    <w:bookmarkStart w:id="7" w:name="page8"/>
    <w:bookmarkEnd w:id="7"/>
    <w:p>
      <w:pPr>
        <w:jc w:val="center"/>
        <w:ind w:right="-19"/>
        <w:spacing w:after="0"/>
        <w:rPr>
          <w:sz w:val="20"/>
          <w:szCs w:val="20"/>
          <w:color w:val="auto"/>
        </w:rPr>
      </w:pPr>
      <w:r>
        <w:rPr>
          <w:rFonts w:ascii="Arial" w:cs="Arial" w:eastAsia="Arial" w:hAnsi="Arial"/>
          <w:sz w:val="19"/>
          <w:szCs w:val="19"/>
          <w:b w:val="1"/>
          <w:bCs w:val="1"/>
          <w:color w:val="auto"/>
        </w:rPr>
        <w:t>PART I</w:t>
      </w:r>
    </w:p>
    <w:p>
      <w:pPr>
        <w:spacing w:after="0" w:line="36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 Business.</w:t>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Overview</w:t>
      </w:r>
    </w:p>
    <w:p>
      <w:pPr>
        <w:spacing w:after="0" w:line="124" w:lineRule="exact"/>
        <w:rPr>
          <w:sz w:val="20"/>
          <w:szCs w:val="20"/>
          <w:color w:val="auto"/>
        </w:rPr>
      </w:pPr>
    </w:p>
    <w:p>
      <w:pPr>
        <w:spacing w:after="0" w:line="243" w:lineRule="auto"/>
        <w:rPr>
          <w:sz w:val="20"/>
          <w:szCs w:val="20"/>
          <w:color w:val="auto"/>
        </w:rPr>
      </w:pPr>
      <w:r>
        <w:rPr>
          <w:rFonts w:ascii="Arial" w:cs="Arial" w:eastAsia="Arial" w:hAnsi="Arial"/>
          <w:sz w:val="19"/>
          <w:szCs w:val="19"/>
          <w:color w:val="auto"/>
        </w:rPr>
        <w:t>We are a clinical stage biopharmaceutical company focused on developing off-the-shelf viral immunotherapies that elicit an individualized, systemic anti-tumor immune response to help patients fight cancer. Our engineered viruses are designed to induce a systemic anti-tumor response due to immunogenic cell death through direct viral-mediated cytotoxicity in cancer cells, thus releasing tumor neo-antigens and creating a pro-inflammatory microenvironment at the site of injection. This is intended to lead to in-situ vaccination against the injected tumor and uninjected distant metastases. Our viral immunotherapy approach utilizes intratumoral administration of genetically engineered viruses to induce tumor cell death and elicit a systemic anti-tumor response. Local delivery enables us to achieve these effects while aiming to minimize systemic toxicity. The immune cells induced by these viral immunotherapies are believed to target patients’ specific tumor antigens, potentially improving responses in immunologically “hot” tumors while at the same time infiltrating the tumor microenvironment, transforming non-inflamed “cold” tumors with limited immune response into “hot” tumors. While our product candidates are administered directly into the tumor, we have observed systemic immune response in our preclinical studies and clinical trials that may indicate the potential of our product candidates to induce systemic immune response against distal, uninjected tumors, also known as an “abscopal” effect.</w:t>
      </w:r>
    </w:p>
    <w:p>
      <w:pPr>
        <w:spacing w:after="0" w:line="223" w:lineRule="exact"/>
        <w:rPr>
          <w:sz w:val="20"/>
          <w:szCs w:val="20"/>
          <w:color w:val="auto"/>
        </w:rPr>
      </w:pPr>
    </w:p>
    <w:p>
      <w:pPr>
        <w:ind w:right="140"/>
        <w:spacing w:after="0" w:line="250" w:lineRule="auto"/>
        <w:rPr>
          <w:sz w:val="20"/>
          <w:szCs w:val="20"/>
          <w:color w:val="auto"/>
        </w:rPr>
      </w:pPr>
      <w:r>
        <w:rPr>
          <w:rFonts w:ascii="Arial" w:cs="Arial" w:eastAsia="Arial" w:hAnsi="Arial"/>
          <w:sz w:val="19"/>
          <w:szCs w:val="19"/>
          <w:color w:val="auto"/>
        </w:rPr>
        <w:t>We believe viral immunotherapy is among the most promising cancer treatment modalities today. Our goal is to further improve patient outcomes through viral immunotherapies by selecting the optimal vector, specific transgenes and clinical indications for each tumor type while optimizing product candidate attributes, such as high-titer formulation, intratumoral administration to induce systemic anti-tumor immunity, and storage conditions that could potentially lower logistical barriers for patients and clinicians.</w:t>
      </w:r>
    </w:p>
    <w:p>
      <w:pPr>
        <w:spacing w:after="0" w:line="74" w:lineRule="exact"/>
        <w:rPr>
          <w:sz w:val="20"/>
          <w:szCs w:val="20"/>
          <w:color w:val="auto"/>
        </w:rPr>
      </w:pPr>
    </w:p>
    <w:p>
      <w:pPr>
        <w:ind w:right="560"/>
        <w:spacing w:after="0" w:line="281" w:lineRule="auto"/>
        <w:rPr>
          <w:sz w:val="20"/>
          <w:szCs w:val="20"/>
          <w:color w:val="auto"/>
        </w:rPr>
      </w:pPr>
      <w:r>
        <w:rPr>
          <w:rFonts w:ascii="Arial" w:cs="Arial" w:eastAsia="Arial" w:hAnsi="Arial"/>
          <w:sz w:val="19"/>
          <w:szCs w:val="19"/>
          <w:color w:val="auto"/>
        </w:rPr>
        <w:t>We have established two clinical off-the-shelf viral immunotherapy platforms based on novel, genetically modified adenovirus and herpes simplex virus (HSV) constructs, respectively.</w:t>
      </w:r>
    </w:p>
    <w:p>
      <w:pPr>
        <w:spacing w:after="0" w:line="144" w:lineRule="exact"/>
        <w:rPr>
          <w:sz w:val="20"/>
          <w:szCs w:val="20"/>
          <w:color w:val="auto"/>
        </w:rPr>
      </w:pPr>
    </w:p>
    <w:p>
      <w:pPr>
        <w:ind w:right="180"/>
        <w:spacing w:after="0" w:line="260" w:lineRule="auto"/>
        <w:rPr>
          <w:sz w:val="20"/>
          <w:szCs w:val="20"/>
          <w:color w:val="auto"/>
        </w:rPr>
      </w:pPr>
      <w:r>
        <w:rPr>
          <w:rFonts w:ascii="Arial" w:cs="Arial" w:eastAsia="Arial" w:hAnsi="Arial"/>
          <w:sz w:val="19"/>
          <w:szCs w:val="19"/>
          <w:color w:val="auto"/>
        </w:rPr>
        <w:t>Our most advanced product candidate, CAN-2409, is an off-the-shelf adenovirus product candidate which is administered in conjunction with the prodrug valacyclovir, that has generated promising clinical activity across a range of solid tumor indications. CAN-2409 is currently being studied in the following ongoing clinical trials:</w:t>
      </w:r>
    </w:p>
    <w:p>
      <w:pPr>
        <w:spacing w:after="0" w:line="185" w:lineRule="exact"/>
        <w:rPr>
          <w:sz w:val="20"/>
          <w:szCs w:val="20"/>
          <w:color w:val="auto"/>
        </w:rPr>
      </w:pPr>
    </w:p>
    <w:p>
      <w:pPr>
        <w:ind w:left="640" w:hanging="280"/>
        <w:spacing w:after="0"/>
        <w:tabs>
          <w:tab w:leader="none" w:pos="640" w:val="left"/>
        </w:tabs>
        <w:numPr>
          <w:ilvl w:val="0"/>
          <w:numId w:val="6"/>
        </w:numPr>
        <w:rPr>
          <w:rFonts w:ascii="Arial" w:cs="Arial" w:eastAsia="Arial" w:hAnsi="Arial"/>
          <w:sz w:val="19"/>
          <w:szCs w:val="19"/>
          <w:color w:val="auto"/>
        </w:rPr>
      </w:pPr>
      <w:r>
        <w:rPr>
          <w:rFonts w:ascii="Arial" w:cs="Arial" w:eastAsia="Arial" w:hAnsi="Arial"/>
          <w:sz w:val="19"/>
          <w:szCs w:val="19"/>
          <w:i w:val="1"/>
          <w:iCs w:val="1"/>
          <w:color w:val="auto"/>
        </w:rPr>
        <w:t>Prostate Cancer</w:t>
      </w:r>
    </w:p>
    <w:p>
      <w:pPr>
        <w:spacing w:after="0" w:line="52" w:lineRule="exact"/>
        <w:rPr>
          <w:sz w:val="20"/>
          <w:szCs w:val="20"/>
          <w:color w:val="auto"/>
        </w:rPr>
      </w:pPr>
    </w:p>
    <w:p>
      <w:pPr>
        <w:ind w:left="1180" w:right="260" w:hanging="273"/>
        <w:spacing w:after="0" w:line="245" w:lineRule="auto"/>
        <w:tabs>
          <w:tab w:leader="none" w:pos="1180" w:val="left"/>
        </w:tabs>
        <w:numPr>
          <w:ilvl w:val="0"/>
          <w:numId w:val="7"/>
        </w:numPr>
        <w:rPr>
          <w:rFonts w:ascii="Courier New" w:cs="Courier New" w:eastAsia="Courier New" w:hAnsi="Courier New"/>
          <w:sz w:val="19"/>
          <w:szCs w:val="19"/>
          <w:color w:val="auto"/>
        </w:rPr>
      </w:pPr>
      <w:r>
        <w:rPr>
          <w:rFonts w:ascii="Arial" w:cs="Arial" w:eastAsia="Arial" w:hAnsi="Arial"/>
          <w:sz w:val="19"/>
          <w:szCs w:val="19"/>
          <w:color w:val="auto"/>
        </w:rPr>
        <w:t>A pivotal phase 3 randomized, triple-blinded and placebo-controlled clinical trial in the United States under a Special Protocol Assessment (SPA), with the U.S. Food and Drug Administration (FDA) evaluating 711 evaluable patients with newly diagnosed, localized prostate cancer who have an intermediate or high-risk for progression. We completed enrollment of this trial in September 2021, and we expect to report topline data in the fourth quarter of 2024.</w:t>
      </w:r>
    </w:p>
    <w:p>
      <w:pPr>
        <w:spacing w:after="0" w:line="80" w:lineRule="exact"/>
        <w:rPr>
          <w:sz w:val="20"/>
          <w:szCs w:val="20"/>
          <w:color w:val="auto"/>
        </w:rPr>
      </w:pPr>
    </w:p>
    <w:p>
      <w:pPr>
        <w:ind w:left="1180" w:hanging="273"/>
        <w:spacing w:after="0" w:line="247" w:lineRule="auto"/>
        <w:tabs>
          <w:tab w:leader="none" w:pos="1180" w:val="left"/>
        </w:tabs>
        <w:numPr>
          <w:ilvl w:val="1"/>
          <w:numId w:val="8"/>
        </w:numPr>
        <w:rPr>
          <w:rFonts w:ascii="Courier New" w:cs="Courier New" w:eastAsia="Courier New" w:hAnsi="Courier New"/>
          <w:sz w:val="19"/>
          <w:szCs w:val="19"/>
          <w:color w:val="auto"/>
        </w:rPr>
      </w:pPr>
      <w:r>
        <w:rPr>
          <w:rFonts w:ascii="Arial" w:cs="Arial" w:eastAsia="Arial" w:hAnsi="Arial"/>
          <w:sz w:val="19"/>
          <w:szCs w:val="19"/>
          <w:color w:val="auto"/>
        </w:rPr>
        <w:t>A phase 2 randomized, double blind, placebo-controlled clinical trial in the United States evaluating 187 patients with low-to-intermediate risk, localized prostate cancer undergoing active surveillance. We completed enrollment of this trial in May 2019, and we expect to report topline data in the fourth quarter of 2024.</w:t>
      </w:r>
    </w:p>
    <w:p>
      <w:pPr>
        <w:spacing w:after="0" w:line="98" w:lineRule="exact"/>
        <w:rPr>
          <w:rFonts w:ascii="Courier New" w:cs="Courier New" w:eastAsia="Courier New" w:hAnsi="Courier New"/>
          <w:sz w:val="19"/>
          <w:szCs w:val="19"/>
          <w:color w:val="auto"/>
        </w:rPr>
      </w:pPr>
    </w:p>
    <w:p>
      <w:pPr>
        <w:ind w:left="640" w:hanging="280"/>
        <w:spacing w:after="0"/>
        <w:tabs>
          <w:tab w:leader="none" w:pos="640" w:val="left"/>
        </w:tabs>
        <w:numPr>
          <w:ilvl w:val="0"/>
          <w:numId w:val="8"/>
        </w:numPr>
        <w:rPr>
          <w:rFonts w:ascii="Arial" w:cs="Arial" w:eastAsia="Arial" w:hAnsi="Arial"/>
          <w:sz w:val="19"/>
          <w:szCs w:val="19"/>
          <w:color w:val="auto"/>
        </w:rPr>
      </w:pPr>
      <w:r>
        <w:rPr>
          <w:rFonts w:ascii="Arial" w:cs="Arial" w:eastAsia="Arial" w:hAnsi="Arial"/>
          <w:sz w:val="19"/>
          <w:szCs w:val="19"/>
          <w:i w:val="1"/>
          <w:iCs w:val="1"/>
          <w:color w:val="auto"/>
        </w:rPr>
        <w:t>Non-Small Cell Lung Cancer (NSCLC)</w:t>
      </w:r>
    </w:p>
    <w:p>
      <w:pPr>
        <w:spacing w:after="0" w:line="111" w:lineRule="exact"/>
        <w:rPr>
          <w:rFonts w:ascii="Arial" w:cs="Arial" w:eastAsia="Arial" w:hAnsi="Arial"/>
          <w:sz w:val="19"/>
          <w:szCs w:val="19"/>
          <w:color w:val="auto"/>
        </w:rPr>
      </w:pPr>
    </w:p>
    <w:p>
      <w:pPr>
        <w:ind w:left="1180" w:right="20" w:hanging="273"/>
        <w:spacing w:after="0" w:line="242" w:lineRule="auto"/>
        <w:tabs>
          <w:tab w:leader="none" w:pos="1180" w:val="left"/>
        </w:tabs>
        <w:numPr>
          <w:ilvl w:val="1"/>
          <w:numId w:val="8"/>
        </w:numPr>
        <w:rPr>
          <w:rFonts w:ascii="Courier New" w:cs="Courier New" w:eastAsia="Courier New" w:hAnsi="Courier New"/>
          <w:sz w:val="19"/>
          <w:szCs w:val="19"/>
          <w:color w:val="auto"/>
        </w:rPr>
      </w:pPr>
      <w:r>
        <w:rPr>
          <w:rFonts w:ascii="Arial" w:cs="Arial" w:eastAsia="Arial" w:hAnsi="Arial"/>
          <w:sz w:val="19"/>
          <w:szCs w:val="19"/>
          <w:color w:val="auto"/>
        </w:rPr>
        <w:t>An open-label phase 2 clinical trial in the United States evaluating CAN-2409 plus valacyclovir in combination with continued PD-(L)1 checkpoint inhibitors in approximately 80 patients with stage III/IV NSCLC who have inadequate response to front line PD-(L)1 checkpoint inhibitor treatments. In April 2023, we announced that the FDA granted fast track designation for CAN-2409 plus valacyclovir in combination with pembrolizumab in order to improve survival or delay progression in patients with stage III (not candidates for curative intent) or stage IV NSCLC, who are resistant to first line PD-(L)1 inhibitor therapy and who do not have activating molecular driver mutations or have progressed on directed molecular therapy. These patients historically have had an expected median overall survival (mOS) of 10-14 months (Reckamp K et al. J Clin Onc 2022;40:2295-2306). The aim of the CAN-2409 immunotherapy antitumor strategy is to raise the tail on the survival curve by increasing the number of long survivors beyond 10-14 months.</w:t>
      </w:r>
    </w:p>
    <w:p>
      <w:pPr>
        <w:spacing w:after="0" w:line="181" w:lineRule="exact"/>
        <w:rPr>
          <w:sz w:val="20"/>
          <w:szCs w:val="20"/>
          <w:color w:val="auto"/>
        </w:rPr>
      </w:pPr>
    </w:p>
    <w:p>
      <w:pPr>
        <w:ind w:left="1180" w:right="400" w:hanging="273"/>
        <w:spacing w:after="0" w:line="247" w:lineRule="auto"/>
        <w:tabs>
          <w:tab w:leader="none" w:pos="1180" w:val="left"/>
        </w:tabs>
        <w:numPr>
          <w:ilvl w:val="0"/>
          <w:numId w:val="9"/>
        </w:numPr>
        <w:rPr>
          <w:rFonts w:ascii="Courier New" w:cs="Courier New" w:eastAsia="Courier New" w:hAnsi="Courier New"/>
          <w:sz w:val="19"/>
          <w:szCs w:val="19"/>
          <w:color w:val="auto"/>
        </w:rPr>
      </w:pPr>
      <w:r>
        <w:rPr>
          <w:rFonts w:ascii="Arial" w:cs="Arial" w:eastAsia="Arial" w:hAnsi="Arial"/>
          <w:sz w:val="19"/>
          <w:szCs w:val="19"/>
          <w:color w:val="auto"/>
        </w:rPr>
        <w:t>In 2022, we presented data from this phase 2 clinical trial where patients who received two administrations of CAN-2409 plus prodrug and completed the 12-week treatment window that demonstrated: 1) increased infiltration of CD8+ cytotoxic tumor infiltrating lymphocytes in the tumor microenvironment, systemic expansion of effector T cells and increased soluble granzyme B levels in</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w:t>
      </w:r>
    </w:p>
    <w:p>
      <w:pPr>
        <w:sectPr>
          <w:pgSz w:w="12240" w:h="15840" w:orient="portrait"/>
          <w:cols w:equalWidth="0" w:num="1">
            <w:col w:w="10060"/>
          </w:cols>
          <w:pgMar w:left="1080" w:top="1058" w:right="1100" w:bottom="173" w:gutter="0" w:footer="0" w:header="0"/>
        </w:sectPr>
      </w:pPr>
    </w:p>
    <w:bookmarkStart w:id="8" w:name="page9"/>
    <w:bookmarkEnd w:id="8"/>
    <w:p>
      <w:pPr>
        <w:ind w:left="820" w:right="120"/>
        <w:spacing w:after="0" w:line="250" w:lineRule="auto"/>
        <w:rPr>
          <w:sz w:val="20"/>
          <w:szCs w:val="20"/>
          <w:color w:val="auto"/>
        </w:rPr>
      </w:pPr>
      <w:r>
        <w:rPr>
          <w:rFonts w:ascii="Arial" w:cs="Arial" w:eastAsia="Arial" w:hAnsi="Arial"/>
          <w:sz w:val="19"/>
          <w:szCs w:val="19"/>
          <w:color w:val="auto"/>
        </w:rPr>
        <w:t>peripheral blood, 2) favorable changes in the trajectory of tumor progression, 3) decreased tumor size of target lesions in most patients, and 4) reduced size of uninjected tumor lesions (Aggarwal C et al. Abstract #9037 ASCO June 2022 and Aggarwal C et al. Candel Virtual R&amp;D Day, December 2022). These data were further supported in an update released September 2023, based on a data cutoff of August 1, 2023:</w:t>
      </w:r>
    </w:p>
    <w:p>
      <w:pPr>
        <w:spacing w:after="0" w:line="175" w:lineRule="exact"/>
        <w:rPr>
          <w:sz w:val="20"/>
          <w:szCs w:val="20"/>
          <w:color w:val="auto"/>
        </w:rPr>
      </w:pPr>
    </w:p>
    <w:p>
      <w:pPr>
        <w:ind w:left="1800" w:right="40" w:hanging="360"/>
        <w:spacing w:after="0" w:line="253" w:lineRule="auto"/>
        <w:tabs>
          <w:tab w:leader="none" w:pos="1800" w:val="left"/>
        </w:tabs>
        <w:numPr>
          <w:ilvl w:val="0"/>
          <w:numId w:val="10"/>
        </w:numPr>
        <w:rPr>
          <w:rFonts w:ascii="Arial" w:cs="Arial" w:eastAsia="Arial" w:hAnsi="Arial"/>
          <w:sz w:val="20"/>
          <w:szCs w:val="20"/>
          <w:color w:val="auto"/>
        </w:rPr>
      </w:pPr>
      <w:r>
        <w:rPr>
          <w:rFonts w:ascii="Arial" w:cs="Arial" w:eastAsia="Arial" w:hAnsi="Arial"/>
          <w:sz w:val="19"/>
          <w:szCs w:val="19"/>
          <w:color w:val="auto"/>
        </w:rPr>
        <w:t>40 patients across Cohort 1 (stable disease at enrollment; n=5) and Cohort 2 (progressive disease at enrollment; n=35) were evaluable, as they received two courses of CAN-2409 plus valacyclovir and completed the 12-week treatment window.</w:t>
      </w:r>
    </w:p>
    <w:p>
      <w:pPr>
        <w:spacing w:after="0" w:line="172" w:lineRule="exact"/>
        <w:rPr>
          <w:rFonts w:ascii="Arial" w:cs="Arial" w:eastAsia="Arial" w:hAnsi="Arial"/>
          <w:sz w:val="20"/>
          <w:szCs w:val="20"/>
          <w:color w:val="auto"/>
        </w:rPr>
      </w:pPr>
    </w:p>
    <w:p>
      <w:pPr>
        <w:ind w:left="1800" w:right="580" w:hanging="360"/>
        <w:spacing w:after="0" w:line="253" w:lineRule="auto"/>
        <w:tabs>
          <w:tab w:leader="none" w:pos="1800" w:val="left"/>
        </w:tabs>
        <w:numPr>
          <w:ilvl w:val="0"/>
          <w:numId w:val="10"/>
        </w:numPr>
        <w:rPr>
          <w:rFonts w:ascii="Arial" w:cs="Arial" w:eastAsia="Arial" w:hAnsi="Arial"/>
          <w:sz w:val="20"/>
          <w:szCs w:val="20"/>
          <w:color w:val="auto"/>
        </w:rPr>
      </w:pPr>
      <w:r>
        <w:rPr>
          <w:rFonts w:ascii="Arial" w:cs="Arial" w:eastAsia="Arial" w:hAnsi="Arial"/>
          <w:sz w:val="19"/>
          <w:szCs w:val="19"/>
          <w:color w:val="auto"/>
        </w:rPr>
        <w:t>While overall survival was not yet mature, we observed an encouraging number of long survivors. We believe that CAN-2409 may induce a new state of functional immunosurveillance and durable disease control in a subset of the patients.</w:t>
      </w:r>
    </w:p>
    <w:p>
      <w:pPr>
        <w:spacing w:after="0" w:line="172" w:lineRule="exact"/>
        <w:rPr>
          <w:rFonts w:ascii="Arial" w:cs="Arial" w:eastAsia="Arial" w:hAnsi="Arial"/>
          <w:sz w:val="20"/>
          <w:szCs w:val="20"/>
          <w:color w:val="auto"/>
        </w:rPr>
      </w:pPr>
    </w:p>
    <w:p>
      <w:pPr>
        <w:ind w:left="1800" w:right="200" w:hanging="360"/>
        <w:spacing w:after="0" w:line="249" w:lineRule="auto"/>
        <w:tabs>
          <w:tab w:leader="none" w:pos="1800" w:val="left"/>
        </w:tabs>
        <w:numPr>
          <w:ilvl w:val="0"/>
          <w:numId w:val="10"/>
        </w:numPr>
        <w:rPr>
          <w:rFonts w:ascii="Arial" w:cs="Arial" w:eastAsia="Arial" w:hAnsi="Arial"/>
          <w:sz w:val="20"/>
          <w:szCs w:val="20"/>
          <w:color w:val="auto"/>
        </w:rPr>
      </w:pPr>
      <w:r>
        <w:rPr>
          <w:rFonts w:ascii="Arial" w:cs="Arial" w:eastAsia="Arial" w:hAnsi="Arial"/>
          <w:sz w:val="19"/>
          <w:szCs w:val="19"/>
          <w:color w:val="auto"/>
        </w:rPr>
        <w:t>Of the 40 evaluable patients, 15 patients had lived ≥ 12 months; of these, 10 patients had lived &gt; 18 months, of whom 70% (7/10) were alive as of last follow up. All 4 patients (100%) with overall survival &gt; 24 months were alive at last follow up, with the longest reaching 31.7 months.</w:t>
      </w:r>
    </w:p>
    <w:p>
      <w:pPr>
        <w:spacing w:after="0" w:line="175" w:lineRule="exact"/>
        <w:rPr>
          <w:rFonts w:ascii="Arial" w:cs="Arial" w:eastAsia="Arial" w:hAnsi="Arial"/>
          <w:sz w:val="20"/>
          <w:szCs w:val="20"/>
          <w:color w:val="auto"/>
        </w:rPr>
      </w:pPr>
    </w:p>
    <w:p>
      <w:pPr>
        <w:ind w:left="1800" w:right="200" w:hanging="360"/>
        <w:spacing w:after="0" w:line="268" w:lineRule="auto"/>
        <w:tabs>
          <w:tab w:leader="none" w:pos="1800" w:val="left"/>
        </w:tabs>
        <w:numPr>
          <w:ilvl w:val="0"/>
          <w:numId w:val="10"/>
        </w:numPr>
        <w:rPr>
          <w:rFonts w:ascii="Arial" w:cs="Arial" w:eastAsia="Arial" w:hAnsi="Arial"/>
          <w:sz w:val="20"/>
          <w:szCs w:val="20"/>
          <w:color w:val="auto"/>
        </w:rPr>
      </w:pPr>
      <w:r>
        <w:rPr>
          <w:rFonts w:ascii="Arial" w:cs="Arial" w:eastAsia="Arial" w:hAnsi="Arial"/>
          <w:sz w:val="19"/>
          <w:szCs w:val="19"/>
          <w:color w:val="auto"/>
        </w:rPr>
        <w:t>An additional 18 out of the 40 evaluable patients were also alive but had not yet reached 12 months of follow up.</w:t>
      </w:r>
    </w:p>
    <w:p>
      <w:pPr>
        <w:spacing w:after="0" w:line="156" w:lineRule="exact"/>
        <w:rPr>
          <w:rFonts w:ascii="Arial" w:cs="Arial" w:eastAsia="Arial" w:hAnsi="Arial"/>
          <w:sz w:val="20"/>
          <w:szCs w:val="20"/>
          <w:color w:val="auto"/>
        </w:rPr>
      </w:pPr>
    </w:p>
    <w:p>
      <w:pPr>
        <w:ind w:left="1800" w:hanging="360"/>
        <w:spacing w:after="0" w:line="249" w:lineRule="auto"/>
        <w:tabs>
          <w:tab w:leader="none" w:pos="1800" w:val="left"/>
        </w:tabs>
        <w:numPr>
          <w:ilvl w:val="0"/>
          <w:numId w:val="10"/>
        </w:numPr>
        <w:rPr>
          <w:rFonts w:ascii="Arial" w:cs="Arial" w:eastAsia="Arial" w:hAnsi="Arial"/>
          <w:sz w:val="20"/>
          <w:szCs w:val="20"/>
          <w:color w:val="auto"/>
        </w:rPr>
      </w:pPr>
      <w:r>
        <w:rPr>
          <w:rFonts w:ascii="Arial" w:cs="Arial" w:eastAsia="Arial" w:hAnsi="Arial"/>
          <w:sz w:val="19"/>
          <w:szCs w:val="19"/>
          <w:color w:val="auto"/>
        </w:rPr>
        <w:t>Notably, many patients treated with CAN-2409 had long survival (≥ 12 months) despite having disease features generally associated with advanced disease and reduced likelihood to benefit from immune checkpoint inhibitor therapy, such as low or negative PD-(L)1 expression, including:</w:t>
      </w:r>
    </w:p>
    <w:p>
      <w:pPr>
        <w:spacing w:after="0" w:line="196" w:lineRule="exact"/>
        <w:rPr>
          <w:rFonts w:ascii="Arial" w:cs="Arial" w:eastAsia="Arial" w:hAnsi="Arial"/>
          <w:sz w:val="20"/>
          <w:szCs w:val="20"/>
          <w:color w:val="auto"/>
        </w:rPr>
      </w:pPr>
    </w:p>
    <w:p>
      <w:pPr>
        <w:ind w:left="2520" w:right="380" w:hanging="360"/>
        <w:spacing w:after="0" w:line="253" w:lineRule="auto"/>
        <w:tabs>
          <w:tab w:leader="none" w:pos="2520" w:val="left"/>
        </w:tabs>
        <w:numPr>
          <w:ilvl w:val="1"/>
          <w:numId w:val="10"/>
        </w:numPr>
        <w:rPr>
          <w:rFonts w:ascii="Arial" w:cs="Arial" w:eastAsia="Arial" w:hAnsi="Arial"/>
          <w:sz w:val="20"/>
          <w:szCs w:val="20"/>
          <w:color w:val="auto"/>
        </w:rPr>
      </w:pPr>
      <w:r>
        <w:rPr>
          <w:rFonts w:ascii="Arial" w:cs="Arial" w:eastAsia="Arial" w:hAnsi="Arial"/>
          <w:sz w:val="19"/>
          <w:szCs w:val="19"/>
          <w:color w:val="auto"/>
        </w:rPr>
        <w:t>Amongst patients alive ≥ 12 months with known PD-(L)1 status (14/15), 93% had negative or low PD-(L)1 score (&lt;1 or between 1-49).</w:t>
      </w:r>
    </w:p>
    <w:p>
      <w:pPr>
        <w:spacing w:after="0" w:line="1" w:lineRule="exact"/>
        <w:rPr>
          <w:rFonts w:ascii="Arial" w:cs="Arial" w:eastAsia="Arial" w:hAnsi="Arial"/>
          <w:sz w:val="20"/>
          <w:szCs w:val="20"/>
          <w:color w:val="auto"/>
        </w:rPr>
      </w:pPr>
    </w:p>
    <w:p>
      <w:pPr>
        <w:ind w:left="2520" w:right="260" w:hanging="360"/>
        <w:spacing w:after="0" w:line="243" w:lineRule="auto"/>
        <w:tabs>
          <w:tab w:leader="none" w:pos="2520" w:val="left"/>
        </w:tabs>
        <w:numPr>
          <w:ilvl w:val="1"/>
          <w:numId w:val="10"/>
        </w:numPr>
        <w:rPr>
          <w:rFonts w:ascii="Arial" w:cs="Arial" w:eastAsia="Arial" w:hAnsi="Arial"/>
          <w:sz w:val="20"/>
          <w:szCs w:val="20"/>
          <w:color w:val="auto"/>
        </w:rPr>
      </w:pPr>
      <w:r>
        <w:rPr>
          <w:rFonts w:ascii="Arial" w:cs="Arial" w:eastAsia="Arial" w:hAnsi="Arial"/>
          <w:sz w:val="19"/>
          <w:szCs w:val="19"/>
          <w:color w:val="auto"/>
        </w:rPr>
        <w:t>Advanced disease with stage IV in 73% (11/15), lymph node involvement in 73% (11/15), pleural effusion in 40% (6/15), bone metastases in 27% (4/15), adrenal metastases in 20% (3/15), brain metastases in 13% (2/15), liver metastases in 7% (1/15), involvement of 3 or more organs in 13% (2/15), and Eastern Cooperative Oncology Group performance status 1 in 40% (6/15).</w:t>
      </w:r>
    </w:p>
    <w:p>
      <w:pPr>
        <w:spacing w:after="0" w:line="180" w:lineRule="exact"/>
        <w:rPr>
          <w:rFonts w:ascii="Arial" w:cs="Arial" w:eastAsia="Arial" w:hAnsi="Arial"/>
          <w:sz w:val="20"/>
          <w:szCs w:val="20"/>
          <w:color w:val="auto"/>
        </w:rPr>
      </w:pPr>
    </w:p>
    <w:p>
      <w:pPr>
        <w:ind w:left="1800" w:right="180" w:hanging="360"/>
        <w:spacing w:after="0" w:line="287" w:lineRule="auto"/>
        <w:tabs>
          <w:tab w:leader="none" w:pos="1800" w:val="left"/>
        </w:tabs>
        <w:numPr>
          <w:ilvl w:val="0"/>
          <w:numId w:val="10"/>
        </w:numPr>
        <w:rPr>
          <w:rFonts w:ascii="Arial" w:cs="Arial" w:eastAsia="Arial" w:hAnsi="Arial"/>
          <w:sz w:val="20"/>
          <w:szCs w:val="20"/>
          <w:color w:val="auto"/>
        </w:rPr>
      </w:pPr>
      <w:r>
        <w:rPr>
          <w:rFonts w:ascii="Arial" w:cs="Arial" w:eastAsia="Arial" w:hAnsi="Arial"/>
          <w:sz w:val="19"/>
          <w:szCs w:val="19"/>
          <w:color w:val="auto"/>
        </w:rPr>
        <w:t>There was a significant increase observed in activated central memory, effector-memory, effector T cells, and natural killer (NK) cells after CAN-2409 treatment. These include CD8+Ki67+IFN + T cells, CD8+ granzyme B+Ki67+ T cells, CD56+CD16+granzyme B+ NK cells, and + T cells. We also observed an increase in memory B cells after CAN-2409 treatment</w:t>
      </w:r>
    </w:p>
    <w:p>
      <w:pPr>
        <w:spacing w:after="0" w:line="143" w:lineRule="exact"/>
        <w:rPr>
          <w:rFonts w:ascii="Arial" w:cs="Arial" w:eastAsia="Arial" w:hAnsi="Arial"/>
          <w:sz w:val="20"/>
          <w:szCs w:val="20"/>
          <w:color w:val="auto"/>
        </w:rPr>
      </w:pPr>
    </w:p>
    <w:p>
      <w:pPr>
        <w:ind w:left="1800" w:right="280" w:hanging="360"/>
        <w:spacing w:after="0" w:line="253" w:lineRule="auto"/>
        <w:tabs>
          <w:tab w:leader="none" w:pos="1800" w:val="left"/>
        </w:tabs>
        <w:numPr>
          <w:ilvl w:val="0"/>
          <w:numId w:val="10"/>
        </w:numPr>
        <w:rPr>
          <w:rFonts w:ascii="Arial" w:cs="Arial" w:eastAsia="Arial" w:hAnsi="Arial"/>
          <w:sz w:val="20"/>
          <w:szCs w:val="20"/>
          <w:color w:val="auto"/>
        </w:rPr>
      </w:pPr>
      <w:r>
        <w:rPr>
          <w:rFonts w:ascii="Arial" w:cs="Arial" w:eastAsia="Arial" w:hAnsi="Arial"/>
          <w:sz w:val="19"/>
          <w:szCs w:val="19"/>
          <w:color w:val="auto"/>
        </w:rPr>
        <w:t>We observed an increase in effector/cytotoxic T cells and NK cells in peripheral blood after the second CAN-2409 administration associated with subsequent improved survival (≥ 12 months).</w:t>
      </w:r>
    </w:p>
    <w:p>
      <w:pPr>
        <w:spacing w:after="0" w:line="172" w:lineRule="exact"/>
        <w:rPr>
          <w:rFonts w:ascii="Arial" w:cs="Arial" w:eastAsia="Arial" w:hAnsi="Arial"/>
          <w:sz w:val="20"/>
          <w:szCs w:val="20"/>
          <w:color w:val="auto"/>
        </w:rPr>
      </w:pPr>
    </w:p>
    <w:p>
      <w:pPr>
        <w:ind w:left="1800" w:hanging="360"/>
        <w:spacing w:after="0" w:line="247" w:lineRule="auto"/>
        <w:tabs>
          <w:tab w:leader="none" w:pos="1800" w:val="left"/>
        </w:tabs>
        <w:numPr>
          <w:ilvl w:val="0"/>
          <w:numId w:val="10"/>
        </w:numPr>
        <w:rPr>
          <w:rFonts w:ascii="Arial" w:cs="Arial" w:eastAsia="Arial" w:hAnsi="Arial"/>
          <w:sz w:val="20"/>
          <w:szCs w:val="20"/>
          <w:color w:val="auto"/>
        </w:rPr>
      </w:pPr>
      <w:r>
        <w:rPr>
          <w:rFonts w:ascii="Arial" w:cs="Arial" w:eastAsia="Arial" w:hAnsi="Arial"/>
          <w:sz w:val="19"/>
          <w:szCs w:val="19"/>
          <w:color w:val="auto"/>
        </w:rPr>
        <w:t>We continued to observe a favorable safety/tolerability profile after CAN-2409 treatment in NSCLC. There were no dose limiting toxicities or grade 4 or greater treatment related adverse events. Grade 3 treatment related adverse events were reported in &lt; 10% of patients receiving at least one dose of CAN-2409 (safety population), which we believe compares favorably to current standard of care (SoC) options.</w:t>
      </w:r>
    </w:p>
    <w:p>
      <w:pPr>
        <w:spacing w:after="0" w:line="175" w:lineRule="exact"/>
        <w:rPr>
          <w:sz w:val="20"/>
          <w:szCs w:val="20"/>
          <w:color w:val="auto"/>
        </w:rPr>
      </w:pPr>
    </w:p>
    <w:p>
      <w:pPr>
        <w:ind w:left="1080" w:right="580" w:hanging="360"/>
        <w:spacing w:after="0" w:line="262" w:lineRule="auto"/>
        <w:tabs>
          <w:tab w:leader="none" w:pos="1080" w:val="left"/>
        </w:tabs>
        <w:numPr>
          <w:ilvl w:val="1"/>
          <w:numId w:val="11"/>
        </w:numPr>
        <w:rPr>
          <w:rFonts w:ascii="Courier New" w:cs="Courier New" w:eastAsia="Courier New" w:hAnsi="Courier New"/>
          <w:sz w:val="19"/>
          <w:szCs w:val="19"/>
          <w:color w:val="auto"/>
        </w:rPr>
      </w:pPr>
      <w:r>
        <w:rPr>
          <w:rFonts w:ascii="Arial" w:cs="Arial" w:eastAsia="Arial" w:hAnsi="Arial"/>
          <w:sz w:val="19"/>
          <w:szCs w:val="19"/>
          <w:color w:val="auto"/>
        </w:rPr>
        <w:t>Candel expects to share topline overall survival data for Cohort 2 in the second quarter of 2024, assuming data are mature at that time.</w:t>
      </w:r>
    </w:p>
    <w:p>
      <w:pPr>
        <w:spacing w:after="0" w:line="399" w:lineRule="exact"/>
        <w:rPr>
          <w:rFonts w:ascii="Courier New" w:cs="Courier New" w:eastAsia="Courier New" w:hAnsi="Courier New"/>
          <w:sz w:val="19"/>
          <w:szCs w:val="19"/>
          <w:color w:val="auto"/>
        </w:rPr>
      </w:pPr>
    </w:p>
    <w:p>
      <w:pPr>
        <w:ind w:left="280" w:hanging="280"/>
        <w:spacing w:after="0"/>
        <w:tabs>
          <w:tab w:leader="none" w:pos="280" w:val="left"/>
        </w:tabs>
        <w:numPr>
          <w:ilvl w:val="0"/>
          <w:numId w:val="11"/>
        </w:numPr>
        <w:rPr>
          <w:rFonts w:ascii="Arial" w:cs="Arial" w:eastAsia="Arial" w:hAnsi="Arial"/>
          <w:sz w:val="19"/>
          <w:szCs w:val="19"/>
          <w:color w:val="auto"/>
        </w:rPr>
      </w:pPr>
      <w:r>
        <w:rPr>
          <w:rFonts w:ascii="Arial" w:cs="Arial" w:eastAsia="Arial" w:hAnsi="Arial"/>
          <w:sz w:val="19"/>
          <w:szCs w:val="19"/>
          <w:i w:val="1"/>
          <w:iCs w:val="1"/>
          <w:color w:val="auto"/>
        </w:rPr>
        <w:t>Pancreatic Cancer</w:t>
      </w:r>
    </w:p>
    <w:p>
      <w:pPr>
        <w:spacing w:after="0" w:line="210" w:lineRule="exact"/>
        <w:rPr>
          <w:rFonts w:ascii="Arial" w:cs="Arial" w:eastAsia="Arial" w:hAnsi="Arial"/>
          <w:sz w:val="19"/>
          <w:szCs w:val="19"/>
          <w:color w:val="auto"/>
        </w:rPr>
      </w:pPr>
    </w:p>
    <w:p>
      <w:pPr>
        <w:ind w:left="1080" w:right="320" w:hanging="360"/>
        <w:spacing w:after="0" w:line="265" w:lineRule="auto"/>
        <w:tabs>
          <w:tab w:leader="none" w:pos="1080" w:val="left"/>
        </w:tabs>
        <w:numPr>
          <w:ilvl w:val="1"/>
          <w:numId w:val="11"/>
        </w:numPr>
        <w:rPr>
          <w:rFonts w:ascii="Courier New" w:cs="Courier New" w:eastAsia="Courier New" w:hAnsi="Courier New"/>
          <w:sz w:val="18"/>
          <w:szCs w:val="18"/>
          <w:color w:val="auto"/>
        </w:rPr>
      </w:pPr>
      <w:r>
        <w:rPr>
          <w:rFonts w:ascii="Arial" w:cs="Arial" w:eastAsia="Arial" w:hAnsi="Arial"/>
          <w:sz w:val="18"/>
          <w:szCs w:val="18"/>
          <w:color w:val="auto"/>
        </w:rPr>
        <w:t>We have initiated a randomized phase 2 clinical trial in the United States evaluating CAN-2409 in borderline resectable and locally advanced pancreatic adenocarcinoma. In December 2023, we announced that the FDA granted fast track designation for CAN-2409 plus valacyclovir for the treatment of patients with pancreatic ductal adenocarcinoma (PDAC) to improve overall survival. In</w:t>
      </w:r>
    </w:p>
    <w:p>
      <w:pPr>
        <w:spacing w:after="0" w:line="214" w:lineRule="exact"/>
        <w:rPr>
          <w:sz w:val="20"/>
          <w:szCs w:val="20"/>
          <w:color w:val="auto"/>
        </w:rPr>
      </w:pPr>
    </w:p>
    <w:p>
      <w:pPr>
        <w:jc w:val="center"/>
        <w:ind w:right="320"/>
        <w:spacing w:after="0"/>
        <w:rPr>
          <w:sz w:val="20"/>
          <w:szCs w:val="20"/>
          <w:color w:val="auto"/>
        </w:rPr>
      </w:pPr>
      <w:r>
        <w:rPr>
          <w:rFonts w:ascii="Arial" w:cs="Arial" w:eastAsia="Arial" w:hAnsi="Arial"/>
          <w:sz w:val="19"/>
          <w:szCs w:val="19"/>
          <w:color w:val="auto"/>
        </w:rPr>
        <w:t>5</w:t>
      </w:r>
    </w:p>
    <w:p>
      <w:pPr>
        <w:sectPr>
          <w:pgSz w:w="12240" w:h="15840" w:orient="portrait"/>
          <w:cols w:equalWidth="0" w:num="1">
            <w:col w:w="9680"/>
          </w:cols>
          <w:pgMar w:left="1440" w:top="1062" w:right="1120" w:bottom="173" w:gutter="0" w:footer="0" w:header="0"/>
        </w:sectPr>
      </w:pPr>
    </w:p>
    <w:bookmarkStart w:id="9" w:name="page10"/>
    <w:bookmarkEnd w:id="9"/>
    <w:p>
      <w:pPr>
        <w:ind w:left="1440" w:right="80"/>
        <w:spacing w:after="0" w:line="250" w:lineRule="auto"/>
        <w:rPr>
          <w:sz w:val="20"/>
          <w:szCs w:val="20"/>
          <w:color w:val="auto"/>
        </w:rPr>
      </w:pPr>
      <w:r>
        <w:rPr>
          <w:rFonts w:ascii="Arial" w:cs="Arial" w:eastAsia="Arial" w:hAnsi="Arial"/>
          <w:sz w:val="19"/>
          <w:szCs w:val="19"/>
          <w:color w:val="auto"/>
        </w:rPr>
        <w:t>March 2023, in connection with our cost management and dynamic portfolio management initiatives, we elected to pause new enrollment in this randomized phase 2 clinical trial, subject to additional funding. Despite the pause in new patient enrollment, we presented initial positive interim overall survival and immunological biomarker clinical data at the Society for Immunotherapy of Cancer (SITC) Annual Meeting in the fourth quarter of 2023.</w:t>
      </w:r>
    </w:p>
    <w:p>
      <w:pPr>
        <w:spacing w:after="0" w:line="173" w:lineRule="exact"/>
        <w:rPr>
          <w:sz w:val="20"/>
          <w:szCs w:val="20"/>
          <w:color w:val="auto"/>
        </w:rPr>
      </w:pPr>
    </w:p>
    <w:p>
      <w:pPr>
        <w:ind w:left="1440" w:right="140" w:hanging="360"/>
        <w:spacing w:after="0" w:line="245" w:lineRule="auto"/>
        <w:tabs>
          <w:tab w:leader="none" w:pos="1440" w:val="left"/>
        </w:tabs>
        <w:numPr>
          <w:ilvl w:val="0"/>
          <w:numId w:val="12"/>
        </w:numPr>
        <w:rPr>
          <w:rFonts w:ascii="Courier New" w:cs="Courier New" w:eastAsia="Courier New" w:hAnsi="Courier New"/>
          <w:sz w:val="19"/>
          <w:szCs w:val="19"/>
          <w:color w:val="auto"/>
        </w:rPr>
      </w:pPr>
      <w:r>
        <w:rPr>
          <w:rFonts w:ascii="Arial" w:cs="Arial" w:eastAsia="Arial" w:hAnsi="Arial"/>
          <w:sz w:val="19"/>
          <w:szCs w:val="19"/>
          <w:color w:val="auto"/>
        </w:rPr>
        <w:t>In a previous phase 1b trial, a statistically significant increase in the number of CD8+ tumor infiltrating lymphocytes was observed. Initial positive phase 2 data revealed notable improvements in patients with borderline resectable pancreatic ductal adenorcarcinoma (PDAC) following CAN-2409 plus prodrug together with SoC chemoradiation; the following data were disclosed as of the August 21, 2023 data cutoff</w:t>
      </w:r>
    </w:p>
    <w:p>
      <w:pPr>
        <w:spacing w:after="0" w:line="180" w:lineRule="exact"/>
        <w:rPr>
          <w:rFonts w:ascii="Courier New" w:cs="Courier New" w:eastAsia="Courier New" w:hAnsi="Courier New"/>
          <w:sz w:val="19"/>
          <w:szCs w:val="19"/>
          <w:color w:val="auto"/>
        </w:rPr>
      </w:pPr>
    </w:p>
    <w:p>
      <w:pPr>
        <w:ind w:left="2160" w:hanging="360"/>
        <w:spacing w:after="0"/>
        <w:tabs>
          <w:tab w:leader="none" w:pos="2160" w:val="left"/>
        </w:tabs>
        <w:numPr>
          <w:ilvl w:val="1"/>
          <w:numId w:val="12"/>
        </w:numPr>
        <w:rPr>
          <w:rFonts w:ascii="Arial" w:cs="Arial" w:eastAsia="Arial" w:hAnsi="Arial"/>
          <w:sz w:val="20"/>
          <w:szCs w:val="20"/>
          <w:color w:val="auto"/>
        </w:rPr>
      </w:pPr>
      <w:r>
        <w:rPr>
          <w:rFonts w:ascii="Arial" w:cs="Arial" w:eastAsia="Arial" w:hAnsi="Arial"/>
          <w:sz w:val="19"/>
          <w:szCs w:val="19"/>
          <w:color w:val="auto"/>
        </w:rPr>
        <w:t>Clinical data highlights:</w:t>
      </w:r>
    </w:p>
    <w:p>
      <w:pPr>
        <w:spacing w:after="0" w:line="229" w:lineRule="exact"/>
        <w:rPr>
          <w:rFonts w:ascii="Arial" w:cs="Arial" w:eastAsia="Arial" w:hAnsi="Arial"/>
          <w:sz w:val="20"/>
          <w:szCs w:val="20"/>
          <w:color w:val="auto"/>
        </w:rPr>
      </w:pPr>
    </w:p>
    <w:p>
      <w:pPr>
        <w:ind w:left="2880" w:right="360" w:hanging="360"/>
        <w:spacing w:after="0" w:line="268" w:lineRule="auto"/>
        <w:tabs>
          <w:tab w:leader="none" w:pos="2880" w:val="left"/>
        </w:tabs>
        <w:numPr>
          <w:ilvl w:val="2"/>
          <w:numId w:val="12"/>
        </w:numPr>
        <w:rPr>
          <w:rFonts w:ascii="Arial" w:cs="Arial" w:eastAsia="Arial" w:hAnsi="Arial"/>
          <w:sz w:val="20"/>
          <w:szCs w:val="20"/>
          <w:color w:val="auto"/>
        </w:rPr>
      </w:pPr>
      <w:r>
        <w:rPr>
          <w:rFonts w:ascii="Arial" w:cs="Arial" w:eastAsia="Arial" w:hAnsi="Arial"/>
          <w:sz w:val="19"/>
          <w:szCs w:val="19"/>
          <w:color w:val="auto"/>
        </w:rPr>
        <w:t>Prolonged and sustained survival was observed after experimental treatment with CAN-2409 in patients with borderline resectable PDAC.</w:t>
      </w:r>
    </w:p>
    <w:p>
      <w:pPr>
        <w:spacing w:after="0" w:line="177" w:lineRule="exact"/>
        <w:rPr>
          <w:rFonts w:ascii="Arial" w:cs="Arial" w:eastAsia="Arial" w:hAnsi="Arial"/>
          <w:sz w:val="20"/>
          <w:szCs w:val="20"/>
          <w:color w:val="auto"/>
        </w:rPr>
      </w:pPr>
    </w:p>
    <w:p>
      <w:pPr>
        <w:ind w:left="2880" w:right="120" w:hanging="360"/>
        <w:spacing w:after="0" w:line="249" w:lineRule="auto"/>
        <w:tabs>
          <w:tab w:leader="none" w:pos="2880" w:val="left"/>
        </w:tabs>
        <w:numPr>
          <w:ilvl w:val="2"/>
          <w:numId w:val="12"/>
        </w:numPr>
        <w:rPr>
          <w:rFonts w:ascii="Arial" w:cs="Arial" w:eastAsia="Arial" w:hAnsi="Arial"/>
          <w:sz w:val="20"/>
          <w:szCs w:val="20"/>
          <w:color w:val="auto"/>
        </w:rPr>
      </w:pPr>
      <w:r>
        <w:rPr>
          <w:rFonts w:ascii="Arial" w:cs="Arial" w:eastAsia="Arial" w:hAnsi="Arial"/>
          <w:sz w:val="19"/>
          <w:szCs w:val="19"/>
          <w:color w:val="auto"/>
        </w:rPr>
        <w:t>An estimated survival rate of 71.4% at both 24 and 36 months was observed in patients who received CAN-2409 regimen together with SoC chemoradiation prior to surgery, versus only 16.7% estimated survival at 24 and 36 months with SoC chemoradiation prior to surgery</w:t>
      </w:r>
    </w:p>
    <w:p>
      <w:pPr>
        <w:spacing w:after="0" w:line="196" w:lineRule="exact"/>
        <w:rPr>
          <w:rFonts w:ascii="Arial" w:cs="Arial" w:eastAsia="Arial" w:hAnsi="Arial"/>
          <w:sz w:val="20"/>
          <w:szCs w:val="20"/>
          <w:color w:val="auto"/>
        </w:rPr>
      </w:pPr>
    </w:p>
    <w:p>
      <w:pPr>
        <w:ind w:left="2880" w:right="140" w:hanging="360"/>
        <w:spacing w:after="0" w:line="249" w:lineRule="auto"/>
        <w:tabs>
          <w:tab w:leader="none" w:pos="2880" w:val="left"/>
        </w:tabs>
        <w:numPr>
          <w:ilvl w:val="2"/>
          <w:numId w:val="12"/>
        </w:numPr>
        <w:rPr>
          <w:rFonts w:ascii="Arial" w:cs="Arial" w:eastAsia="Arial" w:hAnsi="Arial"/>
          <w:sz w:val="20"/>
          <w:szCs w:val="20"/>
          <w:color w:val="auto"/>
        </w:rPr>
      </w:pPr>
      <w:r>
        <w:rPr>
          <w:rFonts w:ascii="Arial" w:cs="Arial" w:eastAsia="Arial" w:hAnsi="Arial"/>
          <w:sz w:val="19"/>
          <w:szCs w:val="19"/>
          <w:color w:val="auto"/>
        </w:rPr>
        <w:t>Importantly, 5 out of 7 patients who received CAN-2409 were still alive at the time of data cutoff, with two patients surviving more than 45 months from enrollment. Only one patient randomized to control SoC chemotherapy remained alive at data cutoff (alive at 43 months).</w:t>
      </w:r>
    </w:p>
    <w:p>
      <w:pPr>
        <w:spacing w:after="0" w:line="196" w:lineRule="exact"/>
        <w:rPr>
          <w:rFonts w:ascii="Arial" w:cs="Arial" w:eastAsia="Arial" w:hAnsi="Arial"/>
          <w:sz w:val="20"/>
          <w:szCs w:val="20"/>
          <w:color w:val="auto"/>
        </w:rPr>
      </w:pPr>
    </w:p>
    <w:p>
      <w:pPr>
        <w:ind w:left="2880" w:right="100" w:hanging="360"/>
        <w:spacing w:after="0" w:line="253" w:lineRule="auto"/>
        <w:tabs>
          <w:tab w:leader="none" w:pos="2880" w:val="left"/>
        </w:tabs>
        <w:numPr>
          <w:ilvl w:val="2"/>
          <w:numId w:val="12"/>
        </w:numPr>
        <w:rPr>
          <w:rFonts w:ascii="Arial" w:cs="Arial" w:eastAsia="Arial" w:hAnsi="Arial"/>
          <w:sz w:val="20"/>
          <w:szCs w:val="20"/>
          <w:color w:val="auto"/>
        </w:rPr>
      </w:pPr>
      <w:r>
        <w:rPr>
          <w:rFonts w:ascii="Arial" w:cs="Arial" w:eastAsia="Arial" w:hAnsi="Arial"/>
          <w:sz w:val="19"/>
          <w:szCs w:val="19"/>
          <w:color w:val="auto"/>
        </w:rPr>
        <w:t>mOS has not been reached yet in patients who received CAN-2409 because most of the patients in the CAN-2409 group were still alive at data cut-off; mOS was 12.5 months in the control arm.</w:t>
      </w:r>
    </w:p>
    <w:p>
      <w:pPr>
        <w:spacing w:after="0" w:line="95" w:lineRule="exact"/>
        <w:rPr>
          <w:rFonts w:ascii="Arial" w:cs="Arial" w:eastAsia="Arial" w:hAnsi="Arial"/>
          <w:sz w:val="20"/>
          <w:szCs w:val="20"/>
          <w:color w:val="auto"/>
        </w:rPr>
      </w:pPr>
    </w:p>
    <w:p>
      <w:pPr>
        <w:ind w:left="2880" w:hanging="360"/>
        <w:spacing w:after="0" w:line="268" w:lineRule="auto"/>
        <w:tabs>
          <w:tab w:leader="none" w:pos="2880" w:val="left"/>
        </w:tabs>
        <w:numPr>
          <w:ilvl w:val="2"/>
          <w:numId w:val="12"/>
        </w:numPr>
        <w:rPr>
          <w:rFonts w:ascii="Arial" w:cs="Arial" w:eastAsia="Arial" w:hAnsi="Arial"/>
          <w:sz w:val="20"/>
          <w:szCs w:val="20"/>
          <w:color w:val="auto"/>
        </w:rPr>
      </w:pPr>
      <w:r>
        <w:rPr>
          <w:rFonts w:ascii="Arial" w:cs="Arial" w:eastAsia="Arial" w:hAnsi="Arial"/>
          <w:sz w:val="19"/>
          <w:szCs w:val="19"/>
          <w:color w:val="auto"/>
        </w:rPr>
        <w:t>Disease course was altered after salvage chemotherapy with improved CA19-9 levels and ongoing survival in CAN-2409 arm, but not in control arm.</w:t>
      </w:r>
    </w:p>
    <w:p>
      <w:pPr>
        <w:spacing w:after="0" w:line="156" w:lineRule="exact"/>
        <w:rPr>
          <w:rFonts w:ascii="Arial" w:cs="Arial" w:eastAsia="Arial" w:hAnsi="Arial"/>
          <w:sz w:val="20"/>
          <w:szCs w:val="20"/>
          <w:color w:val="auto"/>
        </w:rPr>
      </w:pPr>
    </w:p>
    <w:p>
      <w:pPr>
        <w:ind w:left="2160" w:hanging="360"/>
        <w:spacing w:after="0"/>
        <w:tabs>
          <w:tab w:leader="none" w:pos="2160" w:val="left"/>
        </w:tabs>
        <w:numPr>
          <w:ilvl w:val="1"/>
          <w:numId w:val="12"/>
        </w:numPr>
        <w:rPr>
          <w:rFonts w:ascii="Arial" w:cs="Arial" w:eastAsia="Arial" w:hAnsi="Arial"/>
          <w:sz w:val="20"/>
          <w:szCs w:val="20"/>
          <w:color w:val="auto"/>
        </w:rPr>
      </w:pPr>
      <w:r>
        <w:rPr>
          <w:rFonts w:ascii="Arial" w:cs="Arial" w:eastAsia="Arial" w:hAnsi="Arial"/>
          <w:sz w:val="19"/>
          <w:szCs w:val="19"/>
          <w:color w:val="auto"/>
        </w:rPr>
        <w:t>Biomarker data analysis demonstrated:</w:t>
      </w:r>
    </w:p>
    <w:p>
      <w:pPr>
        <w:spacing w:after="0" w:line="229" w:lineRule="exact"/>
        <w:rPr>
          <w:rFonts w:ascii="Arial" w:cs="Arial" w:eastAsia="Arial" w:hAnsi="Arial"/>
          <w:sz w:val="20"/>
          <w:szCs w:val="20"/>
          <w:color w:val="auto"/>
        </w:rPr>
      </w:pPr>
    </w:p>
    <w:p>
      <w:pPr>
        <w:ind w:left="2880" w:hanging="360"/>
        <w:spacing w:after="0"/>
        <w:tabs>
          <w:tab w:leader="none" w:pos="2880" w:val="left"/>
        </w:tabs>
        <w:numPr>
          <w:ilvl w:val="2"/>
          <w:numId w:val="12"/>
        </w:numPr>
        <w:rPr>
          <w:rFonts w:ascii="Arial" w:cs="Arial" w:eastAsia="Arial" w:hAnsi="Arial"/>
          <w:sz w:val="20"/>
          <w:szCs w:val="20"/>
          <w:color w:val="auto"/>
        </w:rPr>
      </w:pPr>
      <w:r>
        <w:rPr>
          <w:rFonts w:ascii="Arial" w:cs="Arial" w:eastAsia="Arial" w:hAnsi="Arial"/>
          <w:sz w:val="19"/>
          <w:szCs w:val="19"/>
          <w:color w:val="auto"/>
        </w:rPr>
        <w:t>Consistent and robust activation of immune response after dosing with CAN-2409.</w:t>
      </w:r>
    </w:p>
    <w:p>
      <w:pPr>
        <w:spacing w:after="0" w:line="229" w:lineRule="exact"/>
        <w:rPr>
          <w:rFonts w:ascii="Arial" w:cs="Arial" w:eastAsia="Arial" w:hAnsi="Arial"/>
          <w:sz w:val="20"/>
          <w:szCs w:val="20"/>
          <w:color w:val="auto"/>
        </w:rPr>
      </w:pPr>
    </w:p>
    <w:p>
      <w:pPr>
        <w:ind w:left="2880" w:right="20" w:hanging="360"/>
        <w:spacing w:after="0" w:line="253" w:lineRule="auto"/>
        <w:tabs>
          <w:tab w:leader="none" w:pos="2880" w:val="left"/>
        </w:tabs>
        <w:numPr>
          <w:ilvl w:val="2"/>
          <w:numId w:val="12"/>
        </w:numPr>
        <w:rPr>
          <w:rFonts w:ascii="Arial" w:cs="Arial" w:eastAsia="Arial" w:hAnsi="Arial"/>
          <w:sz w:val="20"/>
          <w:szCs w:val="20"/>
          <w:color w:val="auto"/>
        </w:rPr>
      </w:pPr>
      <w:r>
        <w:rPr>
          <w:rFonts w:ascii="Arial" w:cs="Arial" w:eastAsia="Arial" w:hAnsi="Arial"/>
          <w:sz w:val="19"/>
          <w:szCs w:val="19"/>
          <w:color w:val="auto"/>
        </w:rPr>
        <w:t>In pancreatic tissue of patients treated with CAN-2409 plus prodrug together with SoC (but not SoC alone), dense aggregates of CD8+ granzyme B positive cytotoxic T cells, dendritic cells, and B cells were observed in the tumor microenvironment.</w:t>
      </w:r>
    </w:p>
    <w:p>
      <w:pPr>
        <w:spacing w:after="0" w:line="193" w:lineRule="exact"/>
        <w:rPr>
          <w:rFonts w:ascii="Arial" w:cs="Arial" w:eastAsia="Arial" w:hAnsi="Arial"/>
          <w:sz w:val="20"/>
          <w:szCs w:val="20"/>
          <w:color w:val="auto"/>
        </w:rPr>
      </w:pPr>
    </w:p>
    <w:p>
      <w:pPr>
        <w:ind w:left="2880" w:right="700" w:hanging="360"/>
        <w:spacing w:after="0" w:line="253" w:lineRule="auto"/>
        <w:tabs>
          <w:tab w:leader="none" w:pos="2880" w:val="left"/>
        </w:tabs>
        <w:numPr>
          <w:ilvl w:val="2"/>
          <w:numId w:val="12"/>
        </w:numPr>
        <w:rPr>
          <w:rFonts w:ascii="Arial" w:cs="Arial" w:eastAsia="Arial" w:hAnsi="Arial"/>
          <w:sz w:val="20"/>
          <w:szCs w:val="20"/>
          <w:color w:val="auto"/>
        </w:rPr>
      </w:pPr>
      <w:r>
        <w:rPr>
          <w:rFonts w:ascii="Arial" w:cs="Arial" w:eastAsia="Arial" w:hAnsi="Arial"/>
          <w:sz w:val="19"/>
          <w:szCs w:val="19"/>
          <w:color w:val="auto"/>
        </w:rPr>
        <w:t>Increased levels of soluble granzymes B and H as well as pro-inflammatory cytokines, including IFN-γ, were observed in peripheral blood after CAN-2409 treatment, but not with control treatment.</w:t>
      </w:r>
    </w:p>
    <w:p>
      <w:pPr>
        <w:spacing w:after="0" w:line="172" w:lineRule="exact"/>
        <w:rPr>
          <w:rFonts w:ascii="Arial" w:cs="Arial" w:eastAsia="Arial" w:hAnsi="Arial"/>
          <w:sz w:val="20"/>
          <w:szCs w:val="20"/>
          <w:color w:val="auto"/>
        </w:rPr>
      </w:pPr>
    </w:p>
    <w:p>
      <w:pPr>
        <w:ind w:left="2160" w:hanging="360"/>
        <w:spacing w:after="0"/>
        <w:tabs>
          <w:tab w:leader="none" w:pos="2160" w:val="left"/>
        </w:tabs>
        <w:numPr>
          <w:ilvl w:val="1"/>
          <w:numId w:val="12"/>
        </w:numPr>
        <w:rPr>
          <w:rFonts w:ascii="Arial" w:cs="Arial" w:eastAsia="Arial" w:hAnsi="Arial"/>
          <w:sz w:val="20"/>
          <w:szCs w:val="20"/>
          <w:color w:val="auto"/>
        </w:rPr>
      </w:pPr>
      <w:r>
        <w:rPr>
          <w:rFonts w:ascii="Arial" w:cs="Arial" w:eastAsia="Arial" w:hAnsi="Arial"/>
          <w:sz w:val="19"/>
          <w:szCs w:val="19"/>
          <w:color w:val="auto"/>
        </w:rPr>
        <w:t>Safety analysis:</w:t>
      </w:r>
    </w:p>
    <w:p>
      <w:pPr>
        <w:spacing w:after="0" w:line="229" w:lineRule="exact"/>
        <w:rPr>
          <w:rFonts w:ascii="Arial" w:cs="Arial" w:eastAsia="Arial" w:hAnsi="Arial"/>
          <w:sz w:val="20"/>
          <w:szCs w:val="20"/>
          <w:color w:val="auto"/>
        </w:rPr>
      </w:pPr>
    </w:p>
    <w:p>
      <w:pPr>
        <w:ind w:left="2880" w:hanging="360"/>
        <w:spacing w:after="0"/>
        <w:tabs>
          <w:tab w:leader="none" w:pos="2880" w:val="left"/>
        </w:tabs>
        <w:numPr>
          <w:ilvl w:val="2"/>
          <w:numId w:val="12"/>
        </w:numPr>
        <w:rPr>
          <w:rFonts w:ascii="Arial" w:cs="Arial" w:eastAsia="Arial" w:hAnsi="Arial"/>
          <w:sz w:val="20"/>
          <w:szCs w:val="20"/>
          <w:color w:val="auto"/>
        </w:rPr>
      </w:pPr>
      <w:r>
        <w:rPr>
          <w:rFonts w:ascii="Arial" w:cs="Arial" w:eastAsia="Arial" w:hAnsi="Arial"/>
          <w:sz w:val="19"/>
          <w:szCs w:val="19"/>
          <w:color w:val="auto"/>
        </w:rPr>
        <w:t>CAN-2409 was associated with a favorable tolerability profile.</w:t>
      </w:r>
    </w:p>
    <w:p>
      <w:pPr>
        <w:spacing w:after="0" w:line="229" w:lineRule="exact"/>
        <w:rPr>
          <w:rFonts w:ascii="Arial" w:cs="Arial" w:eastAsia="Arial" w:hAnsi="Arial"/>
          <w:sz w:val="20"/>
          <w:szCs w:val="20"/>
          <w:color w:val="auto"/>
        </w:rPr>
      </w:pPr>
    </w:p>
    <w:p>
      <w:pPr>
        <w:ind w:left="2880" w:right="140" w:hanging="360"/>
        <w:spacing w:after="0" w:line="268" w:lineRule="auto"/>
        <w:tabs>
          <w:tab w:leader="none" w:pos="2880" w:val="left"/>
        </w:tabs>
        <w:numPr>
          <w:ilvl w:val="2"/>
          <w:numId w:val="12"/>
        </w:numPr>
        <w:rPr>
          <w:rFonts w:ascii="Arial" w:cs="Arial" w:eastAsia="Arial" w:hAnsi="Arial"/>
          <w:sz w:val="20"/>
          <w:szCs w:val="20"/>
          <w:color w:val="auto"/>
        </w:rPr>
      </w:pPr>
      <w:r>
        <w:rPr>
          <w:rFonts w:ascii="Arial" w:cs="Arial" w:eastAsia="Arial" w:hAnsi="Arial"/>
          <w:sz w:val="19"/>
          <w:szCs w:val="19"/>
          <w:color w:val="auto"/>
        </w:rPr>
        <w:t>Addition of CAN-2409 regimen to SoC was generally well tolerated, with no reported dose-limiting toxicities, including no cases of pancreatitis.</w:t>
      </w:r>
    </w:p>
    <w:p>
      <w:pPr>
        <w:spacing w:after="0" w:line="200" w:lineRule="exact"/>
        <w:rPr>
          <w:sz w:val="20"/>
          <w:szCs w:val="20"/>
          <w:color w:val="auto"/>
        </w:rPr>
      </w:pPr>
    </w:p>
    <w:p>
      <w:pPr>
        <w:spacing w:after="0" w:line="275" w:lineRule="exact"/>
        <w:rPr>
          <w:sz w:val="20"/>
          <w:szCs w:val="20"/>
          <w:color w:val="auto"/>
        </w:rPr>
      </w:pPr>
    </w:p>
    <w:p>
      <w:pPr>
        <w:spacing w:after="0" w:line="246" w:lineRule="auto"/>
        <w:rPr>
          <w:sz w:val="20"/>
          <w:szCs w:val="20"/>
          <w:color w:val="auto"/>
        </w:rPr>
      </w:pPr>
      <w:r>
        <w:rPr>
          <w:rFonts w:ascii="Arial" w:cs="Arial" w:eastAsia="Arial" w:hAnsi="Arial"/>
          <w:sz w:val="19"/>
          <w:szCs w:val="19"/>
          <w:color w:val="auto"/>
        </w:rPr>
        <w:t>Our lead HSV-based product candidate, CAN-3110, is currently in an ongoing investigator-sponsored phase 1 clinical trial in our initial target indication of recurrent high-grade glioma (HGG). In February 2024, we announced that the FDA granted fast track designation for CAN-3110 for the treatment of patients with recurrent HGG to improve overall survival. These patients have failed SoC treatment and have a poor prognosis (expected overall survival &lt; 6-9 months). Initial overall survival data from this clinical trial was presented in an oral presentation at the ASCO Annual Meeting in June 2021, and additional biomarker data was reported in an oral presentation at the Society for Neuro-Oncology Annual Meeting in November 2021. During our Research and Development Day in December 2022, we presented updated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ectPr>
          <w:pgSz w:w="12240" w:h="15840" w:orient="portrait"/>
          <w:cols w:equalWidth="0" w:num="1">
            <w:col w:w="10080"/>
          </w:cols>
          <w:pgMar w:left="1080" w:top="1062" w:right="1080" w:bottom="173" w:gutter="0" w:footer="0" w:header="0"/>
        </w:sectPr>
      </w:pPr>
    </w:p>
    <w:bookmarkStart w:id="10" w:name="page11"/>
    <w:bookmarkEnd w:id="10"/>
    <w:p>
      <w:pPr>
        <w:ind w:right="20"/>
        <w:spacing w:after="0" w:line="246" w:lineRule="auto"/>
        <w:rPr>
          <w:sz w:val="20"/>
          <w:szCs w:val="20"/>
          <w:color w:val="auto"/>
        </w:rPr>
      </w:pPr>
      <w:r>
        <w:rPr>
          <w:rFonts w:ascii="Arial" w:cs="Arial" w:eastAsia="Arial" w:hAnsi="Arial"/>
          <w:sz w:val="19"/>
          <w:szCs w:val="19"/>
          <w:color w:val="auto"/>
        </w:rPr>
        <w:t>data demonstrating that CAN-3110 was well tolerated with no observed dose-limiting toxicity; achieved 11.6 months mOS with a single dose; and showed evidence of persistent herpes simplex virus 1 (HSV-1) antigen and HSV-1 replication consistent with mechanism of action as well as robust evidence of immune activation. In May 2023, we presented clinical and biomarker data from this ongoing clinical trial in an oral presentation at the American Society of Gene &amp; Cell Therapy (ASGCT) Annual Meeting where we reported mOS in arm A (n=41) ongoing at 11.8 months and mOS in arm B (n=9) ongoing at 12.0 months as of the April 20, 2023 data cutoff. Safety and tolerability data reported no dose-limiting toxicities in both arm A and arm B.</w:t>
      </w:r>
    </w:p>
    <w:p>
      <w:pPr>
        <w:spacing w:after="0" w:line="122" w:lineRule="exact"/>
        <w:rPr>
          <w:sz w:val="20"/>
          <w:szCs w:val="20"/>
          <w:color w:val="auto"/>
        </w:rPr>
      </w:pPr>
    </w:p>
    <w:p>
      <w:pPr>
        <w:spacing w:after="0" w:line="243" w:lineRule="auto"/>
        <w:rPr>
          <w:sz w:val="20"/>
          <w:szCs w:val="20"/>
          <w:color w:val="auto"/>
        </w:rPr>
      </w:pPr>
      <w:r>
        <w:rPr>
          <w:rFonts w:ascii="Arial" w:cs="Arial" w:eastAsia="Arial" w:hAnsi="Arial"/>
          <w:sz w:val="19"/>
          <w:szCs w:val="19"/>
          <w:color w:val="auto"/>
        </w:rPr>
        <w:t xml:space="preserve">In October 2023, we jointly published an article in </w:t>
      </w:r>
      <w:r>
        <w:rPr>
          <w:rFonts w:ascii="Arial" w:cs="Arial" w:eastAsia="Arial" w:hAnsi="Arial"/>
          <w:sz w:val="19"/>
          <w:szCs w:val="19"/>
          <w:i w:val="1"/>
          <w:iCs w:val="1"/>
          <w:color w:val="auto"/>
        </w:rPr>
        <w:t>Nature</w:t>
      </w:r>
      <w:r>
        <w:rPr>
          <w:rFonts w:ascii="Arial" w:cs="Arial" w:eastAsia="Arial" w:hAnsi="Arial"/>
          <w:sz w:val="19"/>
          <w:szCs w:val="19"/>
          <w:color w:val="auto"/>
        </w:rPr>
        <w:t xml:space="preserve"> that reported extended survival associated with immune activation in patients with recurrent HGG treated with CAN-3110. Notably, new data reported an increased survival in 66% of patients with positivity for anti-HSV1 antibodies (mOS of 14.2 months). Immune status was positively associated with survival both in patients with pre-existing HSV1 antibodies (pre-treatment) and in 33% of patients that, while negative at baseline, developed anti-HSV1 antibodies after a single injection of CAN-3110. Clinical responses were observed in both injected and uninjected lesions in patients with multifocal disease. Significant tumor responses in both arm A and arm B were observed, with continued reduction in tumor volume in a patient in arm B approximately one year after CAN-3110 treatment. Clinical response for this patient, in follow-up as of data cutoff, continued without additional treatment. Analysis of post-treatment samples demonstrated evidence of persistent HSV antigen expression and replication in both injected and uninjected tumor tissue associated with CD8+ T cell infiltration. The extent of immune activation, measured by gene profiling and quantification of immune cells in post-treatment specimens, was associated with the presence of anti-HSV1 antibodies and survival. Survival was also associated with the diversity of the T cell repertoire in circulating T cells, suggesting that patients treated with CAN-3110 were able to mount a diverse immune response against the virus and tumor antigens released during the oncolytic process had improved survival.</w:t>
      </w:r>
    </w:p>
    <w:p>
      <w:pPr>
        <w:spacing w:after="0" w:line="82" w:lineRule="exact"/>
        <w:rPr>
          <w:sz w:val="20"/>
          <w:szCs w:val="20"/>
          <w:color w:val="auto"/>
        </w:rPr>
      </w:pPr>
    </w:p>
    <w:p>
      <w:pPr>
        <w:ind w:right="80"/>
        <w:spacing w:after="0" w:line="253" w:lineRule="auto"/>
        <w:rPr>
          <w:sz w:val="20"/>
          <w:szCs w:val="20"/>
          <w:color w:val="auto"/>
        </w:rPr>
      </w:pPr>
      <w:r>
        <w:rPr>
          <w:rFonts w:ascii="Arial" w:cs="Arial" w:eastAsia="Arial" w:hAnsi="Arial"/>
          <w:sz w:val="19"/>
          <w:szCs w:val="19"/>
          <w:color w:val="auto"/>
        </w:rPr>
        <w:t>We are conducting an extension of the clinical trial known as arm C, in which patients with recurrent HGG will receive a repeat dosing regimen of CAN-3110 (up to six injections over four months). Clinical data from arm C will help evaluate whether multiple injections can increase mOS. This clinical trial extension is supported by the Break Through Cancer foundation.</w:t>
      </w:r>
    </w:p>
    <w:p>
      <w:pPr>
        <w:spacing w:after="0" w:line="211" w:lineRule="exact"/>
        <w:rPr>
          <w:sz w:val="20"/>
          <w:szCs w:val="20"/>
          <w:color w:val="auto"/>
        </w:rPr>
      </w:pPr>
    </w:p>
    <w:p>
      <w:pPr>
        <w:ind w:right="180"/>
        <w:spacing w:after="0" w:line="248" w:lineRule="auto"/>
        <w:rPr>
          <w:sz w:val="20"/>
          <w:szCs w:val="20"/>
          <w:color w:val="auto"/>
        </w:rPr>
      </w:pPr>
      <w:r>
        <w:rPr>
          <w:rFonts w:ascii="Arial" w:cs="Arial" w:eastAsia="Arial" w:hAnsi="Arial"/>
          <w:sz w:val="19"/>
          <w:szCs w:val="19"/>
          <w:color w:val="auto"/>
        </w:rPr>
        <w:t>We are also designing other novel viral immunotherapy candidates using our proprietary enLIGHTEN™ Discovery Platform, a systematic, iterative HSV-based discovery platform leveraging human biology and advanced analytics to create new viral immunotherapy candidates for solid tumors. In October 2022, we entered into a collaboration with the University of Pennsylvania (UPenn) Center for Cellular Immunotherapies to study the impact of novel viral immunotherapy candidates based on our enLIGHTEN™ Discovery Platform to strengthen the activity of UPenn’s investigational CAR-T cell therapies in difficult to treat solid tumors.</w:t>
      </w:r>
    </w:p>
    <w:p>
      <w:pPr>
        <w:spacing w:after="0" w:line="76" w:lineRule="exact"/>
        <w:rPr>
          <w:sz w:val="20"/>
          <w:szCs w:val="20"/>
          <w:color w:val="auto"/>
        </w:rPr>
      </w:pPr>
    </w:p>
    <w:p>
      <w:pPr>
        <w:spacing w:after="0" w:line="245" w:lineRule="auto"/>
        <w:rPr>
          <w:sz w:val="20"/>
          <w:szCs w:val="20"/>
          <w:color w:val="auto"/>
        </w:rPr>
      </w:pPr>
      <w:r>
        <w:rPr>
          <w:rFonts w:ascii="Arial" w:cs="Arial" w:eastAsia="Arial" w:hAnsi="Arial"/>
          <w:sz w:val="19"/>
          <w:szCs w:val="19"/>
          <w:color w:val="auto"/>
        </w:rPr>
        <w:t>In November 2023, during the SITC 2023 Annual Meeting, we presented two posters describing the key elements of the platform and the development of the first experimental agent from the enLIGHTEN Discovery Platform. The new agent, Alpha-201 Macro1, is an investigational viral immunotherapy designed to interfere with the CD47/SIRPα pathway and activate innate immune surveillance. Results demonstrated monotherapy activity following local administration in a preclinical model of lung and breast cancer. Additional preclinical data presented at SITC confirmed the capability of the enLIGHTEN™ Advanced Analytics suite to predict optimal gene payload combinations to arm viral vectors, that enable the design of potential combination therapeutics to overcome tumor resistance especially in cancers resistant to ICI treatment.</w:t>
      </w:r>
    </w:p>
    <w:p>
      <w:pPr>
        <w:spacing w:after="0" w:line="84" w:lineRule="exact"/>
        <w:rPr>
          <w:sz w:val="20"/>
          <w:szCs w:val="20"/>
          <w:color w:val="auto"/>
        </w:rPr>
      </w:pPr>
    </w:p>
    <w:p>
      <w:pPr>
        <w:ind w:right="300"/>
        <w:spacing w:after="0" w:line="253" w:lineRule="auto"/>
        <w:rPr>
          <w:sz w:val="20"/>
          <w:szCs w:val="20"/>
          <w:color w:val="auto"/>
        </w:rPr>
      </w:pPr>
      <w:r>
        <w:rPr>
          <w:rFonts w:ascii="Arial" w:cs="Arial" w:eastAsia="Arial" w:hAnsi="Arial"/>
          <w:sz w:val="19"/>
          <w:szCs w:val="19"/>
          <w:color w:val="auto"/>
        </w:rPr>
        <w:t>In March 2024, we announced the acceptance of an abstract at the American Association for Cancer Research's (AACR) 2024 Annual Meeting related to the second candidate from our enLIGHTEN™ Discovery Platform, a first-in-class multimodal immunotherapy for induction of tertiary lymphoid structures as a novel therapeutic strategy for solid tumors.</w:t>
      </w:r>
    </w:p>
    <w:p>
      <w:pPr>
        <w:spacing w:after="0" w:line="73" w:lineRule="exact"/>
        <w:rPr>
          <w:sz w:val="20"/>
          <w:szCs w:val="20"/>
          <w:color w:val="auto"/>
        </w:rPr>
      </w:pPr>
    </w:p>
    <w:p>
      <w:pPr>
        <w:ind w:right="300"/>
        <w:spacing w:after="0" w:line="260" w:lineRule="auto"/>
        <w:rPr>
          <w:sz w:val="20"/>
          <w:szCs w:val="20"/>
          <w:color w:val="auto"/>
        </w:rPr>
      </w:pPr>
      <w:r>
        <w:rPr>
          <w:rFonts w:ascii="Arial" w:cs="Arial" w:eastAsia="Arial" w:hAnsi="Arial"/>
          <w:sz w:val="19"/>
          <w:szCs w:val="19"/>
          <w:color w:val="auto"/>
        </w:rPr>
        <w:t>We currently own development and commercialization rights for our programs in major markets, including the United States, Europe and Asia, allowing us to control development and seek approval in those areas as we prepare our commercialization efforts.</w:t>
      </w:r>
    </w:p>
    <w:p>
      <w:pPr>
        <w:spacing w:after="0" w:line="65" w:lineRule="exact"/>
        <w:rPr>
          <w:sz w:val="20"/>
          <w:szCs w:val="20"/>
          <w:color w:val="auto"/>
        </w:rPr>
      </w:pPr>
    </w:p>
    <w:p>
      <w:pPr>
        <w:ind w:right="60"/>
        <w:spacing w:after="0" w:line="250" w:lineRule="auto"/>
        <w:rPr>
          <w:sz w:val="20"/>
          <w:szCs w:val="20"/>
          <w:color w:val="auto"/>
        </w:rPr>
      </w:pPr>
      <w:r>
        <w:rPr>
          <w:rFonts w:ascii="Arial" w:cs="Arial" w:eastAsia="Arial" w:hAnsi="Arial"/>
          <w:sz w:val="19"/>
          <w:szCs w:val="19"/>
          <w:color w:val="auto"/>
        </w:rPr>
        <w:t>We were incorporated in Delaware in June 2003 as Advantagene, Inc. (Advantagene). In December 2019, Advantagene licensed substantially all the assets of Periphagen, a company focused on engineering HSV as a gene therapy vector, and in September 2020, licensed CAN-3110 from Mass General Brigham (MGB). In December 2020, we formally changed our name from Advantagene to Candel Therapeutics, Inc. We completed our initial public offering in July 2021.</w:t>
      </w:r>
    </w:p>
    <w:p>
      <w:pPr>
        <w:spacing w:after="0" w:line="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Strategy</w:t>
      </w:r>
    </w:p>
    <w:p>
      <w:pPr>
        <w:spacing w:after="0" w:line="124" w:lineRule="exact"/>
        <w:rPr>
          <w:sz w:val="20"/>
          <w:szCs w:val="20"/>
          <w:color w:val="auto"/>
        </w:rPr>
      </w:pPr>
    </w:p>
    <w:p>
      <w:pPr>
        <w:spacing w:after="0" w:line="281" w:lineRule="auto"/>
        <w:rPr>
          <w:sz w:val="20"/>
          <w:szCs w:val="20"/>
          <w:color w:val="auto"/>
        </w:rPr>
      </w:pPr>
      <w:r>
        <w:rPr>
          <w:rFonts w:ascii="Arial" w:cs="Arial" w:eastAsia="Arial" w:hAnsi="Arial"/>
          <w:sz w:val="19"/>
          <w:szCs w:val="19"/>
          <w:color w:val="auto"/>
        </w:rPr>
        <w:t>Our goal is to develop first-in class and best-in-class viral immunotherapies to transform the lives of cancer patients. We plan to develop and commercialize our two most advanced product candidates, CAN-2409 and CAN-3110, for the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w:t>
      </w:r>
    </w:p>
    <w:p>
      <w:pPr>
        <w:sectPr>
          <w:pgSz w:w="12240" w:h="15840" w:orient="portrait"/>
          <w:cols w:equalWidth="0" w:num="1">
            <w:col w:w="10060"/>
          </w:cols>
          <w:pgMar w:left="1080" w:top="1062" w:right="1100" w:bottom="173" w:gutter="0" w:footer="0" w:header="0"/>
        </w:sectPr>
      </w:pPr>
    </w:p>
    <w:bookmarkStart w:id="11" w:name="page12"/>
    <w:bookmarkEnd w:id="11"/>
    <w:p>
      <w:pPr>
        <w:ind w:right="620"/>
        <w:spacing w:after="0" w:line="281" w:lineRule="auto"/>
        <w:rPr>
          <w:sz w:val="20"/>
          <w:szCs w:val="20"/>
          <w:color w:val="auto"/>
        </w:rPr>
      </w:pPr>
      <w:r>
        <w:rPr>
          <w:rFonts w:ascii="Arial" w:cs="Arial" w:eastAsia="Arial" w:hAnsi="Arial"/>
          <w:sz w:val="19"/>
          <w:szCs w:val="19"/>
          <w:color w:val="auto"/>
        </w:rPr>
        <w:t>treatment of a broad range of solid tumor indications, while continuing to build our pipeline through our discovery platform</w:t>
      </w:r>
      <w:r>
        <w:rPr>
          <w:rFonts w:ascii="Arial" w:cs="Arial" w:eastAsia="Arial" w:hAnsi="Arial"/>
          <w:sz w:val="19"/>
          <w:szCs w:val="19"/>
          <w:i w:val="1"/>
          <w:iCs w:val="1"/>
          <w:color w:val="auto"/>
        </w:rPr>
        <w:t>.</w:t>
      </w:r>
      <w:r>
        <w:rPr>
          <w:rFonts w:ascii="Arial" w:cs="Arial" w:eastAsia="Arial" w:hAnsi="Arial"/>
          <w:sz w:val="19"/>
          <w:szCs w:val="19"/>
          <w:color w:val="auto"/>
        </w:rPr>
        <w:t xml:space="preserve"> Key elements of our strategy include the following:</w:t>
      </w:r>
    </w:p>
    <w:p>
      <w:pPr>
        <w:spacing w:after="0" w:line="53" w:lineRule="exact"/>
        <w:rPr>
          <w:sz w:val="20"/>
          <w:szCs w:val="20"/>
          <w:color w:val="auto"/>
        </w:rPr>
      </w:pPr>
    </w:p>
    <w:p>
      <w:pPr>
        <w:ind w:left="980" w:right="60" w:hanging="361"/>
        <w:spacing w:after="0" w:line="246" w:lineRule="auto"/>
        <w:tabs>
          <w:tab w:leader="none" w:pos="980" w:val="left"/>
        </w:tabs>
        <w:numPr>
          <w:ilvl w:val="0"/>
          <w:numId w:val="13"/>
        </w:numPr>
        <w:rPr>
          <w:rFonts w:ascii="Arial" w:cs="Arial" w:eastAsia="Arial" w:hAnsi="Arial"/>
          <w:sz w:val="19"/>
          <w:szCs w:val="19"/>
          <w:color w:val="auto"/>
        </w:rPr>
      </w:pPr>
      <w:r>
        <w:rPr>
          <w:rFonts w:ascii="Arial" w:cs="Arial" w:eastAsia="Arial" w:hAnsi="Arial"/>
          <w:sz w:val="19"/>
          <w:szCs w:val="19"/>
          <w:i w:val="1"/>
          <w:iCs w:val="1"/>
          <w:color w:val="auto"/>
        </w:rPr>
        <w:t xml:space="preserve">Advance the late-stage development of, and seek regulatory approval for, our product candidate, CAN-2409, in newly diagnosed, localized prostate cancer. </w:t>
      </w:r>
      <w:r>
        <w:rPr>
          <w:rFonts w:ascii="Arial" w:cs="Arial" w:eastAsia="Arial" w:hAnsi="Arial"/>
          <w:sz w:val="19"/>
          <w:szCs w:val="19"/>
          <w:color w:val="auto"/>
        </w:rPr>
        <w:t>We are currently conducting a potentially registrational</w:t>
      </w:r>
      <w:r>
        <w:rPr>
          <w:rFonts w:ascii="Arial" w:cs="Arial" w:eastAsia="Arial" w:hAnsi="Arial"/>
          <w:sz w:val="19"/>
          <w:szCs w:val="19"/>
          <w:i w:val="1"/>
          <w:iCs w:val="1"/>
          <w:color w:val="auto"/>
        </w:rPr>
        <w:t xml:space="preserve"> </w:t>
      </w:r>
      <w:r>
        <w:rPr>
          <w:rFonts w:ascii="Arial" w:cs="Arial" w:eastAsia="Arial" w:hAnsi="Arial"/>
          <w:sz w:val="19"/>
          <w:szCs w:val="19"/>
          <w:color w:val="auto"/>
        </w:rPr>
        <w:t>phase 3 clinical trial in intermediate- and high-risk patients in combination with the SoC, radiotherapy. If approved, we believe CAN-2409 could be a first-in-class drug for localized prostate cancer patients with the potential to significantly increase percentage of patients that achieve disease-free survival or reduce disease progression and recurrence.</w:t>
      </w:r>
    </w:p>
    <w:p>
      <w:pPr>
        <w:spacing w:after="0" w:line="87" w:lineRule="exact"/>
        <w:rPr>
          <w:rFonts w:ascii="Arial" w:cs="Arial" w:eastAsia="Arial" w:hAnsi="Arial"/>
          <w:sz w:val="19"/>
          <w:szCs w:val="19"/>
          <w:color w:val="auto"/>
        </w:rPr>
      </w:pPr>
    </w:p>
    <w:p>
      <w:pPr>
        <w:ind w:left="980" w:right="40" w:hanging="361"/>
        <w:spacing w:after="0" w:line="250" w:lineRule="auto"/>
        <w:tabs>
          <w:tab w:leader="none" w:pos="980" w:val="left"/>
        </w:tabs>
        <w:numPr>
          <w:ilvl w:val="0"/>
          <w:numId w:val="13"/>
        </w:numPr>
        <w:rPr>
          <w:rFonts w:ascii="Arial" w:cs="Arial" w:eastAsia="Arial" w:hAnsi="Arial"/>
          <w:sz w:val="19"/>
          <w:szCs w:val="19"/>
          <w:color w:val="auto"/>
        </w:rPr>
      </w:pPr>
      <w:r>
        <w:rPr>
          <w:rFonts w:ascii="Arial" w:cs="Arial" w:eastAsia="Arial" w:hAnsi="Arial"/>
          <w:sz w:val="19"/>
          <w:szCs w:val="19"/>
          <w:i w:val="1"/>
          <w:iCs w:val="1"/>
          <w:color w:val="auto"/>
        </w:rPr>
        <w:t xml:space="preserve">Advance the clinical development of CAN-3110 from our HSV platform with tumor-specific enhanced replication potency. </w:t>
      </w:r>
      <w:r>
        <w:rPr>
          <w:rFonts w:ascii="Arial" w:cs="Arial" w:eastAsia="Arial" w:hAnsi="Arial"/>
          <w:sz w:val="19"/>
          <w:szCs w:val="19"/>
          <w:color w:val="auto"/>
        </w:rPr>
        <w:t>An investigator-sponsored phase 1b clinical trial is ongoing in recurrent HGG. This trial</w:t>
      </w:r>
      <w:r>
        <w:rPr>
          <w:rFonts w:ascii="Arial" w:cs="Arial" w:eastAsia="Arial" w:hAnsi="Arial"/>
          <w:sz w:val="19"/>
          <w:szCs w:val="19"/>
          <w:i w:val="1"/>
          <w:iCs w:val="1"/>
          <w:color w:val="auto"/>
        </w:rPr>
        <w:t xml:space="preserve"> </w:t>
      </w:r>
      <w:r>
        <w:rPr>
          <w:rFonts w:ascii="Arial" w:cs="Arial" w:eastAsia="Arial" w:hAnsi="Arial"/>
          <w:sz w:val="19"/>
          <w:szCs w:val="19"/>
          <w:color w:val="auto"/>
        </w:rPr>
        <w:t>is evaluating the activity of CAN-3110 in therapy-resistant disease, where we believe a replicating virus may present therapeutic advantages. Our aim is to improve mOS compared to optimal SoC.</w:t>
      </w:r>
    </w:p>
    <w:p>
      <w:pPr>
        <w:spacing w:after="0" w:line="83" w:lineRule="exact"/>
        <w:rPr>
          <w:rFonts w:ascii="Arial" w:cs="Arial" w:eastAsia="Arial" w:hAnsi="Arial"/>
          <w:sz w:val="19"/>
          <w:szCs w:val="19"/>
          <w:color w:val="auto"/>
        </w:rPr>
      </w:pPr>
    </w:p>
    <w:p>
      <w:pPr>
        <w:ind w:left="980" w:right="80" w:hanging="361"/>
        <w:spacing w:after="0" w:line="256" w:lineRule="auto"/>
        <w:tabs>
          <w:tab w:leader="none" w:pos="980" w:val="left"/>
        </w:tabs>
        <w:numPr>
          <w:ilvl w:val="0"/>
          <w:numId w:val="13"/>
        </w:numPr>
        <w:rPr>
          <w:rFonts w:ascii="Arial" w:cs="Arial" w:eastAsia="Arial" w:hAnsi="Arial"/>
          <w:sz w:val="19"/>
          <w:szCs w:val="19"/>
          <w:color w:val="auto"/>
        </w:rPr>
      </w:pPr>
      <w:r>
        <w:rPr>
          <w:rFonts w:ascii="Arial" w:cs="Arial" w:eastAsia="Arial" w:hAnsi="Arial"/>
          <w:sz w:val="19"/>
          <w:szCs w:val="19"/>
          <w:i w:val="1"/>
          <w:iCs w:val="1"/>
          <w:color w:val="auto"/>
        </w:rPr>
        <w:t xml:space="preserve">Advance the development of CAN-2409 in stage III/IV NSCLC patients with inadequate responses to SoC immune checkpoint inhibitors (ICI). </w:t>
      </w:r>
      <w:r>
        <w:rPr>
          <w:rFonts w:ascii="Arial" w:cs="Arial" w:eastAsia="Arial" w:hAnsi="Arial"/>
          <w:sz w:val="19"/>
          <w:szCs w:val="19"/>
          <w:color w:val="auto"/>
        </w:rPr>
        <w:t>A phase 2 clinical trial that evaluates CAN-2409 in combination with ICI</w:t>
      </w:r>
      <w:r>
        <w:rPr>
          <w:rFonts w:ascii="Arial" w:cs="Arial" w:eastAsia="Arial" w:hAnsi="Arial"/>
          <w:sz w:val="19"/>
          <w:szCs w:val="19"/>
          <w:i w:val="1"/>
          <w:iCs w:val="1"/>
          <w:color w:val="auto"/>
        </w:rPr>
        <w:t xml:space="preserve"> </w:t>
      </w:r>
      <w:r>
        <w:rPr>
          <w:rFonts w:ascii="Arial" w:cs="Arial" w:eastAsia="Arial" w:hAnsi="Arial"/>
          <w:sz w:val="19"/>
          <w:szCs w:val="19"/>
          <w:color w:val="auto"/>
        </w:rPr>
        <w:t>is currently underway in NSCLC. Our aim is to improve mOS compared to optimal SoC (12-14 months).</w:t>
      </w:r>
    </w:p>
    <w:p>
      <w:pPr>
        <w:spacing w:after="0" w:line="68" w:lineRule="exact"/>
        <w:rPr>
          <w:rFonts w:ascii="Arial" w:cs="Arial" w:eastAsia="Arial" w:hAnsi="Arial"/>
          <w:sz w:val="19"/>
          <w:szCs w:val="19"/>
          <w:color w:val="auto"/>
        </w:rPr>
      </w:pPr>
    </w:p>
    <w:p>
      <w:pPr>
        <w:ind w:left="980" w:right="80" w:hanging="361"/>
        <w:spacing w:after="0" w:line="253" w:lineRule="auto"/>
        <w:tabs>
          <w:tab w:leader="none" w:pos="980" w:val="left"/>
        </w:tabs>
        <w:numPr>
          <w:ilvl w:val="0"/>
          <w:numId w:val="13"/>
        </w:numPr>
        <w:rPr>
          <w:rFonts w:ascii="Arial" w:cs="Arial" w:eastAsia="Arial" w:hAnsi="Arial"/>
          <w:sz w:val="19"/>
          <w:szCs w:val="19"/>
          <w:color w:val="auto"/>
        </w:rPr>
      </w:pPr>
      <w:r>
        <w:rPr>
          <w:rFonts w:ascii="Arial" w:cs="Arial" w:eastAsia="Arial" w:hAnsi="Arial"/>
          <w:sz w:val="19"/>
          <w:szCs w:val="19"/>
          <w:i w:val="1"/>
          <w:iCs w:val="1"/>
          <w:color w:val="auto"/>
        </w:rPr>
        <w:t xml:space="preserve">Advance the development of CAN-2409 in patients with newly diagnosed, localized prostate cancer. </w:t>
      </w:r>
      <w:r>
        <w:rPr>
          <w:rFonts w:ascii="Arial" w:cs="Arial" w:eastAsia="Arial" w:hAnsi="Arial"/>
          <w:sz w:val="19"/>
          <w:szCs w:val="19"/>
          <w:color w:val="auto"/>
        </w:rPr>
        <w:t>A</w:t>
      </w:r>
      <w:r>
        <w:rPr>
          <w:rFonts w:ascii="Arial" w:cs="Arial" w:eastAsia="Arial" w:hAnsi="Arial"/>
          <w:sz w:val="19"/>
          <w:szCs w:val="19"/>
          <w:i w:val="1"/>
          <w:iCs w:val="1"/>
          <w:color w:val="auto"/>
        </w:rPr>
        <w:t xml:space="preserve"> </w:t>
      </w:r>
      <w:r>
        <w:rPr>
          <w:rFonts w:ascii="Arial" w:cs="Arial" w:eastAsia="Arial" w:hAnsi="Arial"/>
          <w:sz w:val="19"/>
          <w:szCs w:val="19"/>
          <w:color w:val="auto"/>
        </w:rPr>
        <w:t>phase 2 trial that evaluates CAN-2409 as a monotherapy is currently underway in low to moderate risk patients who are under active surveillance. Our aim is to improve progression-free survival compared to the active surveillance approach.</w:t>
      </w:r>
    </w:p>
    <w:p>
      <w:pPr>
        <w:spacing w:after="0" w:line="72" w:lineRule="exact"/>
        <w:rPr>
          <w:rFonts w:ascii="Arial" w:cs="Arial" w:eastAsia="Arial" w:hAnsi="Arial"/>
          <w:sz w:val="19"/>
          <w:szCs w:val="19"/>
          <w:color w:val="auto"/>
        </w:rPr>
      </w:pPr>
    </w:p>
    <w:p>
      <w:pPr>
        <w:ind w:left="980" w:right="200" w:hanging="361"/>
        <w:spacing w:after="0" w:line="250" w:lineRule="auto"/>
        <w:tabs>
          <w:tab w:leader="none" w:pos="980" w:val="left"/>
        </w:tabs>
        <w:numPr>
          <w:ilvl w:val="0"/>
          <w:numId w:val="13"/>
        </w:numPr>
        <w:rPr>
          <w:rFonts w:ascii="Arial" w:cs="Arial" w:eastAsia="Arial" w:hAnsi="Arial"/>
          <w:sz w:val="19"/>
          <w:szCs w:val="19"/>
          <w:color w:val="auto"/>
        </w:rPr>
      </w:pPr>
      <w:r>
        <w:rPr>
          <w:rFonts w:ascii="Arial" w:cs="Arial" w:eastAsia="Arial" w:hAnsi="Arial"/>
          <w:sz w:val="19"/>
          <w:szCs w:val="19"/>
          <w:i w:val="1"/>
          <w:iCs w:val="1"/>
          <w:color w:val="auto"/>
        </w:rPr>
        <w:t xml:space="preserve">Advance the development of CAN-2409 in pancreatic cancer. </w:t>
      </w:r>
      <w:r>
        <w:rPr>
          <w:rFonts w:ascii="Arial" w:cs="Arial" w:eastAsia="Arial" w:hAnsi="Arial"/>
          <w:sz w:val="19"/>
          <w:szCs w:val="19"/>
          <w:color w:val="auto"/>
        </w:rPr>
        <w:t>We have initiated a randomized phase 2</w:t>
      </w:r>
      <w:r>
        <w:rPr>
          <w:rFonts w:ascii="Arial" w:cs="Arial" w:eastAsia="Arial" w:hAnsi="Arial"/>
          <w:sz w:val="19"/>
          <w:szCs w:val="19"/>
          <w:i w:val="1"/>
          <w:iCs w:val="1"/>
          <w:color w:val="auto"/>
        </w:rPr>
        <w:t xml:space="preserve"> </w:t>
      </w:r>
      <w:r>
        <w:rPr>
          <w:rFonts w:ascii="Arial" w:cs="Arial" w:eastAsia="Arial" w:hAnsi="Arial"/>
          <w:sz w:val="19"/>
          <w:szCs w:val="19"/>
          <w:color w:val="auto"/>
        </w:rPr>
        <w:t>clinical trial in patients with borderline resectable pancreatic adenocarcinoma. However, in March 2023, in connection with our cost management and dynamic portfolio management initiatives, we elected to pause new enrollment in this randomized phase 2 clinical trial, subject to additional funding, while we continue to follow the patients who participated in the clinical trial. Our aim is to improve mOS compared to SoC.</w:t>
      </w:r>
    </w:p>
    <w:p>
      <w:pPr>
        <w:spacing w:after="0" w:line="82" w:lineRule="exact"/>
        <w:rPr>
          <w:rFonts w:ascii="Arial" w:cs="Arial" w:eastAsia="Arial" w:hAnsi="Arial"/>
          <w:sz w:val="19"/>
          <w:szCs w:val="19"/>
          <w:color w:val="auto"/>
        </w:rPr>
      </w:pPr>
    </w:p>
    <w:p>
      <w:pPr>
        <w:ind w:left="980" w:right="80" w:hanging="361"/>
        <w:spacing w:after="0" w:line="250" w:lineRule="auto"/>
        <w:tabs>
          <w:tab w:leader="none" w:pos="980" w:val="left"/>
        </w:tabs>
        <w:numPr>
          <w:ilvl w:val="0"/>
          <w:numId w:val="13"/>
        </w:numPr>
        <w:rPr>
          <w:rFonts w:ascii="Arial" w:cs="Arial" w:eastAsia="Arial" w:hAnsi="Arial"/>
          <w:sz w:val="19"/>
          <w:szCs w:val="19"/>
          <w:color w:val="auto"/>
        </w:rPr>
      </w:pPr>
      <w:r>
        <w:rPr>
          <w:rFonts w:ascii="Arial" w:cs="Arial" w:eastAsia="Arial" w:hAnsi="Arial"/>
          <w:sz w:val="19"/>
          <w:szCs w:val="19"/>
          <w:i w:val="1"/>
          <w:iCs w:val="1"/>
          <w:color w:val="auto"/>
        </w:rPr>
        <w:t xml:space="preserve">Advance the development and initiate IND-enabling work of CAN-3110 in a second indication characterized by Nestin expression. </w:t>
      </w:r>
      <w:r>
        <w:rPr>
          <w:rFonts w:ascii="Arial" w:cs="Arial" w:eastAsia="Arial" w:hAnsi="Arial"/>
          <w:sz w:val="19"/>
          <w:szCs w:val="19"/>
          <w:color w:val="auto"/>
        </w:rPr>
        <w:t>We intend to discuss a new clinical trial designed to explore safety, tolerability and</w:t>
      </w:r>
      <w:r>
        <w:rPr>
          <w:rFonts w:ascii="Arial" w:cs="Arial" w:eastAsia="Arial" w:hAnsi="Arial"/>
          <w:sz w:val="19"/>
          <w:szCs w:val="19"/>
          <w:i w:val="1"/>
          <w:iCs w:val="1"/>
          <w:color w:val="auto"/>
        </w:rPr>
        <w:t xml:space="preserve"> </w:t>
      </w:r>
      <w:r>
        <w:rPr>
          <w:rFonts w:ascii="Arial" w:cs="Arial" w:eastAsia="Arial" w:hAnsi="Arial"/>
          <w:sz w:val="19"/>
          <w:szCs w:val="19"/>
          <w:color w:val="auto"/>
        </w:rPr>
        <w:t>preliminary efficacy in a new indication characterized by Nestin expression (such as breast cancer or melanoma) with the FDA.</w:t>
      </w:r>
    </w:p>
    <w:p>
      <w:pPr>
        <w:spacing w:after="0" w:line="75" w:lineRule="exact"/>
        <w:rPr>
          <w:rFonts w:ascii="Arial" w:cs="Arial" w:eastAsia="Arial" w:hAnsi="Arial"/>
          <w:sz w:val="19"/>
          <w:szCs w:val="19"/>
          <w:color w:val="auto"/>
        </w:rPr>
      </w:pPr>
    </w:p>
    <w:p>
      <w:pPr>
        <w:ind w:left="980" w:hanging="361"/>
        <w:spacing w:after="0" w:line="248" w:lineRule="auto"/>
        <w:tabs>
          <w:tab w:leader="none" w:pos="980" w:val="left"/>
        </w:tabs>
        <w:numPr>
          <w:ilvl w:val="0"/>
          <w:numId w:val="13"/>
        </w:numPr>
        <w:rPr>
          <w:rFonts w:ascii="Arial" w:cs="Arial" w:eastAsia="Arial" w:hAnsi="Arial"/>
          <w:sz w:val="19"/>
          <w:szCs w:val="19"/>
          <w:color w:val="auto"/>
        </w:rPr>
      </w:pPr>
      <w:r>
        <w:rPr>
          <w:rFonts w:ascii="Arial" w:cs="Arial" w:eastAsia="Arial" w:hAnsi="Arial"/>
          <w:sz w:val="19"/>
          <w:szCs w:val="19"/>
          <w:i w:val="1"/>
          <w:iCs w:val="1"/>
          <w:color w:val="auto"/>
        </w:rPr>
        <w:t xml:space="preserve">Leverage our HSV viral immunotherapy platform to develop additional HSV-based product candidates. </w:t>
      </w:r>
      <w:r>
        <w:rPr>
          <w:rFonts w:ascii="Arial" w:cs="Arial" w:eastAsia="Arial" w:hAnsi="Arial"/>
          <w:sz w:val="19"/>
          <w:szCs w:val="19"/>
          <w:color w:val="auto"/>
        </w:rPr>
        <w:t>Our</w:t>
      </w:r>
      <w:r>
        <w:rPr>
          <w:rFonts w:ascii="Arial" w:cs="Arial" w:eastAsia="Arial" w:hAnsi="Arial"/>
          <w:sz w:val="19"/>
          <w:szCs w:val="19"/>
          <w:i w:val="1"/>
          <w:iCs w:val="1"/>
          <w:color w:val="auto"/>
        </w:rPr>
        <w:t xml:space="preserve"> </w:t>
      </w:r>
      <w:r>
        <w:rPr>
          <w:rFonts w:ascii="Arial" w:cs="Arial" w:eastAsia="Arial" w:hAnsi="Arial"/>
          <w:sz w:val="19"/>
          <w:szCs w:val="19"/>
          <w:color w:val="auto"/>
        </w:rPr>
        <w:t>new enLIGHTEN™ Discovery Platform enables rapid vector engineering to generate a range of new candidates in a data driven and indication specific manner. We utilize a key attribute of HSV, a high capacity for genetic cargo, to enable targeted modifications and deploy indication specific genes to the tumor microenvironment. Our platform is designed to generate both replication-defective and replication-competent agents depending on the demands of a particular application.</w:t>
      </w:r>
    </w:p>
    <w:p>
      <w:pPr>
        <w:spacing w:after="0" w:line="76" w:lineRule="exact"/>
        <w:rPr>
          <w:rFonts w:ascii="Arial" w:cs="Arial" w:eastAsia="Arial" w:hAnsi="Arial"/>
          <w:sz w:val="19"/>
          <w:szCs w:val="19"/>
          <w:color w:val="auto"/>
        </w:rPr>
      </w:pPr>
    </w:p>
    <w:p>
      <w:pPr>
        <w:ind w:left="980" w:right="40" w:hanging="361"/>
        <w:spacing w:after="0" w:line="245" w:lineRule="auto"/>
        <w:tabs>
          <w:tab w:leader="none" w:pos="980" w:val="left"/>
        </w:tabs>
        <w:numPr>
          <w:ilvl w:val="0"/>
          <w:numId w:val="13"/>
        </w:numPr>
        <w:rPr>
          <w:rFonts w:ascii="Arial" w:cs="Arial" w:eastAsia="Arial" w:hAnsi="Arial"/>
          <w:sz w:val="19"/>
          <w:szCs w:val="19"/>
          <w:color w:val="auto"/>
        </w:rPr>
      </w:pPr>
      <w:r>
        <w:rPr>
          <w:rFonts w:ascii="Arial" w:cs="Arial" w:eastAsia="Arial" w:hAnsi="Arial"/>
          <w:sz w:val="19"/>
          <w:szCs w:val="19"/>
          <w:i w:val="1"/>
          <w:iCs w:val="1"/>
          <w:color w:val="auto"/>
        </w:rPr>
        <w:t xml:space="preserve">Establish strategic partnerships to maximize the value of our current and future product candidates. </w:t>
      </w:r>
      <w:r>
        <w:rPr>
          <w:rFonts w:ascii="Arial" w:cs="Arial" w:eastAsia="Arial" w:hAnsi="Arial"/>
          <w:sz w:val="19"/>
          <w:szCs w:val="19"/>
          <w:color w:val="auto"/>
        </w:rPr>
        <w:t>In order</w:t>
      </w:r>
      <w:r>
        <w:rPr>
          <w:rFonts w:ascii="Arial" w:cs="Arial" w:eastAsia="Arial" w:hAnsi="Arial"/>
          <w:sz w:val="19"/>
          <w:szCs w:val="19"/>
          <w:i w:val="1"/>
          <w:iCs w:val="1"/>
          <w:color w:val="auto"/>
        </w:rPr>
        <w:t xml:space="preserve"> </w:t>
      </w:r>
      <w:r>
        <w:rPr>
          <w:rFonts w:ascii="Arial" w:cs="Arial" w:eastAsia="Arial" w:hAnsi="Arial"/>
          <w:sz w:val="19"/>
          <w:szCs w:val="19"/>
          <w:color w:val="auto"/>
        </w:rPr>
        <w:t>to advance treatment options for a large number of patients, we may partner with other companies with complementary resources to maximize the value of our current and future product candidates. Such partnerships may allow us to pair CAN-2409, CAN-3110 and our future product candidates with other novel agents owned by strategic partners. Partnerships may also help realize the full potential of our product candidates in markets where we are unlikely to pursue development or commercialization on our own. We intend to maintain significant economic interest in our product candidates and selectively consider partnership opportunities.</w:t>
      </w:r>
    </w:p>
    <w:p>
      <w:pPr>
        <w:spacing w:after="0" w:line="83" w:lineRule="exact"/>
        <w:rPr>
          <w:rFonts w:ascii="Arial" w:cs="Arial" w:eastAsia="Arial" w:hAnsi="Arial"/>
          <w:sz w:val="19"/>
          <w:szCs w:val="19"/>
          <w:color w:val="auto"/>
        </w:rPr>
      </w:pPr>
    </w:p>
    <w:p>
      <w:pPr>
        <w:ind w:left="980" w:right="160" w:hanging="361"/>
        <w:spacing w:after="0" w:line="253" w:lineRule="auto"/>
        <w:tabs>
          <w:tab w:leader="none" w:pos="980" w:val="left"/>
        </w:tabs>
        <w:numPr>
          <w:ilvl w:val="0"/>
          <w:numId w:val="13"/>
        </w:numPr>
        <w:rPr>
          <w:rFonts w:ascii="Arial" w:cs="Arial" w:eastAsia="Arial" w:hAnsi="Arial"/>
          <w:sz w:val="19"/>
          <w:szCs w:val="19"/>
          <w:color w:val="auto"/>
        </w:rPr>
      </w:pPr>
      <w:r>
        <w:rPr>
          <w:rFonts w:ascii="Arial" w:cs="Arial" w:eastAsia="Arial" w:hAnsi="Arial"/>
          <w:sz w:val="19"/>
          <w:szCs w:val="19"/>
          <w:i w:val="1"/>
          <w:iCs w:val="1"/>
          <w:color w:val="auto"/>
        </w:rPr>
        <w:t>Ensure commercial-scale manufacturing of our product candidates</w:t>
      </w:r>
      <w:r>
        <w:rPr>
          <w:rFonts w:ascii="Arial" w:cs="Arial" w:eastAsia="Arial" w:hAnsi="Arial"/>
          <w:sz w:val="19"/>
          <w:szCs w:val="19"/>
          <w:color w:val="auto"/>
        </w:rPr>
        <w:t>. We will rely on third party contract</w:t>
      </w:r>
      <w:r>
        <w:rPr>
          <w:rFonts w:ascii="Arial" w:cs="Arial" w:eastAsia="Arial" w:hAnsi="Arial"/>
          <w:sz w:val="19"/>
          <w:szCs w:val="19"/>
          <w:i w:val="1"/>
          <w:iCs w:val="1"/>
          <w:color w:val="auto"/>
        </w:rPr>
        <w:t xml:space="preserve"> </w:t>
      </w:r>
      <w:r>
        <w:rPr>
          <w:rFonts w:ascii="Arial" w:cs="Arial" w:eastAsia="Arial" w:hAnsi="Arial"/>
          <w:sz w:val="19"/>
          <w:szCs w:val="19"/>
          <w:color w:val="auto"/>
        </w:rPr>
        <w:t>manufacturers for commercial-scale manufacturing of both product candidates, CAN-2409 and CAN-3110. We expect that our cost-of-goods will be substantially lower than cell- and antibody-based therapies because of our high-yield manufacturing process.</w:t>
      </w:r>
    </w:p>
    <w:p>
      <w:pPr>
        <w:spacing w:after="0" w:line="6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Approach</w:t>
      </w:r>
    </w:p>
    <w:p>
      <w:pPr>
        <w:spacing w:after="0" w:line="124" w:lineRule="exact"/>
        <w:rPr>
          <w:sz w:val="20"/>
          <w:szCs w:val="20"/>
          <w:color w:val="auto"/>
        </w:rPr>
      </w:pPr>
    </w:p>
    <w:p>
      <w:pPr>
        <w:ind w:right="100"/>
        <w:spacing w:after="0" w:line="250" w:lineRule="auto"/>
        <w:rPr>
          <w:sz w:val="20"/>
          <w:szCs w:val="20"/>
          <w:color w:val="auto"/>
        </w:rPr>
      </w:pPr>
      <w:r>
        <w:rPr>
          <w:rFonts w:ascii="Arial" w:cs="Arial" w:eastAsia="Arial" w:hAnsi="Arial"/>
          <w:sz w:val="19"/>
          <w:szCs w:val="19"/>
          <w:color w:val="auto"/>
        </w:rPr>
        <w:t>Conventional cancer therapies (chemotherapy, radiotherapy and surgery) often do not eradicate 100% of the tumor cells, which often leads to tumor progression or recurrence. Deep and durable responses, therefore, are still elusive for many cancer patients. Traditionally, surgery and/or radiotherapy are used for local tumor debulking, whereas chemotherapeutic agents target systemic eradication of tumor cells. These treatment modalities, however, are often limited by toxicity.</w:t>
      </w:r>
    </w:p>
    <w:p>
      <w:pPr>
        <w:spacing w:after="0" w:line="74" w:lineRule="exact"/>
        <w:rPr>
          <w:sz w:val="20"/>
          <w:szCs w:val="20"/>
          <w:color w:val="auto"/>
        </w:rPr>
      </w:pPr>
    </w:p>
    <w:p>
      <w:pPr>
        <w:ind w:right="100"/>
        <w:spacing w:after="0" w:line="260" w:lineRule="auto"/>
        <w:rPr>
          <w:sz w:val="20"/>
          <w:szCs w:val="20"/>
          <w:color w:val="auto"/>
        </w:rPr>
      </w:pPr>
      <w:r>
        <w:rPr>
          <w:rFonts w:ascii="Arial" w:cs="Arial" w:eastAsia="Arial" w:hAnsi="Arial"/>
          <w:sz w:val="19"/>
          <w:szCs w:val="19"/>
          <w:color w:val="auto"/>
        </w:rPr>
        <w:t>Immunotherapy is a relatively new treatment modality that has expanded the anti-cancer treatment paradigm. FDA-approved immunotherapies include cytokines, cell therapies and antibodies, including ICIs. Much focus has been placed on harnessing the effector T cell arm of the immune system for tumor specific immunity. Adoptive T cell therapy</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w:t>
      </w:r>
    </w:p>
    <w:p>
      <w:pPr>
        <w:sectPr>
          <w:pgSz w:w="12240" w:h="15840" w:orient="portrait"/>
          <w:cols w:equalWidth="0" w:num="1">
            <w:col w:w="10060"/>
          </w:cols>
          <w:pgMar w:left="1080" w:top="1062" w:right="1100" w:bottom="173" w:gutter="0" w:footer="0" w:header="0"/>
        </w:sectPr>
      </w:pPr>
    </w:p>
    <w:bookmarkStart w:id="12" w:name="page13"/>
    <w:bookmarkEnd w:id="12"/>
    <w:p>
      <w:pPr>
        <w:ind w:right="140"/>
        <w:spacing w:after="0" w:line="245" w:lineRule="auto"/>
        <w:rPr>
          <w:sz w:val="20"/>
          <w:szCs w:val="20"/>
          <w:color w:val="auto"/>
        </w:rPr>
      </w:pPr>
      <w:r>
        <w:rPr>
          <w:rFonts w:ascii="Arial" w:cs="Arial" w:eastAsia="Arial" w:hAnsi="Arial"/>
          <w:sz w:val="19"/>
          <w:szCs w:val="19"/>
          <w:color w:val="auto"/>
        </w:rPr>
        <w:t>has shown positive results but with limited activity in solid tumors, and is not scalable for widespread use. Vaccine approaches range in complexity from peptide antigens to autologous or allogeneic tumor cell products. The advantage of the single antigen approaches is that they can be easily manufactured and produced, however, they have the fundamental disadvantage of being potentially irrelevant for a patient’s specific tumor or immune system or easily bypassed by resistant clones. Cellular vaccines are not easily scalable and allogeneic vaccines may not bear the relevant antigens expressed by a patient’s tumor. ICIs such as anti-PD-1 and anti-PD-L1 antibodies, have transformed the treatment paradigm for different cancer indications. However, only approximately 15% to 40% of overall patients respond to such treatment.</w:t>
      </w:r>
    </w:p>
    <w:p>
      <w:pPr>
        <w:spacing w:after="0" w:line="84" w:lineRule="exact"/>
        <w:rPr>
          <w:sz w:val="20"/>
          <w:szCs w:val="20"/>
          <w:color w:val="auto"/>
        </w:rPr>
      </w:pPr>
    </w:p>
    <w:p>
      <w:pPr>
        <w:spacing w:after="0" w:line="245" w:lineRule="auto"/>
        <w:rPr>
          <w:sz w:val="20"/>
          <w:szCs w:val="20"/>
          <w:color w:val="auto"/>
        </w:rPr>
      </w:pPr>
      <w:r>
        <w:rPr>
          <w:rFonts w:ascii="Arial" w:cs="Arial" w:eastAsia="Arial" w:hAnsi="Arial"/>
          <w:sz w:val="19"/>
          <w:szCs w:val="19"/>
          <w:color w:val="auto"/>
        </w:rPr>
        <w:t>We are focused on the development of viral immunotherapy approaches, which are based on an extensive history of research. Originally, the mechanism of action of those agents was believed to be based only on the ability of the virus to induce cancer cell lysis and to resolve tumors. Later, it was demonstrated that viral immunotherapy may induce immunogenic cell death. This effect may be enhanced by the pro-inflammatory effects of the viral capsid proteins. With the dramatic emergence of ICIs and immunotherapy as a core treatment modality, the importance of the immunostimulatory aspect of viral-mediated approaches became more widely evident. The currently understood generalized mechanism of action of viral immunotherapies is unique in combining both an anti-tumor cytotoxic component and an immune-stimulatory component. Together, these modalities lead to an “in-situ vaccination” effect against the injected tumor followed by an effect on uninjected distant metastases.</w:t>
      </w:r>
    </w:p>
    <w:p>
      <w:pPr>
        <w:spacing w:after="0" w:line="79" w:lineRule="exact"/>
        <w:rPr>
          <w:sz w:val="20"/>
          <w:szCs w:val="20"/>
          <w:color w:val="auto"/>
        </w:rPr>
      </w:pPr>
    </w:p>
    <w:p>
      <w:pPr>
        <w:ind w:right="40"/>
        <w:spacing w:after="0" w:line="248" w:lineRule="auto"/>
        <w:rPr>
          <w:sz w:val="20"/>
          <w:szCs w:val="20"/>
          <w:color w:val="auto"/>
        </w:rPr>
      </w:pPr>
      <w:r>
        <w:rPr>
          <w:rFonts w:ascii="Arial" w:cs="Arial" w:eastAsia="Arial" w:hAnsi="Arial"/>
          <w:sz w:val="19"/>
          <w:szCs w:val="19"/>
          <w:color w:val="auto"/>
        </w:rPr>
        <w:t>Pairing this therapeutic approach with ICI treatment or with radiotherapy is based on a strong mechanistic rationale and has shown promise in experimental models of cancer. It has been observed that tumors that are least responsive to ICI are commonly characterized by low levels of lymphocytic infiltration and low or no PD-L1 expression levels; they are referred to as “cold” tumors. One of our areas of focus is the conversion of immunologically suppressed “cold” tumors into immunologically active “hot” tumors, thereby increasing their responsiveness to ICI or other therapies, such as radiotherapy.</w:t>
      </w:r>
    </w:p>
    <w:p>
      <w:pPr>
        <w:spacing w:after="0" w:line="8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The Mechanism of Action of Viral Immunotherapy:</w:t>
      </w:r>
    </w:p>
    <w:p>
      <w:pPr>
        <w:spacing w:after="0" w:line="129" w:lineRule="exact"/>
        <w:rPr>
          <w:sz w:val="20"/>
          <w:szCs w:val="20"/>
          <w:color w:val="auto"/>
        </w:rPr>
      </w:pPr>
    </w:p>
    <w:p>
      <w:pPr>
        <w:ind w:left="720" w:right="20" w:hanging="360"/>
        <w:spacing w:after="0" w:line="253" w:lineRule="auto"/>
        <w:tabs>
          <w:tab w:leader="none" w:pos="720" w:val="left"/>
        </w:tabs>
        <w:numPr>
          <w:ilvl w:val="0"/>
          <w:numId w:val="14"/>
        </w:numPr>
        <w:rPr>
          <w:rFonts w:ascii="Arial" w:cs="Arial" w:eastAsia="Arial" w:hAnsi="Arial"/>
          <w:sz w:val="19"/>
          <w:szCs w:val="19"/>
          <w:color w:val="auto"/>
        </w:rPr>
      </w:pPr>
      <w:r>
        <w:rPr>
          <w:rFonts w:ascii="Arial" w:cs="Arial" w:eastAsia="Arial" w:hAnsi="Arial"/>
          <w:sz w:val="19"/>
          <w:szCs w:val="19"/>
          <w:i w:val="1"/>
          <w:iCs w:val="1"/>
          <w:color w:val="auto"/>
        </w:rPr>
        <w:t xml:space="preserve">Direct anti-tumor cytotoxic activity. </w:t>
      </w:r>
      <w:r>
        <w:rPr>
          <w:rFonts w:ascii="Arial" w:cs="Arial" w:eastAsia="Arial" w:hAnsi="Arial"/>
          <w:sz w:val="19"/>
          <w:szCs w:val="19"/>
          <w:color w:val="auto"/>
        </w:rPr>
        <w:t>Tumor-specific viral-mediated oncolysis is achieved by both precise delivery</w:t>
      </w:r>
      <w:r>
        <w:rPr>
          <w:rFonts w:ascii="Arial" w:cs="Arial" w:eastAsia="Arial" w:hAnsi="Arial"/>
          <w:sz w:val="19"/>
          <w:szCs w:val="19"/>
          <w:i w:val="1"/>
          <w:iCs w:val="1"/>
          <w:color w:val="auto"/>
        </w:rPr>
        <w:t xml:space="preserve"> </w:t>
      </w:r>
      <w:r>
        <w:rPr>
          <w:rFonts w:ascii="Arial" w:cs="Arial" w:eastAsia="Arial" w:hAnsi="Arial"/>
          <w:sz w:val="19"/>
          <w:szCs w:val="19"/>
          <w:color w:val="auto"/>
        </w:rPr>
        <w:t>of the engineered virus to the tumor as well as the virus’ ability to selectively replicate within a cancer cell. Various approaches have been applied in different programs to increase the specificity and potency of viral toxicity aimed at tumor cells, including genetic modifications and use of prodrugs.</w:t>
      </w:r>
    </w:p>
    <w:p>
      <w:pPr>
        <w:spacing w:after="0" w:line="85" w:lineRule="exact"/>
        <w:rPr>
          <w:rFonts w:ascii="Arial" w:cs="Arial" w:eastAsia="Arial" w:hAnsi="Arial"/>
          <w:sz w:val="19"/>
          <w:szCs w:val="19"/>
          <w:color w:val="auto"/>
        </w:rPr>
      </w:pPr>
    </w:p>
    <w:p>
      <w:pPr>
        <w:ind w:left="720" w:right="140" w:hanging="360"/>
        <w:spacing w:after="0" w:line="248" w:lineRule="auto"/>
        <w:tabs>
          <w:tab w:leader="none" w:pos="720" w:val="left"/>
        </w:tabs>
        <w:numPr>
          <w:ilvl w:val="0"/>
          <w:numId w:val="14"/>
        </w:numPr>
        <w:rPr>
          <w:rFonts w:ascii="Arial" w:cs="Arial" w:eastAsia="Arial" w:hAnsi="Arial"/>
          <w:sz w:val="19"/>
          <w:szCs w:val="19"/>
          <w:color w:val="auto"/>
        </w:rPr>
      </w:pPr>
      <w:r>
        <w:rPr>
          <w:rFonts w:ascii="Arial" w:cs="Arial" w:eastAsia="Arial" w:hAnsi="Arial"/>
          <w:sz w:val="19"/>
          <w:szCs w:val="19"/>
          <w:i w:val="1"/>
          <w:iCs w:val="1"/>
          <w:color w:val="auto"/>
        </w:rPr>
        <w:t xml:space="preserve">Broad stimulation of anti-tumor immunity. </w:t>
      </w:r>
      <w:r>
        <w:rPr>
          <w:rFonts w:ascii="Arial" w:cs="Arial" w:eastAsia="Arial" w:hAnsi="Arial"/>
          <w:sz w:val="19"/>
          <w:szCs w:val="19"/>
          <w:color w:val="auto"/>
        </w:rPr>
        <w:t>The immunogenic cell death driven by oncolysis results in a potent</w:t>
      </w:r>
      <w:r>
        <w:rPr>
          <w:rFonts w:ascii="Arial" w:cs="Arial" w:eastAsia="Arial" w:hAnsi="Arial"/>
          <w:sz w:val="19"/>
          <w:szCs w:val="19"/>
          <w:i w:val="1"/>
          <w:iCs w:val="1"/>
          <w:color w:val="auto"/>
        </w:rPr>
        <w:t xml:space="preserve"> </w:t>
      </w:r>
      <w:r>
        <w:rPr>
          <w:rFonts w:ascii="Arial" w:cs="Arial" w:eastAsia="Arial" w:hAnsi="Arial"/>
          <w:sz w:val="19"/>
          <w:szCs w:val="19"/>
          <w:color w:val="auto"/>
        </w:rPr>
        <w:t>local and systemic immune stimulation with the increased expression of proinflammatory cytokines, chemokines and adhesion molecules. This, in turn, promotes the activation of both the innate and adaptive arms of the immune system in the presence of highly immunogenic viral components. This broad response commonly includes recruitment and activation of antigen-presenting cells and effector immune cells to the site of the tumor.</w:t>
      </w:r>
    </w:p>
    <w:p>
      <w:pPr>
        <w:spacing w:after="0" w:line="89" w:lineRule="exact"/>
        <w:rPr>
          <w:rFonts w:ascii="Arial" w:cs="Arial" w:eastAsia="Arial" w:hAnsi="Arial"/>
          <w:sz w:val="19"/>
          <w:szCs w:val="19"/>
          <w:color w:val="auto"/>
        </w:rPr>
      </w:pPr>
    </w:p>
    <w:p>
      <w:pPr>
        <w:ind w:left="720" w:hanging="360"/>
        <w:spacing w:after="0" w:line="253" w:lineRule="auto"/>
        <w:tabs>
          <w:tab w:leader="none" w:pos="720" w:val="left"/>
        </w:tabs>
        <w:numPr>
          <w:ilvl w:val="0"/>
          <w:numId w:val="14"/>
        </w:numPr>
        <w:rPr>
          <w:rFonts w:ascii="Arial" w:cs="Arial" w:eastAsia="Arial" w:hAnsi="Arial"/>
          <w:sz w:val="19"/>
          <w:szCs w:val="19"/>
          <w:color w:val="auto"/>
        </w:rPr>
      </w:pPr>
      <w:r>
        <w:rPr>
          <w:rFonts w:ascii="Arial" w:cs="Arial" w:eastAsia="Arial" w:hAnsi="Arial"/>
          <w:sz w:val="19"/>
          <w:szCs w:val="19"/>
          <w:i w:val="1"/>
          <w:iCs w:val="1"/>
          <w:color w:val="auto"/>
        </w:rPr>
        <w:t xml:space="preserve">Priming of the immune system against tumor antigens. </w:t>
      </w:r>
      <w:r>
        <w:rPr>
          <w:rFonts w:ascii="Arial" w:cs="Arial" w:eastAsia="Arial" w:hAnsi="Arial"/>
          <w:sz w:val="19"/>
          <w:szCs w:val="19"/>
          <w:color w:val="auto"/>
        </w:rPr>
        <w:t>The lysis of cancer cells leads to the exposure of tumor-specific antigens. This early effect, combined with intratumoral immune cell infiltration and activation, leads to antigen presentation and initiation of a local adaptive immune response targeted against a set of tumor antigens expressed by the patient’s cancer cells.</w:t>
      </w:r>
    </w:p>
    <w:p>
      <w:pPr>
        <w:spacing w:after="0" w:line="145" w:lineRule="exact"/>
        <w:rPr>
          <w:rFonts w:ascii="Arial" w:cs="Arial" w:eastAsia="Arial" w:hAnsi="Arial"/>
          <w:sz w:val="19"/>
          <w:szCs w:val="19"/>
          <w:color w:val="auto"/>
        </w:rPr>
      </w:pPr>
    </w:p>
    <w:p>
      <w:pPr>
        <w:ind w:left="720" w:hanging="360"/>
        <w:spacing w:after="0" w:line="253" w:lineRule="auto"/>
        <w:tabs>
          <w:tab w:leader="none" w:pos="720" w:val="left"/>
        </w:tabs>
        <w:numPr>
          <w:ilvl w:val="0"/>
          <w:numId w:val="14"/>
        </w:numPr>
        <w:rPr>
          <w:rFonts w:ascii="Arial" w:cs="Arial" w:eastAsia="Arial" w:hAnsi="Arial"/>
          <w:sz w:val="19"/>
          <w:szCs w:val="19"/>
          <w:color w:val="auto"/>
        </w:rPr>
      </w:pPr>
      <w:r>
        <w:rPr>
          <w:rFonts w:ascii="Arial" w:cs="Arial" w:eastAsia="Arial" w:hAnsi="Arial"/>
          <w:sz w:val="19"/>
          <w:szCs w:val="19"/>
          <w:i w:val="1"/>
          <w:iCs w:val="1"/>
          <w:color w:val="auto"/>
        </w:rPr>
        <w:t xml:space="preserve">Development of a systemic immune memory response. </w:t>
      </w:r>
      <w:r>
        <w:rPr>
          <w:rFonts w:ascii="Arial" w:cs="Arial" w:eastAsia="Arial" w:hAnsi="Arial"/>
          <w:sz w:val="19"/>
          <w:szCs w:val="19"/>
          <w:color w:val="auto"/>
        </w:rPr>
        <w:t>Viral immunotherapy induces the development of a</w:t>
      </w:r>
      <w:r>
        <w:rPr>
          <w:rFonts w:ascii="Arial" w:cs="Arial" w:eastAsia="Arial" w:hAnsi="Arial"/>
          <w:sz w:val="19"/>
          <w:szCs w:val="19"/>
          <w:i w:val="1"/>
          <w:iCs w:val="1"/>
          <w:color w:val="auto"/>
        </w:rPr>
        <w:t xml:space="preserve"> </w:t>
      </w:r>
      <w:r>
        <w:rPr>
          <w:rFonts w:ascii="Arial" w:cs="Arial" w:eastAsia="Arial" w:hAnsi="Arial"/>
          <w:sz w:val="19"/>
          <w:szCs w:val="19"/>
          <w:color w:val="auto"/>
        </w:rPr>
        <w:t>long-lasting systemic immune surveillance against the antigens associated with the injected tumor, and consequently, tumor antigens expressed at metastatic sites. This leads to a cytotoxic immune response against the distant tumor cells, also known as an abscopal effect.</w:t>
      </w:r>
    </w:p>
    <w:p>
      <w:pPr>
        <w:spacing w:after="0" w:line="73" w:lineRule="exact"/>
        <w:rPr>
          <w:sz w:val="20"/>
          <w:szCs w:val="20"/>
          <w:color w:val="auto"/>
        </w:rPr>
      </w:pPr>
    </w:p>
    <w:p>
      <w:pPr>
        <w:ind w:right="40"/>
        <w:spacing w:after="0" w:line="246" w:lineRule="auto"/>
        <w:rPr>
          <w:sz w:val="20"/>
          <w:szCs w:val="20"/>
          <w:color w:val="auto"/>
        </w:rPr>
      </w:pPr>
      <w:r>
        <w:rPr>
          <w:rFonts w:ascii="Arial" w:cs="Arial" w:eastAsia="Arial" w:hAnsi="Arial"/>
          <w:sz w:val="19"/>
          <w:szCs w:val="19"/>
          <w:b w:val="1"/>
          <w:bCs w:val="1"/>
          <w:i w:val="1"/>
          <w:iCs w:val="1"/>
          <w:color w:val="auto"/>
        </w:rPr>
        <w:t xml:space="preserve">Desirable Clinical Properties. </w:t>
      </w:r>
      <w:r>
        <w:rPr>
          <w:rFonts w:ascii="Arial" w:cs="Arial" w:eastAsia="Arial" w:hAnsi="Arial"/>
          <w:sz w:val="19"/>
          <w:szCs w:val="19"/>
          <w:color w:val="auto"/>
        </w:rPr>
        <w:t>Viral immunotherapy has attributes that are important for cancer therapeutics.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agents are off-the-shelf and they have been shown to stimulate local and systemic immune responses in most patients, leading to an individualized anti-tumor immune response. In contrast, individualized cellular immunotherapies require specific manufacturing processes for each individual patient. The first viral immunotherapy was approved by the FDA in 2015, providing support that additional agents in this class may have similar potential. Furthermore, safety data shown in several clinical trials of various immunotherapies supports the ability to combine viral immunotherapy with other agents due to the potential for fewer overlapping side effects.</w:t>
      </w:r>
    </w:p>
    <w:p>
      <w:pPr>
        <w:spacing w:after="0" w:line="82" w:lineRule="exact"/>
        <w:rPr>
          <w:sz w:val="20"/>
          <w:szCs w:val="20"/>
          <w:color w:val="auto"/>
        </w:rPr>
      </w:pPr>
    </w:p>
    <w:p>
      <w:pPr>
        <w:ind w:right="340"/>
        <w:spacing w:after="0" w:line="260" w:lineRule="auto"/>
        <w:rPr>
          <w:sz w:val="20"/>
          <w:szCs w:val="20"/>
          <w:color w:val="auto"/>
        </w:rPr>
      </w:pPr>
      <w:r>
        <w:rPr>
          <w:rFonts w:ascii="Arial" w:cs="Arial" w:eastAsia="Arial" w:hAnsi="Arial"/>
          <w:sz w:val="19"/>
          <w:szCs w:val="19"/>
          <w:b w:val="1"/>
          <w:bCs w:val="1"/>
          <w:i w:val="1"/>
          <w:iCs w:val="1"/>
          <w:color w:val="auto"/>
        </w:rPr>
        <w:t xml:space="preserve">Our Immunotherapy Platforms. </w:t>
      </w:r>
      <w:r>
        <w:rPr>
          <w:rFonts w:ascii="Arial" w:cs="Arial" w:eastAsia="Arial" w:hAnsi="Arial"/>
          <w:sz w:val="19"/>
          <w:szCs w:val="19"/>
          <w:color w:val="auto"/>
        </w:rPr>
        <w:t>Our two clinical platforms, one based on adenovirus and the other based on HSV,</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provide different and complementary sets of attributes, which allows us to utilize the product candidate that is best suited for a particular clinical application.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w:t>
      </w:r>
    </w:p>
    <w:p>
      <w:pPr>
        <w:sectPr>
          <w:pgSz w:w="12240" w:h="15840" w:orient="portrait"/>
          <w:cols w:equalWidth="0" w:num="1">
            <w:col w:w="10060"/>
          </w:cols>
          <w:pgMar w:left="1080" w:top="1062" w:right="1100" w:bottom="173" w:gutter="0" w:footer="0" w:header="0"/>
        </w:sectPr>
      </w:pPr>
    </w:p>
    <w:bookmarkStart w:id="13" w:name="page14"/>
    <w:bookmarkEnd w:id="13"/>
    <w:p>
      <w:pPr>
        <w:spacing w:after="0"/>
        <w:rPr>
          <w:sz w:val="20"/>
          <w:szCs w:val="20"/>
          <w:color w:val="auto"/>
        </w:rPr>
      </w:pPr>
      <w:r>
        <w:rPr>
          <w:rFonts w:ascii="Arial" w:cs="Arial" w:eastAsia="Arial" w:hAnsi="Arial"/>
          <w:sz w:val="19"/>
          <w:szCs w:val="19"/>
          <w:color w:val="auto"/>
        </w:rPr>
        <w:t>Key attributes across our viral immunotherapy platforms include:</w:t>
      </w:r>
    </w:p>
    <w:p>
      <w:pPr>
        <w:spacing w:after="0" w:line="120" w:lineRule="exact"/>
        <w:rPr>
          <w:sz w:val="20"/>
          <w:szCs w:val="20"/>
          <w:color w:val="auto"/>
        </w:rPr>
      </w:pPr>
    </w:p>
    <w:p>
      <w:pPr>
        <w:ind w:left="980" w:right="20" w:hanging="361"/>
        <w:spacing w:after="0" w:line="254" w:lineRule="auto"/>
        <w:tabs>
          <w:tab w:leader="none" w:pos="980" w:val="left"/>
        </w:tabs>
        <w:numPr>
          <w:ilvl w:val="0"/>
          <w:numId w:val="15"/>
        </w:numPr>
        <w:rPr>
          <w:rFonts w:ascii="Arial" w:cs="Arial" w:eastAsia="Arial" w:hAnsi="Arial"/>
          <w:sz w:val="19"/>
          <w:szCs w:val="19"/>
          <w:color w:val="auto"/>
        </w:rPr>
      </w:pPr>
      <w:r>
        <w:rPr>
          <w:rFonts w:ascii="Arial" w:cs="Arial" w:eastAsia="Arial" w:hAnsi="Arial"/>
          <w:sz w:val="19"/>
          <w:szCs w:val="19"/>
          <w:i w:val="1"/>
          <w:iCs w:val="1"/>
          <w:color w:val="auto"/>
        </w:rPr>
        <w:t xml:space="preserve">Targeting a Wide Range of Cell Types. </w:t>
      </w:r>
      <w:r>
        <w:rPr>
          <w:rFonts w:ascii="Arial" w:cs="Arial" w:eastAsia="Arial" w:hAnsi="Arial"/>
          <w:sz w:val="19"/>
          <w:szCs w:val="19"/>
          <w:color w:val="auto"/>
        </w:rPr>
        <w:t>Product candidates from both the HSV and adenoviral platforms can</w:t>
      </w:r>
      <w:r>
        <w:rPr>
          <w:rFonts w:ascii="Arial" w:cs="Arial" w:eastAsia="Arial" w:hAnsi="Arial"/>
          <w:sz w:val="19"/>
          <w:szCs w:val="19"/>
          <w:i w:val="1"/>
          <w:iCs w:val="1"/>
          <w:color w:val="auto"/>
        </w:rPr>
        <w:t xml:space="preserve"> </w:t>
      </w:r>
      <w:r>
        <w:rPr>
          <w:rFonts w:ascii="Arial" w:cs="Arial" w:eastAsia="Arial" w:hAnsi="Arial"/>
          <w:sz w:val="19"/>
          <w:szCs w:val="19"/>
          <w:color w:val="auto"/>
        </w:rPr>
        <w:t>transduce a diverse range of cell types, which we believe will allow us to address many different forms of cancer.</w:t>
      </w:r>
    </w:p>
    <w:p>
      <w:pPr>
        <w:spacing w:after="0" w:line="1" w:lineRule="exact"/>
        <w:rPr>
          <w:rFonts w:ascii="Arial" w:cs="Arial" w:eastAsia="Arial" w:hAnsi="Arial"/>
          <w:sz w:val="19"/>
          <w:szCs w:val="19"/>
          <w:color w:val="auto"/>
        </w:rPr>
      </w:pPr>
    </w:p>
    <w:p>
      <w:pPr>
        <w:ind w:left="980" w:right="120" w:hanging="361"/>
        <w:spacing w:after="0" w:line="261" w:lineRule="auto"/>
        <w:tabs>
          <w:tab w:leader="none" w:pos="980" w:val="left"/>
        </w:tabs>
        <w:numPr>
          <w:ilvl w:val="0"/>
          <w:numId w:val="15"/>
        </w:numPr>
        <w:rPr>
          <w:rFonts w:ascii="Arial" w:cs="Arial" w:eastAsia="Arial" w:hAnsi="Arial"/>
          <w:sz w:val="19"/>
          <w:szCs w:val="19"/>
          <w:color w:val="auto"/>
        </w:rPr>
      </w:pPr>
      <w:r>
        <w:rPr>
          <w:rFonts w:ascii="Arial" w:cs="Arial" w:eastAsia="Arial" w:hAnsi="Arial"/>
          <w:sz w:val="19"/>
          <w:szCs w:val="19"/>
          <w:i w:val="1"/>
          <w:iCs w:val="1"/>
          <w:color w:val="auto"/>
        </w:rPr>
        <w:t xml:space="preserve">Off-the-Shelf Product. </w:t>
      </w:r>
      <w:r>
        <w:rPr>
          <w:rFonts w:ascii="Arial" w:cs="Arial" w:eastAsia="Arial" w:hAnsi="Arial"/>
          <w:sz w:val="19"/>
          <w:szCs w:val="19"/>
          <w:color w:val="auto"/>
        </w:rPr>
        <w:t>A standardized product intended to be available as needed via prescription supports</w:t>
      </w:r>
      <w:r>
        <w:rPr>
          <w:rFonts w:ascii="Arial" w:cs="Arial" w:eastAsia="Arial" w:hAnsi="Arial"/>
          <w:sz w:val="19"/>
          <w:szCs w:val="19"/>
          <w:i w:val="1"/>
          <w:iCs w:val="1"/>
          <w:color w:val="auto"/>
        </w:rPr>
        <w:t xml:space="preserve"> </w:t>
      </w:r>
      <w:r>
        <w:rPr>
          <w:rFonts w:ascii="Arial" w:cs="Arial" w:eastAsia="Arial" w:hAnsi="Arial"/>
          <w:sz w:val="19"/>
          <w:szCs w:val="19"/>
          <w:color w:val="auto"/>
        </w:rPr>
        <w:t>straightforward clinical administration, simplified manufacturing and supply chain management.</w:t>
      </w:r>
    </w:p>
    <w:p>
      <w:pPr>
        <w:spacing w:after="0" w:line="1" w:lineRule="exact"/>
        <w:rPr>
          <w:rFonts w:ascii="Arial" w:cs="Arial" w:eastAsia="Arial" w:hAnsi="Arial"/>
          <w:sz w:val="19"/>
          <w:szCs w:val="19"/>
          <w:color w:val="auto"/>
        </w:rPr>
      </w:pPr>
    </w:p>
    <w:p>
      <w:pPr>
        <w:ind w:left="980" w:hanging="361"/>
        <w:spacing w:after="0" w:line="243" w:lineRule="auto"/>
        <w:tabs>
          <w:tab w:leader="none" w:pos="980" w:val="left"/>
        </w:tabs>
        <w:numPr>
          <w:ilvl w:val="0"/>
          <w:numId w:val="15"/>
        </w:numPr>
        <w:rPr>
          <w:rFonts w:ascii="Arial" w:cs="Arial" w:eastAsia="Arial" w:hAnsi="Arial"/>
          <w:sz w:val="19"/>
          <w:szCs w:val="19"/>
          <w:color w:val="auto"/>
        </w:rPr>
      </w:pPr>
      <w:r>
        <w:rPr>
          <w:rFonts w:ascii="Arial" w:cs="Arial" w:eastAsia="Arial" w:hAnsi="Arial"/>
          <w:sz w:val="19"/>
          <w:szCs w:val="19"/>
          <w:i w:val="1"/>
          <w:iCs w:val="1"/>
          <w:color w:val="auto"/>
        </w:rPr>
        <w:t xml:space="preserve">Intratumoral Route of Administration. </w:t>
      </w:r>
      <w:r>
        <w:rPr>
          <w:rFonts w:ascii="Arial" w:cs="Arial" w:eastAsia="Arial" w:hAnsi="Arial"/>
          <w:sz w:val="19"/>
          <w:szCs w:val="19"/>
          <w:color w:val="auto"/>
        </w:rPr>
        <w:t>Both of our product candidates are administered by direct injection into</w:t>
      </w:r>
      <w:r>
        <w:rPr>
          <w:rFonts w:ascii="Arial" w:cs="Arial" w:eastAsia="Arial" w:hAnsi="Arial"/>
          <w:sz w:val="19"/>
          <w:szCs w:val="19"/>
          <w:i w:val="1"/>
          <w:iCs w:val="1"/>
          <w:color w:val="auto"/>
        </w:rPr>
        <w:t xml:space="preserve"> </w:t>
      </w:r>
      <w:r>
        <w:rPr>
          <w:rFonts w:ascii="Arial" w:cs="Arial" w:eastAsia="Arial" w:hAnsi="Arial"/>
          <w:sz w:val="19"/>
          <w:szCs w:val="19"/>
          <w:color w:val="auto"/>
        </w:rPr>
        <w:t>the tumor site, and have been shown to result in a systemic immune response. This approach aims to maximize immune stimulation and minimize systemic toxicity, factors that are believed to be suboptimal with intravenous administration. We believe that directly injecting these viral immunotherapies into a patient’s cancerous tissue helps to optimize the benefit/risk for these agents to be highly immunostimulatory at the site of the tumor, whereas systemically administered agents would need to avoid detection by the body’s immune surveillance mechanisms to avoid rapid destruction before getting to the target tumor. While our product candidates are administered directly into the tumor, we have observed a systemic anti-tumor immune response in our preclinical studies and clinical trials, resulting in improvement of both injected and uninjected tumors, also known as an “abscopal” effect. For the indications that we selected, intratumoral administration is a straightforward procedure that is aligned with clinical practice, leveraging SoC medical procedures, such as intra-prostate injection or delivery during diagnostic (bronchoscopy) or therapeutic (neurosurgery) procedures.</w:t>
      </w:r>
    </w:p>
    <w:p>
      <w:pPr>
        <w:spacing w:after="0" w:line="4" w:lineRule="exact"/>
        <w:rPr>
          <w:rFonts w:ascii="Arial" w:cs="Arial" w:eastAsia="Arial" w:hAnsi="Arial"/>
          <w:sz w:val="19"/>
          <w:szCs w:val="19"/>
          <w:color w:val="auto"/>
        </w:rPr>
      </w:pPr>
    </w:p>
    <w:p>
      <w:pPr>
        <w:ind w:left="980" w:right="40" w:hanging="361"/>
        <w:spacing w:after="0" w:line="281" w:lineRule="auto"/>
        <w:tabs>
          <w:tab w:leader="none" w:pos="980" w:val="left"/>
        </w:tabs>
        <w:numPr>
          <w:ilvl w:val="0"/>
          <w:numId w:val="15"/>
        </w:numPr>
        <w:rPr>
          <w:rFonts w:ascii="Arial" w:cs="Arial" w:eastAsia="Arial" w:hAnsi="Arial"/>
          <w:sz w:val="19"/>
          <w:szCs w:val="19"/>
          <w:color w:val="auto"/>
        </w:rPr>
      </w:pPr>
      <w:r>
        <w:rPr>
          <w:rFonts w:ascii="Arial" w:cs="Arial" w:eastAsia="Arial" w:hAnsi="Arial"/>
          <w:sz w:val="19"/>
          <w:szCs w:val="19"/>
          <w:i w:val="1"/>
          <w:iCs w:val="1"/>
          <w:color w:val="auto"/>
        </w:rPr>
        <w:t xml:space="preserve">Cost-efficient Manufacturing. </w:t>
      </w:r>
      <w:r>
        <w:rPr>
          <w:rFonts w:ascii="Arial" w:cs="Arial" w:eastAsia="Arial" w:hAnsi="Arial"/>
          <w:sz w:val="19"/>
          <w:szCs w:val="19"/>
          <w:color w:val="auto"/>
        </w:rPr>
        <w:t>Both product candidates are relatively inexpensive to manufacture, particularly</w:t>
      </w:r>
      <w:r>
        <w:rPr>
          <w:rFonts w:ascii="Arial" w:cs="Arial" w:eastAsia="Arial" w:hAnsi="Arial"/>
          <w:sz w:val="19"/>
          <w:szCs w:val="19"/>
          <w:i w:val="1"/>
          <w:iCs w:val="1"/>
          <w:color w:val="auto"/>
        </w:rPr>
        <w:t xml:space="preserve"> </w:t>
      </w:r>
      <w:r>
        <w:rPr>
          <w:rFonts w:ascii="Arial" w:cs="Arial" w:eastAsia="Arial" w:hAnsi="Arial"/>
          <w:sz w:val="19"/>
          <w:szCs w:val="19"/>
          <w:color w:val="auto"/>
        </w:rPr>
        <w:t>when compared to other biologic or cellular therapy treatments.</w:t>
      </w:r>
    </w:p>
    <w:p>
      <w:pPr>
        <w:spacing w:after="0" w:line="45" w:lineRule="exact"/>
        <w:rPr>
          <w:sz w:val="20"/>
          <w:szCs w:val="20"/>
          <w:color w:val="auto"/>
        </w:rPr>
      </w:pPr>
    </w:p>
    <w:p>
      <w:pPr>
        <w:spacing w:after="0"/>
        <w:rPr>
          <w:sz w:val="20"/>
          <w:szCs w:val="20"/>
          <w:color w:val="auto"/>
        </w:rPr>
      </w:pPr>
      <w:r>
        <w:rPr>
          <w:rFonts w:ascii="Arial" w:cs="Arial" w:eastAsia="Arial" w:hAnsi="Arial"/>
          <w:sz w:val="19"/>
          <w:szCs w:val="19"/>
          <w:color w:val="auto"/>
        </w:rPr>
        <w:t>Key attributes of our Adenoviral platform include:</w:t>
      </w:r>
    </w:p>
    <w:p>
      <w:pPr>
        <w:spacing w:after="0" w:line="120" w:lineRule="exact"/>
        <w:rPr>
          <w:sz w:val="20"/>
          <w:szCs w:val="20"/>
          <w:color w:val="auto"/>
        </w:rPr>
      </w:pPr>
    </w:p>
    <w:p>
      <w:pPr>
        <w:ind w:left="980" w:right="100" w:hanging="361"/>
        <w:spacing w:after="0" w:line="261" w:lineRule="auto"/>
        <w:tabs>
          <w:tab w:leader="none" w:pos="980" w:val="left"/>
        </w:tabs>
        <w:numPr>
          <w:ilvl w:val="0"/>
          <w:numId w:val="16"/>
        </w:numPr>
        <w:rPr>
          <w:rFonts w:ascii="Arial" w:cs="Arial" w:eastAsia="Arial" w:hAnsi="Arial"/>
          <w:sz w:val="19"/>
          <w:szCs w:val="19"/>
          <w:color w:val="auto"/>
        </w:rPr>
      </w:pPr>
      <w:r>
        <w:rPr>
          <w:rFonts w:ascii="Arial" w:cs="Arial" w:eastAsia="Arial" w:hAnsi="Arial"/>
          <w:sz w:val="19"/>
          <w:szCs w:val="19"/>
          <w:i w:val="1"/>
          <w:iCs w:val="1"/>
          <w:color w:val="auto"/>
        </w:rPr>
        <w:t xml:space="preserve">Targeting a Wide Range of Cell Types. </w:t>
      </w:r>
      <w:r>
        <w:rPr>
          <w:rFonts w:ascii="Arial" w:cs="Arial" w:eastAsia="Arial" w:hAnsi="Arial"/>
          <w:sz w:val="19"/>
          <w:szCs w:val="19"/>
          <w:color w:val="auto"/>
        </w:rPr>
        <w:t>Adenoviruses can efficiently transduce cells from different lineages.</w:t>
      </w:r>
      <w:r>
        <w:rPr>
          <w:rFonts w:ascii="Arial" w:cs="Arial" w:eastAsia="Arial" w:hAnsi="Arial"/>
          <w:sz w:val="19"/>
          <w:szCs w:val="19"/>
          <w:i w:val="1"/>
          <w:iCs w:val="1"/>
          <w:color w:val="auto"/>
        </w:rPr>
        <w:t xml:space="preserve"> </w:t>
      </w:r>
      <w:r>
        <w:rPr>
          <w:rFonts w:ascii="Arial" w:cs="Arial" w:eastAsia="Arial" w:hAnsi="Arial"/>
          <w:sz w:val="19"/>
          <w:szCs w:val="19"/>
          <w:color w:val="auto"/>
        </w:rPr>
        <w:t>This allows us to apply this platform to many different tumor types.</w:t>
      </w:r>
    </w:p>
    <w:p>
      <w:pPr>
        <w:spacing w:after="0" w:line="1" w:lineRule="exact"/>
        <w:rPr>
          <w:rFonts w:ascii="Arial" w:cs="Arial" w:eastAsia="Arial" w:hAnsi="Arial"/>
          <w:sz w:val="19"/>
          <w:szCs w:val="19"/>
          <w:color w:val="auto"/>
        </w:rPr>
      </w:pPr>
    </w:p>
    <w:p>
      <w:pPr>
        <w:ind w:left="980" w:right="540" w:hanging="361"/>
        <w:spacing w:after="0" w:line="261" w:lineRule="auto"/>
        <w:tabs>
          <w:tab w:leader="none" w:pos="980" w:val="left"/>
        </w:tabs>
        <w:numPr>
          <w:ilvl w:val="0"/>
          <w:numId w:val="16"/>
        </w:numPr>
        <w:rPr>
          <w:rFonts w:ascii="Arial" w:cs="Arial" w:eastAsia="Arial" w:hAnsi="Arial"/>
          <w:sz w:val="19"/>
          <w:szCs w:val="19"/>
          <w:color w:val="auto"/>
        </w:rPr>
      </w:pPr>
      <w:r>
        <w:rPr>
          <w:rFonts w:ascii="Arial" w:cs="Arial" w:eastAsia="Arial" w:hAnsi="Arial"/>
          <w:sz w:val="19"/>
          <w:szCs w:val="19"/>
          <w:i w:val="1"/>
          <w:iCs w:val="1"/>
          <w:color w:val="auto"/>
        </w:rPr>
        <w:t xml:space="preserve">Immunogenic Virus Particle. </w:t>
      </w:r>
      <w:r>
        <w:rPr>
          <w:rFonts w:ascii="Arial" w:cs="Arial" w:eastAsia="Arial" w:hAnsi="Arial"/>
          <w:sz w:val="19"/>
          <w:szCs w:val="19"/>
          <w:color w:val="auto"/>
        </w:rPr>
        <w:t>The adenoviral virus particles are strong simulators of the innate immune</w:t>
      </w:r>
      <w:r>
        <w:rPr>
          <w:rFonts w:ascii="Arial" w:cs="Arial" w:eastAsia="Arial" w:hAnsi="Arial"/>
          <w:sz w:val="19"/>
          <w:szCs w:val="19"/>
          <w:i w:val="1"/>
          <w:iCs w:val="1"/>
          <w:color w:val="auto"/>
        </w:rPr>
        <w:t xml:space="preserve"> </w:t>
      </w:r>
      <w:r>
        <w:rPr>
          <w:rFonts w:ascii="Arial" w:cs="Arial" w:eastAsia="Arial" w:hAnsi="Arial"/>
          <w:sz w:val="19"/>
          <w:szCs w:val="19"/>
          <w:color w:val="auto"/>
        </w:rPr>
        <w:t>system, a property that contributes to immune activation at the site of administration.</w:t>
      </w:r>
    </w:p>
    <w:p>
      <w:pPr>
        <w:spacing w:after="0" w:line="1" w:lineRule="exact"/>
        <w:rPr>
          <w:rFonts w:ascii="Arial" w:cs="Arial" w:eastAsia="Arial" w:hAnsi="Arial"/>
          <w:sz w:val="19"/>
          <w:szCs w:val="19"/>
          <w:color w:val="auto"/>
        </w:rPr>
      </w:pPr>
    </w:p>
    <w:p>
      <w:pPr>
        <w:ind w:left="980" w:right="420" w:hanging="361"/>
        <w:spacing w:after="0" w:line="261" w:lineRule="auto"/>
        <w:tabs>
          <w:tab w:leader="none" w:pos="980" w:val="left"/>
        </w:tabs>
        <w:numPr>
          <w:ilvl w:val="0"/>
          <w:numId w:val="16"/>
        </w:numPr>
        <w:rPr>
          <w:rFonts w:ascii="Arial" w:cs="Arial" w:eastAsia="Arial" w:hAnsi="Arial"/>
          <w:sz w:val="19"/>
          <w:szCs w:val="19"/>
          <w:color w:val="auto"/>
        </w:rPr>
      </w:pPr>
      <w:r>
        <w:rPr>
          <w:rFonts w:ascii="Arial" w:cs="Arial" w:eastAsia="Arial" w:hAnsi="Arial"/>
          <w:sz w:val="19"/>
          <w:szCs w:val="19"/>
          <w:i w:val="1"/>
          <w:iCs w:val="1"/>
          <w:color w:val="auto"/>
        </w:rPr>
        <w:t xml:space="preserve">High-Titer Formulation. </w:t>
      </w:r>
      <w:r>
        <w:rPr>
          <w:rFonts w:ascii="Arial" w:cs="Arial" w:eastAsia="Arial" w:hAnsi="Arial"/>
          <w:sz w:val="19"/>
          <w:szCs w:val="19"/>
          <w:color w:val="auto"/>
        </w:rPr>
        <w:t>Adenovirus can be formulated at high titers, facilitating the administration of low</w:t>
      </w:r>
      <w:r>
        <w:rPr>
          <w:rFonts w:ascii="Arial" w:cs="Arial" w:eastAsia="Arial" w:hAnsi="Arial"/>
          <w:sz w:val="19"/>
          <w:szCs w:val="19"/>
          <w:i w:val="1"/>
          <w:iCs w:val="1"/>
          <w:color w:val="auto"/>
        </w:rPr>
        <w:t xml:space="preserve"> </w:t>
      </w:r>
      <w:r>
        <w:rPr>
          <w:rFonts w:ascii="Arial" w:cs="Arial" w:eastAsia="Arial" w:hAnsi="Arial"/>
          <w:sz w:val="19"/>
          <w:szCs w:val="19"/>
          <w:color w:val="auto"/>
        </w:rPr>
        <w:t>volume doses sufficiently potent to induce strong activity.</w:t>
      </w:r>
    </w:p>
    <w:p>
      <w:pPr>
        <w:spacing w:after="0" w:line="1" w:lineRule="exact"/>
        <w:rPr>
          <w:rFonts w:ascii="Arial" w:cs="Arial" w:eastAsia="Arial" w:hAnsi="Arial"/>
          <w:sz w:val="19"/>
          <w:szCs w:val="19"/>
          <w:color w:val="auto"/>
        </w:rPr>
      </w:pPr>
    </w:p>
    <w:p>
      <w:pPr>
        <w:jc w:val="both"/>
        <w:ind w:left="980" w:right="200" w:hanging="361"/>
        <w:spacing w:after="0" w:line="254" w:lineRule="auto"/>
        <w:tabs>
          <w:tab w:leader="none" w:pos="980" w:val="left"/>
        </w:tabs>
        <w:numPr>
          <w:ilvl w:val="0"/>
          <w:numId w:val="16"/>
        </w:numPr>
        <w:rPr>
          <w:rFonts w:ascii="Arial" w:cs="Arial" w:eastAsia="Arial" w:hAnsi="Arial"/>
          <w:sz w:val="19"/>
          <w:szCs w:val="19"/>
          <w:color w:val="auto"/>
        </w:rPr>
      </w:pPr>
      <w:r>
        <w:rPr>
          <w:rFonts w:ascii="Arial" w:cs="Arial" w:eastAsia="Arial" w:hAnsi="Arial"/>
          <w:sz w:val="19"/>
          <w:szCs w:val="19"/>
          <w:i w:val="1"/>
          <w:iCs w:val="1"/>
          <w:color w:val="auto"/>
        </w:rPr>
        <w:t xml:space="preserve">Product Stability. </w:t>
      </w:r>
      <w:r>
        <w:rPr>
          <w:rFonts w:ascii="Arial" w:cs="Arial" w:eastAsia="Arial" w:hAnsi="Arial"/>
          <w:sz w:val="19"/>
          <w:szCs w:val="19"/>
          <w:color w:val="auto"/>
        </w:rPr>
        <w:t>The formulation deployed in clinical trials has stability at refrigerator temperatures (4°C),</w:t>
      </w:r>
      <w:r>
        <w:rPr>
          <w:rFonts w:ascii="Arial" w:cs="Arial" w:eastAsia="Arial" w:hAnsi="Arial"/>
          <w:sz w:val="19"/>
          <w:szCs w:val="19"/>
          <w:i w:val="1"/>
          <w:iCs w:val="1"/>
          <w:color w:val="auto"/>
        </w:rPr>
        <w:t xml:space="preserve"> </w:t>
      </w:r>
      <w:r>
        <w:rPr>
          <w:rFonts w:ascii="Arial" w:cs="Arial" w:eastAsia="Arial" w:hAnsi="Arial"/>
          <w:sz w:val="19"/>
          <w:szCs w:val="19"/>
          <w:color w:val="auto"/>
        </w:rPr>
        <w:t>supporting use at less specialized and therefore widely accessible sites such as community-based private clinics.</w:t>
      </w:r>
    </w:p>
    <w:p>
      <w:pPr>
        <w:spacing w:after="0" w:line="1" w:lineRule="exact"/>
        <w:rPr>
          <w:rFonts w:ascii="Arial" w:cs="Arial" w:eastAsia="Arial" w:hAnsi="Arial"/>
          <w:sz w:val="19"/>
          <w:szCs w:val="19"/>
          <w:color w:val="auto"/>
        </w:rPr>
      </w:pPr>
    </w:p>
    <w:p>
      <w:pPr>
        <w:ind w:left="980" w:right="220" w:hanging="361"/>
        <w:spacing w:after="0" w:line="253" w:lineRule="auto"/>
        <w:tabs>
          <w:tab w:leader="none" w:pos="980" w:val="left"/>
        </w:tabs>
        <w:numPr>
          <w:ilvl w:val="0"/>
          <w:numId w:val="16"/>
        </w:numPr>
        <w:rPr>
          <w:rFonts w:ascii="Arial" w:cs="Arial" w:eastAsia="Arial" w:hAnsi="Arial"/>
          <w:sz w:val="19"/>
          <w:szCs w:val="19"/>
          <w:color w:val="auto"/>
        </w:rPr>
      </w:pPr>
      <w:r>
        <w:rPr>
          <w:rFonts w:ascii="Arial" w:cs="Arial" w:eastAsia="Arial" w:hAnsi="Arial"/>
          <w:sz w:val="19"/>
          <w:szCs w:val="19"/>
          <w:i w:val="1"/>
          <w:iCs w:val="1"/>
          <w:color w:val="auto"/>
        </w:rPr>
        <w:t>Non-Replicating Design</w:t>
      </w:r>
      <w:r>
        <w:rPr>
          <w:rFonts w:ascii="Arial" w:cs="Arial" w:eastAsia="Arial" w:hAnsi="Arial"/>
          <w:sz w:val="19"/>
          <w:szCs w:val="19"/>
          <w:color w:val="auto"/>
        </w:rPr>
        <w:t>. Engineering the adenovirus to remove replication ability reduces the potential for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viral shedding, something which is particularly important in clinical applications such as prostate cancer. There is no need for </w:t>
      </w:r>
      <w:r>
        <w:rPr>
          <w:rFonts w:ascii="Arial" w:cs="Arial" w:eastAsia="Arial" w:hAnsi="Arial"/>
          <w:sz w:val="19"/>
          <w:szCs w:val="19"/>
          <w:i w:val="1"/>
          <w:iCs w:val="1"/>
          <w:color w:val="auto"/>
        </w:rPr>
        <w:t>in vivo</w:t>
      </w:r>
      <w:r>
        <w:rPr>
          <w:rFonts w:ascii="Arial" w:cs="Arial" w:eastAsia="Arial" w:hAnsi="Arial"/>
          <w:sz w:val="19"/>
          <w:szCs w:val="19"/>
          <w:color w:val="auto"/>
        </w:rPr>
        <w:t xml:space="preserve"> amplification as the virus is highly immunogenic and can be administered at high titers.</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color w:val="auto"/>
        </w:rPr>
        <w:t>Key attributes of our CAN-3110 platform include:</w:t>
      </w:r>
    </w:p>
    <w:p>
      <w:pPr>
        <w:spacing w:after="0" w:line="120" w:lineRule="exact"/>
        <w:rPr>
          <w:sz w:val="20"/>
          <w:szCs w:val="20"/>
          <w:color w:val="auto"/>
        </w:rPr>
      </w:pPr>
    </w:p>
    <w:p>
      <w:pPr>
        <w:ind w:left="980" w:hanging="361"/>
        <w:spacing w:after="0" w:line="25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Capacity for selective replication in the tumor. </w:t>
      </w:r>
      <w:r>
        <w:rPr>
          <w:rFonts w:ascii="Arial" w:cs="Arial" w:eastAsia="Arial" w:hAnsi="Arial"/>
          <w:sz w:val="18"/>
          <w:szCs w:val="18"/>
          <w:color w:val="auto"/>
        </w:rPr>
        <w:t>There is a strong rationale for use of a replication-competent</w:t>
      </w:r>
      <w:r>
        <w:rPr>
          <w:rFonts w:ascii="Arial" w:cs="Arial" w:eastAsia="Arial" w:hAnsi="Arial"/>
          <w:sz w:val="18"/>
          <w:szCs w:val="18"/>
          <w:i w:val="1"/>
          <w:iCs w:val="1"/>
          <w:color w:val="auto"/>
        </w:rPr>
        <w:t xml:space="preserve"> </w:t>
      </w:r>
      <w:r>
        <w:rPr>
          <w:rFonts w:ascii="Arial" w:cs="Arial" w:eastAsia="Arial" w:hAnsi="Arial"/>
          <w:sz w:val="18"/>
          <w:szCs w:val="18"/>
          <w:color w:val="auto"/>
        </w:rPr>
        <w:t>virus that is designed to provide potent oncolysis and viral amplification in tumors characterized by high volume or located in less anatomically accessible areas, such as recurrent HGG. We have engineered CAN-3110 to selectively replicate only within tumors. This tumor specific replication ability of CAN-3110 is regulated by the expression of ICP34.5, a gene encoding for a protein that permits viral replication even in the presence of the interferon response that is normally able to quell viral infection. In the CAN-3110 construct, ICP34.5 expression is driven by the expression of Nestin, a protein largely expressed in certain tumors, like gliomas, but not in healthy brain tissue, thereby enabling replication specifically in the context of brain tumors. We believe our HSV-based platform will allow us to implement additional genetic modifications to leverage the use of CAN-3110 in recurrent HGG and in other tumor types expressing Nestin.</w:t>
      </w:r>
    </w:p>
    <w:p>
      <w:pPr>
        <w:spacing w:after="0" w:line="8" w:lineRule="exact"/>
        <w:rPr>
          <w:rFonts w:ascii="Arial" w:cs="Arial" w:eastAsia="Arial" w:hAnsi="Arial"/>
          <w:sz w:val="18"/>
          <w:szCs w:val="18"/>
          <w:color w:val="auto"/>
        </w:rPr>
      </w:pPr>
    </w:p>
    <w:p>
      <w:pPr>
        <w:ind w:left="980" w:right="140" w:hanging="361"/>
        <w:spacing w:after="0" w:line="260" w:lineRule="auto"/>
        <w:tabs>
          <w:tab w:leader="none" w:pos="980" w:val="left"/>
        </w:tabs>
        <w:numPr>
          <w:ilvl w:val="0"/>
          <w:numId w:val="17"/>
        </w:numPr>
        <w:rPr>
          <w:rFonts w:ascii="Arial" w:cs="Arial" w:eastAsia="Arial" w:hAnsi="Arial"/>
          <w:sz w:val="19"/>
          <w:szCs w:val="19"/>
          <w:color w:val="auto"/>
        </w:rPr>
      </w:pPr>
      <w:r>
        <w:rPr>
          <w:rFonts w:ascii="Arial" w:cs="Arial" w:eastAsia="Arial" w:hAnsi="Arial"/>
          <w:sz w:val="19"/>
          <w:szCs w:val="19"/>
          <w:i w:val="1"/>
          <w:iCs w:val="1"/>
          <w:color w:val="auto"/>
        </w:rPr>
        <w:t xml:space="preserve">Oncolytic activity combined with immunostimulatory properties. </w:t>
      </w:r>
      <w:r>
        <w:rPr>
          <w:rFonts w:ascii="Arial" w:cs="Arial" w:eastAsia="Arial" w:hAnsi="Arial"/>
          <w:sz w:val="19"/>
          <w:szCs w:val="19"/>
          <w:color w:val="auto"/>
        </w:rPr>
        <w:t>CAN-3110 is designed to persist and</w:t>
      </w:r>
      <w:r>
        <w:rPr>
          <w:rFonts w:ascii="Arial" w:cs="Arial" w:eastAsia="Arial" w:hAnsi="Arial"/>
          <w:sz w:val="19"/>
          <w:szCs w:val="19"/>
          <w:i w:val="1"/>
          <w:iCs w:val="1"/>
          <w:color w:val="auto"/>
        </w:rPr>
        <w:t xml:space="preserve"> </w:t>
      </w:r>
      <w:r>
        <w:rPr>
          <w:rFonts w:ascii="Arial" w:cs="Arial" w:eastAsia="Arial" w:hAnsi="Arial"/>
          <w:sz w:val="19"/>
          <w:szCs w:val="19"/>
          <w:color w:val="auto"/>
        </w:rPr>
        <w:t>replicate at the site of the tumor. Viral replication is accompanied by tumor oncolysis, with release of tumor antigens in the microenvironment and activation of a local systemic immune response.</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auto"/>
        </w:rPr>
        <w:t>Key attributes of the enLIGHTEN™ Discovery Platform include:</w:t>
      </w:r>
    </w:p>
    <w:p>
      <w:pPr>
        <w:spacing w:after="0" w:line="128" w:lineRule="exact"/>
        <w:rPr>
          <w:sz w:val="20"/>
          <w:szCs w:val="20"/>
          <w:color w:val="auto"/>
        </w:rPr>
      </w:pPr>
    </w:p>
    <w:p>
      <w:pPr>
        <w:ind w:left="980" w:right="400" w:hanging="361"/>
        <w:spacing w:after="0" w:line="272" w:lineRule="auto"/>
        <w:tabs>
          <w:tab w:leader="none" w:pos="980" w:val="left"/>
        </w:tabs>
        <w:numPr>
          <w:ilvl w:val="0"/>
          <w:numId w:val="18"/>
        </w:numPr>
        <w:rPr>
          <w:rFonts w:ascii="Arial" w:cs="Arial" w:eastAsia="Arial" w:hAnsi="Arial"/>
          <w:sz w:val="19"/>
          <w:szCs w:val="19"/>
          <w:color w:val="auto"/>
        </w:rPr>
      </w:pPr>
      <w:r>
        <w:rPr>
          <w:rFonts w:ascii="Arial" w:cs="Arial" w:eastAsia="Arial" w:hAnsi="Arial"/>
          <w:sz w:val="19"/>
          <w:szCs w:val="19"/>
          <w:i w:val="1"/>
          <w:iCs w:val="1"/>
          <w:color w:val="auto"/>
        </w:rPr>
        <w:t>Strong focus on human biology, including deep phenotyping of human tumors, to increase probability of success</w:t>
      </w:r>
    </w:p>
    <w:p>
      <w:pPr>
        <w:spacing w:after="0" w:line="53" w:lineRule="exact"/>
        <w:rPr>
          <w:rFonts w:ascii="Arial" w:cs="Arial" w:eastAsia="Arial" w:hAnsi="Arial"/>
          <w:sz w:val="19"/>
          <w:szCs w:val="19"/>
          <w:color w:val="auto"/>
        </w:rPr>
      </w:pPr>
    </w:p>
    <w:p>
      <w:pPr>
        <w:ind w:left="980" w:right="300" w:hanging="361"/>
        <w:spacing w:after="0" w:line="281" w:lineRule="auto"/>
        <w:tabs>
          <w:tab w:leader="none" w:pos="980" w:val="left"/>
        </w:tabs>
        <w:numPr>
          <w:ilvl w:val="0"/>
          <w:numId w:val="18"/>
        </w:numPr>
        <w:rPr>
          <w:rFonts w:ascii="Arial" w:cs="Arial" w:eastAsia="Arial" w:hAnsi="Arial"/>
          <w:sz w:val="19"/>
          <w:szCs w:val="19"/>
          <w:color w:val="auto"/>
        </w:rPr>
      </w:pPr>
      <w:r>
        <w:rPr>
          <w:rFonts w:ascii="Arial" w:cs="Arial" w:eastAsia="Arial" w:hAnsi="Arial"/>
          <w:sz w:val="19"/>
          <w:szCs w:val="19"/>
          <w:i w:val="1"/>
          <w:iCs w:val="1"/>
          <w:color w:val="auto"/>
        </w:rPr>
        <w:t xml:space="preserve">Data driven selection of the payload. </w:t>
      </w:r>
      <w:r>
        <w:rPr>
          <w:rFonts w:ascii="Arial" w:cs="Arial" w:eastAsia="Arial" w:hAnsi="Arial"/>
          <w:sz w:val="19"/>
          <w:szCs w:val="19"/>
          <w:color w:val="auto"/>
        </w:rPr>
        <w:t>The use of advanced analytics on proprietary and publicly available</w:t>
      </w:r>
      <w:r>
        <w:rPr>
          <w:rFonts w:ascii="Arial" w:cs="Arial" w:eastAsia="Arial" w:hAnsi="Arial"/>
          <w:sz w:val="19"/>
          <w:szCs w:val="19"/>
          <w:i w:val="1"/>
          <w:iCs w:val="1"/>
          <w:color w:val="auto"/>
        </w:rPr>
        <w:t xml:space="preserve"> </w:t>
      </w:r>
      <w:r>
        <w:rPr>
          <w:rFonts w:ascii="Arial" w:cs="Arial" w:eastAsia="Arial" w:hAnsi="Arial"/>
          <w:sz w:val="19"/>
          <w:szCs w:val="19"/>
          <w:color w:val="auto"/>
        </w:rPr>
        <w:t>datasets enables us to select what we believe is the best payload for combinatory strategy in a specific</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w:t>
      </w:r>
    </w:p>
    <w:p>
      <w:pPr>
        <w:sectPr>
          <w:pgSz w:w="12240" w:h="15840" w:orient="portrait"/>
          <w:cols w:equalWidth="0" w:num="1">
            <w:col w:w="10060"/>
          </w:cols>
          <w:pgMar w:left="1080" w:top="1062" w:right="1100" w:bottom="173" w:gutter="0" w:footer="0" w:header="0"/>
        </w:sectPr>
      </w:pPr>
    </w:p>
    <w:bookmarkStart w:id="14" w:name="page15"/>
    <w:bookmarkEnd w:id="14"/>
    <w:p>
      <w:pPr>
        <w:ind w:left="980" w:right="420"/>
        <w:spacing w:after="0" w:line="281" w:lineRule="auto"/>
        <w:rPr>
          <w:sz w:val="20"/>
          <w:szCs w:val="20"/>
          <w:color w:val="auto"/>
        </w:rPr>
      </w:pPr>
      <w:r>
        <w:rPr>
          <w:rFonts w:ascii="Arial" w:cs="Arial" w:eastAsia="Arial" w:hAnsi="Arial"/>
          <w:sz w:val="19"/>
          <w:szCs w:val="19"/>
          <w:color w:val="auto"/>
        </w:rPr>
        <w:t>indication, rationalizing our payload selection, de-risking development and maximizing our probability of success</w:t>
      </w:r>
      <w:r>
        <w:rPr>
          <w:rFonts w:ascii="Arial" w:cs="Arial" w:eastAsia="Arial" w:hAnsi="Arial"/>
          <w:sz w:val="19"/>
          <w:szCs w:val="19"/>
          <w:i w:val="1"/>
          <w:iCs w:val="1"/>
          <w:color w:val="auto"/>
        </w:rPr>
        <w:t>.</w:t>
      </w:r>
    </w:p>
    <w:p>
      <w:pPr>
        <w:spacing w:after="0" w:line="45" w:lineRule="exact"/>
        <w:rPr>
          <w:sz w:val="20"/>
          <w:szCs w:val="20"/>
          <w:color w:val="auto"/>
        </w:rPr>
      </w:pPr>
    </w:p>
    <w:p>
      <w:pPr>
        <w:ind w:left="980" w:right="60" w:hanging="361"/>
        <w:spacing w:after="0" w:line="260" w:lineRule="auto"/>
        <w:tabs>
          <w:tab w:leader="none" w:pos="980" w:val="left"/>
        </w:tabs>
        <w:numPr>
          <w:ilvl w:val="1"/>
          <w:numId w:val="19"/>
        </w:numPr>
        <w:rPr>
          <w:rFonts w:ascii="Arial" w:cs="Arial" w:eastAsia="Arial" w:hAnsi="Arial"/>
          <w:sz w:val="19"/>
          <w:szCs w:val="19"/>
          <w:color w:val="auto"/>
        </w:rPr>
      </w:pPr>
      <w:r>
        <w:rPr>
          <w:rFonts w:ascii="Arial" w:cs="Arial" w:eastAsia="Arial" w:hAnsi="Arial"/>
          <w:sz w:val="19"/>
          <w:szCs w:val="19"/>
          <w:i w:val="1"/>
          <w:iCs w:val="1"/>
          <w:color w:val="auto"/>
        </w:rPr>
        <w:t>Use of HSV based on its high capacity for genetic cargos</w:t>
      </w:r>
      <w:r>
        <w:rPr>
          <w:rFonts w:ascii="Arial" w:cs="Arial" w:eastAsia="Arial" w:hAnsi="Arial"/>
          <w:sz w:val="19"/>
          <w:szCs w:val="19"/>
          <w:color w:val="auto"/>
        </w:rPr>
        <w:t>. Our HSV-based platform allows the introduction</w:t>
      </w:r>
      <w:r>
        <w:rPr>
          <w:rFonts w:ascii="Arial" w:cs="Arial" w:eastAsia="Arial" w:hAnsi="Arial"/>
          <w:sz w:val="19"/>
          <w:szCs w:val="19"/>
          <w:i w:val="1"/>
          <w:iCs w:val="1"/>
          <w:color w:val="auto"/>
        </w:rPr>
        <w:t xml:space="preserve"> </w:t>
      </w:r>
      <w:r>
        <w:rPr>
          <w:rFonts w:ascii="Arial" w:cs="Arial" w:eastAsia="Arial" w:hAnsi="Arial"/>
          <w:sz w:val="19"/>
          <w:szCs w:val="19"/>
          <w:color w:val="auto"/>
        </w:rPr>
        <w:t>of large genetic cargos, such as multiple immunomodulatory genes that may further enhance the anti-tumor immune response.</w:t>
      </w:r>
    </w:p>
    <w:p>
      <w:pPr>
        <w:spacing w:after="0" w:line="65" w:lineRule="exact"/>
        <w:rPr>
          <w:rFonts w:ascii="Arial" w:cs="Arial" w:eastAsia="Arial" w:hAnsi="Arial"/>
          <w:sz w:val="19"/>
          <w:szCs w:val="19"/>
          <w:color w:val="auto"/>
        </w:rPr>
      </w:pPr>
    </w:p>
    <w:p>
      <w:pPr>
        <w:ind w:left="980" w:right="200" w:hanging="491"/>
        <w:spacing w:after="0" w:line="260" w:lineRule="auto"/>
        <w:tabs>
          <w:tab w:leader="none" w:pos="980" w:val="left"/>
        </w:tabs>
        <w:numPr>
          <w:ilvl w:val="0"/>
          <w:numId w:val="19"/>
        </w:numPr>
        <w:rPr>
          <w:rFonts w:ascii="Arial" w:cs="Arial" w:eastAsia="Arial" w:hAnsi="Arial"/>
          <w:sz w:val="19"/>
          <w:szCs w:val="19"/>
          <w:color w:val="auto"/>
        </w:rPr>
      </w:pPr>
      <w:r>
        <w:rPr>
          <w:rFonts w:ascii="Arial" w:cs="Arial" w:eastAsia="Arial" w:hAnsi="Arial"/>
          <w:sz w:val="19"/>
          <w:szCs w:val="19"/>
          <w:i w:val="1"/>
          <w:iCs w:val="1"/>
          <w:color w:val="auto"/>
        </w:rPr>
        <w:t xml:space="preserve">Amenable to engineered modifications. </w:t>
      </w:r>
      <w:r>
        <w:rPr>
          <w:rFonts w:ascii="Arial" w:cs="Arial" w:eastAsia="Arial" w:hAnsi="Arial"/>
          <w:sz w:val="19"/>
          <w:szCs w:val="19"/>
          <w:color w:val="auto"/>
        </w:rPr>
        <w:t>Our knowledge of virus biology allows us to make modifications,</w:t>
      </w:r>
      <w:r>
        <w:rPr>
          <w:rFonts w:ascii="Arial" w:cs="Arial" w:eastAsia="Arial" w:hAnsi="Arial"/>
          <w:sz w:val="19"/>
          <w:szCs w:val="19"/>
          <w:i w:val="1"/>
          <w:iCs w:val="1"/>
          <w:color w:val="auto"/>
        </w:rPr>
        <w:t xml:space="preserve"> </w:t>
      </w:r>
      <w:r>
        <w:rPr>
          <w:rFonts w:ascii="Arial" w:cs="Arial" w:eastAsia="Arial" w:hAnsi="Arial"/>
          <w:sz w:val="19"/>
          <w:szCs w:val="19"/>
          <w:color w:val="auto"/>
        </w:rPr>
        <w:t>such as those already present in CAN-3110 to target certain tumor types. Leveraging these modifications, we can select the best viral vector to deliver the selected payload in a specific indication.</w:t>
      </w:r>
    </w:p>
    <w:p>
      <w:pPr>
        <w:spacing w:after="0" w:line="6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Pipeline</w:t>
      </w:r>
    </w:p>
    <w:p>
      <w:pPr>
        <w:spacing w:after="0" w:line="51" w:lineRule="exact"/>
        <w:rPr>
          <w:sz w:val="20"/>
          <w:szCs w:val="20"/>
          <w:color w:val="auto"/>
        </w:rPr>
      </w:pPr>
    </w:p>
    <w:p>
      <w:pPr>
        <w:ind w:right="820"/>
        <w:spacing w:after="0" w:line="272" w:lineRule="auto"/>
        <w:rPr>
          <w:sz w:val="20"/>
          <w:szCs w:val="20"/>
          <w:color w:val="auto"/>
        </w:rPr>
      </w:pPr>
      <w:r>
        <w:rPr>
          <w:rFonts w:ascii="Arial" w:cs="Arial" w:eastAsia="Arial" w:hAnsi="Arial"/>
          <w:sz w:val="19"/>
          <w:szCs w:val="19"/>
          <w:color w:val="auto"/>
        </w:rPr>
        <w:t>We have an advanced pipeline of late-stage and early-stage clinical trials with our two most advanced product candidates, CAN-2409 and CAN-3110.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393180" cy="27489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extLst>
                    </a:blip>
                    <a:srcRect/>
                    <a:stretch>
                      <a:fillRect/>
                    </a:stretch>
                  </pic:blipFill>
                  <pic:spPr bwMode="auto">
                    <a:xfrm>
                      <a:off x="0" y="0"/>
                      <a:ext cx="6393180" cy="2748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40"/>
        <w:spacing w:after="0" w:line="242" w:lineRule="auto"/>
        <w:rPr>
          <w:sz w:val="20"/>
          <w:szCs w:val="20"/>
          <w:color w:val="auto"/>
        </w:rPr>
      </w:pPr>
      <w:r>
        <w:rPr>
          <w:rFonts w:ascii="Arial" w:cs="Arial" w:eastAsia="Arial" w:hAnsi="Arial"/>
          <w:sz w:val="19"/>
          <w:szCs w:val="19"/>
          <w:color w:val="auto"/>
        </w:rPr>
        <w:t>CAN-2409, formerly known as gene mediated cytotoxic immunotherapy (GMCI), is our most advanced product candidate. It is a replication defective adenovirus that has been genetically modified to express the gene encoding the HSV-thymidine kinase enzyme. This enzyme activates the prodrug, valacyclovir, a widely available, generally well-tolerated antiviral at the site of the tumor, generating a powerful patient-specific anti-tumor immune response. We believe there are three key aspects of the mechanism of action. First, the direct, cellular killing activity is based on the transformation of valacyclovir into a toxic nucleotide analogue that disrupts DNA synthesis and repair. This phenomenon occurs preferentially in actively dividing cancer cells, thereby providing tumor specificity. This DNA repair inhibition is also hypothesized to be the mechanistic explanation behind the encouraging pre-clinical and clinical activity of CAN-2409 in combination with radiotherapy, a treatment known to cause DNA breaks requiring repair for continued cellular survival. Second, adenoviral capsid proteins themselves also directly trigger an immuno-inflammatory response through the establishment of a proinflammatory tumor microenvironment, resulting in the expression of proinflammatory cytokines, chemokines, and adhesion molecules that contribute to the optimal conditions to immunize against the tumor antigens that are released in the tumor microenvironment as a direct result of the formed toxic nucleotide analogues. Together, this results in the recruitment, activation and proliferation of anti-tumor effector cells, in particular CD8+ cytotoxic T cells. Consequently, the localized death of tumor cells releases numerous antigens that can be recognized by the patient’s own immune system, thereby training the immune system to recognize, target and destroy cancer cells bearing the same antigens that have spread to other sites in the body.</w:t>
      </w:r>
    </w:p>
    <w:p>
      <w:pPr>
        <w:spacing w:after="0" w:line="89" w:lineRule="exact"/>
        <w:rPr>
          <w:sz w:val="20"/>
          <w:szCs w:val="20"/>
          <w:color w:val="auto"/>
        </w:rPr>
      </w:pPr>
    </w:p>
    <w:p>
      <w:pPr>
        <w:spacing w:after="0" w:line="246" w:lineRule="auto"/>
        <w:rPr>
          <w:sz w:val="20"/>
          <w:szCs w:val="20"/>
          <w:color w:val="auto"/>
        </w:rPr>
      </w:pPr>
      <w:r>
        <w:rPr>
          <w:rFonts w:ascii="Arial" w:cs="Arial" w:eastAsia="Arial" w:hAnsi="Arial"/>
          <w:sz w:val="19"/>
          <w:szCs w:val="19"/>
          <w:color w:val="auto"/>
        </w:rPr>
        <w:t>To date, CAN-2409 has been administered to over 1000 patients with cancer, many of whom are in ongoing, placebo-controlled randomized clinical trials. In total, we have conducted more than 10 clinical trials with CAN-2409 in a range of solid tumor indications. We have seen encouraging clinical activity and a favorable tolerability profile with CAN-2409 in both monotherapy and combination settings with radiotherapy, ICI therapy, androgen deprivation therapy (ADT), chemotherapy and surgery. Based on the totality of our clinical data generated to date, we are currently pursuing indications in lung, pancreatic, and prostate cancer, which we believe all have great potential to address the unmet need.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11</w:t>
      </w:r>
    </w:p>
    <w:p>
      <w:pPr>
        <w:sectPr>
          <w:pgSz w:w="12240" w:h="15840" w:orient="portrait"/>
          <w:cols w:equalWidth="0" w:num="1">
            <w:col w:w="10060"/>
          </w:cols>
          <w:pgMar w:left="1080" w:top="1062" w:right="1100" w:bottom="173" w:gutter="0" w:footer="0" w:header="0"/>
        </w:sectPr>
      </w:pPr>
    </w:p>
    <w:bookmarkStart w:id="15" w:name="page16"/>
    <w:bookmarkEnd w:id="15"/>
    <w:p>
      <w:pPr>
        <w:ind w:right="80"/>
        <w:spacing w:after="0" w:line="243" w:lineRule="auto"/>
        <w:rPr>
          <w:sz w:val="20"/>
          <w:szCs w:val="20"/>
          <w:color w:val="auto"/>
        </w:rPr>
      </w:pPr>
      <w:r>
        <w:rPr>
          <w:rFonts w:ascii="Arial" w:cs="Arial" w:eastAsia="Arial" w:hAnsi="Arial"/>
          <w:sz w:val="19"/>
          <w:szCs w:val="19"/>
          <w:color w:val="auto"/>
        </w:rPr>
        <w:t>We are conducting a phase 3 clinical trial of CAN-2409 under agreement with the FDA through the SPA process in newly diagnosed localized prostate cancer in intermediate- and certain high-risk patients in combination with the SoC that comprises radiotherapy and optional ADT. Our SPA provides FDA concurrence that our key endpoints and specific critical elements of our trial design are adequate to support a future marketing application if, among other things, we achieve the primary endpoint in the trial. The clinical trial is randomized, triple-blinded and placebo-controlled. It targeted enrollment of approximately 700 patients and was fully enrolled with 711 patients in September 2021, with topline data anticipated in the fourth quarter of 2024. We have also received fast track designation by the FDA for the development of CAN-2409 for the treatment of localized, primary prostate cancer in combination with radiotherapy to improve the local control rate, decrease recurrence and improve disease-free survival. We expect that if the trial is successful and if we obtain FDA approval, CAN-2409 could be the first new FDA approved pharmacologic treatment available in over 30 years as a first-line therapeutic for the over 100,000 patients who are newly diagnosed with localized prostate cancer each year in the United States.</w:t>
      </w:r>
    </w:p>
    <w:p>
      <w:pPr>
        <w:spacing w:after="0" w:line="87" w:lineRule="exact"/>
        <w:rPr>
          <w:sz w:val="20"/>
          <w:szCs w:val="20"/>
          <w:color w:val="auto"/>
        </w:rPr>
      </w:pPr>
    </w:p>
    <w:p>
      <w:pPr>
        <w:spacing w:after="0" w:line="250" w:lineRule="auto"/>
        <w:rPr>
          <w:sz w:val="20"/>
          <w:szCs w:val="20"/>
          <w:color w:val="auto"/>
        </w:rPr>
      </w:pPr>
      <w:r>
        <w:rPr>
          <w:rFonts w:ascii="Arial" w:cs="Arial" w:eastAsia="Arial" w:hAnsi="Arial"/>
          <w:sz w:val="19"/>
          <w:szCs w:val="19"/>
          <w:color w:val="auto"/>
        </w:rPr>
        <w:t>We have also completed enrollment for a phase 2 clinical trial of CAN-2409 as monotherapy in newly diagnosed prostate cancer patients under active surveillance. This trial has recruited 187 patients with low-, intermediate- and certain high-risk localized prostate cancer. We expect to announce topline data in the fourth quarter of 2024. We believe that this trial, if successful, could position CAN-2409 as a first-line monotherapy treatment for patients with low- and intermediate-risk prostate cancer, thereby meaningfully expanding the addressable patient population.</w:t>
      </w:r>
    </w:p>
    <w:p>
      <w:pPr>
        <w:spacing w:after="0" w:line="74" w:lineRule="exact"/>
        <w:rPr>
          <w:sz w:val="20"/>
          <w:szCs w:val="20"/>
          <w:color w:val="auto"/>
        </w:rPr>
      </w:pPr>
    </w:p>
    <w:p>
      <w:pPr>
        <w:ind w:right="20"/>
        <w:spacing w:after="0" w:line="241" w:lineRule="auto"/>
        <w:rPr>
          <w:sz w:val="20"/>
          <w:szCs w:val="20"/>
          <w:color w:val="auto"/>
        </w:rPr>
      </w:pPr>
      <w:r>
        <w:rPr>
          <w:rFonts w:ascii="Arial" w:cs="Arial" w:eastAsia="Arial" w:hAnsi="Arial"/>
          <w:sz w:val="19"/>
          <w:szCs w:val="19"/>
          <w:color w:val="auto"/>
        </w:rPr>
        <w:t>In NSCLC, we have observed monotherapy activity of CAN-2409 in a phase 1 biomarker focused, window of opportunity clinical trial. In 2020, we initiated a phase 2 clinical trial evaluating CAN-2409 in combination with PD-(L)1 checkpoint inhibitors for patients with inadequate response to PD-(L)1 ICI. This open-label clinical trial was originally amended to target enrollment of approximately 80 patients with stage III/IV NSCLC in two separate cohorts. The cohorts are defined based on response to ICI at the time of enrollment. Cohort 1 addresses patients with stable disease at enrollment. Cohort 2 enrolls patients with progressive disease after at least 18 weeks of ICI treatment. Patients will continue treatment with their initial checkpoint inhibitor and CAN-2409 will be added to their regimen. The primary efficacy endpoints for this trial are tumor response as measured by RECIST criteria including overall response rate (ORR) and/or disease control rate (DCR). We reported initial data from this trial at the ASCO Annual Meeting in June 2022 and during our Research and Development Day in December 2022. These data were further supported in an update announced in September 2023, based on a data cutoff of August 1, 2023. In this September 2023 announcement, we presented updated data which showed evidence of local and systemic anti-tumor activity; a DCR of 77% (20/26) in patients entering the trial with disease progression (cohort 2); sustained and ongoing clinical responses greater than 1 year; favorable change in the trajectory of tumor progression; decreased tumor size of RECIST target lesions in most patients; reduced uninjected tumor size in 14/21 patients (67%); an overall response rate of 13% (4/30) across cohorts 1 and 2; durable disease stabilization translating into encouraging preliminary evidence of progression-free survival; consistent induction of local and systemic cytotoxic T cell response; increased infiltration of CD8+ T cells in the tumor microenvironment; systemic expansion of effector T cells and increase in soluble granzyme B levels in the peripheral blood; and a favorable safety/tolerability data with most treatment-related adverse events being grade 1/2. In December 2023, the recruitment of this study was paused as we completed target enrollment for cohort 2. We received FDA fast track designation for CAN-2409 plus valacyclovir in combination with pembrolizumab in order to improve survival or delay progression in patients with stage III/stage IV in NSCLC who are resistant to first line PD-(L)1 inhibitor therapy and who do not have activating molecular driver mutations or have progressed on directed molecular therapy in April 2023. We anticipate presenting topline overall survival data in the second quarter of 2024.</w:t>
      </w:r>
    </w:p>
    <w:p>
      <w:pPr>
        <w:spacing w:after="0" w:line="98" w:lineRule="exact"/>
        <w:rPr>
          <w:sz w:val="20"/>
          <w:szCs w:val="20"/>
          <w:color w:val="auto"/>
        </w:rPr>
      </w:pPr>
    </w:p>
    <w:p>
      <w:pPr>
        <w:ind w:right="60"/>
        <w:spacing w:after="0" w:line="243" w:lineRule="auto"/>
        <w:rPr>
          <w:sz w:val="20"/>
          <w:szCs w:val="20"/>
          <w:color w:val="auto"/>
        </w:rPr>
      </w:pPr>
      <w:r>
        <w:rPr>
          <w:rFonts w:ascii="Arial" w:cs="Arial" w:eastAsia="Arial" w:hAnsi="Arial"/>
          <w:sz w:val="19"/>
          <w:szCs w:val="19"/>
          <w:color w:val="auto"/>
        </w:rPr>
        <w:t>In a previous phase 1b trial, patients with pancreatic cancer treated with CAN-2409 in addition to SoC demonstrated a greater survival duration over the expected survival of the patients treated with the existing SoC alone in a comparison to historical trial results. Furthermore, in the group of patients where pre- and post-treatment tumor biopsies were available, a statistically significant increase in the number of CD8+ tumor infiltrating lymphocytes was observed. We have initiated a randomized phase 2 clinical trial evaluating CAN-2409 in borderline-resectable pancreatic adenocarcinoma. In March 2023, in connection with our cost management and dynamic portfolio management initiatives, we elected to pause new enrollment in this randomized phase 2 clinical trial, subject to additional funding. Despite the pause in patient enrollment, we presented initial clinical data in the fourth quarter of 2023. The initial data showed prolonged and sustained survival in patients treated with CAN-2409 but not in the control arm, We observed a separation of the survival curves with an estimated survival rate of 71% in the treatment arm, compared to 16.7% in the control arm at both 24 and 36 months after treatment. We received FDA fast track designation for CAN-2409 plus prodrug (valacyclovir) for the treatment of patients with PDAC to improve overall survival in December 2023. We expect to present an update of the survival data in the second quarter of 2024.</w:t>
      </w:r>
    </w:p>
    <w:p>
      <w:pPr>
        <w:spacing w:after="0" w:line="84" w:lineRule="exact"/>
        <w:rPr>
          <w:sz w:val="20"/>
          <w:szCs w:val="20"/>
          <w:color w:val="auto"/>
        </w:rPr>
      </w:pPr>
    </w:p>
    <w:p>
      <w:pPr>
        <w:ind w:right="200"/>
        <w:spacing w:after="0" w:line="267" w:lineRule="auto"/>
        <w:rPr>
          <w:sz w:val="20"/>
          <w:szCs w:val="20"/>
          <w:color w:val="auto"/>
        </w:rPr>
      </w:pPr>
      <w:r>
        <w:rPr>
          <w:rFonts w:ascii="Arial" w:cs="Arial" w:eastAsia="Arial" w:hAnsi="Arial"/>
          <w:sz w:val="18"/>
          <w:szCs w:val="18"/>
          <w:color w:val="auto"/>
        </w:rPr>
        <w:t>Our second viral immunotherapy platform is based on a novel, next generation, genetically modified HSV that induces tumor specific oncolysis. The HSV-based platform enables generation of both replication-competent and replication-defective viral product candidates as well as capacity to clone, in the vector, up to five transgenes that will allow us to optimize our virus profile for different tumor settings. CAN-3110, our first HSV-based product candidate, has been engineered for enhanced specificity and tumor cell killing, while minimizing toxicity on healthy tissue. CAN-3110 was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ectPr>
          <w:pgSz w:w="12240" w:h="15840" w:orient="portrait"/>
          <w:cols w:equalWidth="0" w:num="1">
            <w:col w:w="10080"/>
          </w:cols>
          <w:pgMar w:left="1080" w:top="1062" w:right="1080" w:bottom="173" w:gutter="0" w:footer="0" w:header="0"/>
        </w:sectPr>
      </w:pPr>
    </w:p>
    <w:bookmarkStart w:id="16" w:name="page17"/>
    <w:bookmarkEnd w:id="16"/>
    <w:p>
      <w:pPr>
        <w:ind w:right="120"/>
        <w:spacing w:after="0" w:line="244" w:lineRule="auto"/>
        <w:rPr>
          <w:sz w:val="20"/>
          <w:szCs w:val="20"/>
          <w:color w:val="auto"/>
        </w:rPr>
      </w:pPr>
      <w:r>
        <w:rPr>
          <w:rFonts w:ascii="Arial" w:cs="Arial" w:eastAsia="Arial" w:hAnsi="Arial"/>
          <w:sz w:val="19"/>
          <w:szCs w:val="19"/>
          <w:color w:val="auto"/>
        </w:rPr>
        <w:t xml:space="preserve">formerly known as rQNestin34.5v.2. An investigator-sponsored phase 1b clinical trial is ongoing with CAN-3110 in our initial target indication of recurrent HGG and we reported additional biomarker results in November 2021. During our Research and Development Day in December 2022, we presented updated data demonstrating that the treatment was well tolerated, with no observed dose-limiting toxicity. This was further supported during an oral presentation at the ASGCT Annual Meeting in May of 2023, where we reported mOS of 11.8 months in arm A and 12.0 months in arm B with a single dose, based on a data cutoff date of April 20, 2023. Additionally, the data showed evidence of immune activation and persistent HSV-1 antigen and HSV-1 replication consistent with the mechanism of action. Clinical and biomarker data for the first 41 patients treated with a single injection of CAN-3110 were published in </w:t>
      </w:r>
      <w:r>
        <w:rPr>
          <w:rFonts w:ascii="Arial" w:cs="Arial" w:eastAsia="Arial" w:hAnsi="Arial"/>
          <w:sz w:val="19"/>
          <w:szCs w:val="19"/>
          <w:i w:val="1"/>
          <w:iCs w:val="1"/>
          <w:color w:val="auto"/>
        </w:rPr>
        <w:t>Nature</w:t>
      </w:r>
      <w:r>
        <w:rPr>
          <w:rFonts w:ascii="Arial" w:cs="Arial" w:eastAsia="Arial" w:hAnsi="Arial"/>
          <w:sz w:val="19"/>
          <w:szCs w:val="19"/>
          <w:color w:val="auto"/>
        </w:rPr>
        <w:t xml:space="preserve"> in October 2023. The FDA has granted fast track designation to CAN-3110 for the treatment of patients with recurrent HGG to improve overall survival in February 2024. We are currently evaluating the effects of multiple doses of CAN-3110 in recurrent HGG supported by the Break Through Cancer foundation.</w:t>
      </w:r>
    </w:p>
    <w:p>
      <w:pPr>
        <w:spacing w:after="0" w:line="80" w:lineRule="exact"/>
        <w:rPr>
          <w:sz w:val="20"/>
          <w:szCs w:val="20"/>
          <w:color w:val="auto"/>
        </w:rPr>
      </w:pPr>
    </w:p>
    <w:p>
      <w:pPr>
        <w:ind w:right="100"/>
        <w:spacing w:after="0" w:line="260" w:lineRule="auto"/>
        <w:rPr>
          <w:sz w:val="20"/>
          <w:szCs w:val="20"/>
          <w:color w:val="auto"/>
        </w:rPr>
      </w:pPr>
      <w:r>
        <w:rPr>
          <w:rFonts w:ascii="Arial" w:cs="Arial" w:eastAsia="Arial" w:hAnsi="Arial"/>
          <w:sz w:val="19"/>
          <w:szCs w:val="19"/>
          <w:color w:val="auto"/>
        </w:rPr>
        <w:t>Based on the molecular targeting of CAN-3110, we believe that it could be evaluated in an expanded range of indications in the future, such as other neurologic tumors, melanoma, sarcoma, gastrointestinal stromal tumors, thyroid tumors, and breast cancer.</w:t>
      </w:r>
    </w:p>
    <w:p>
      <w:pPr>
        <w:spacing w:after="0" w:line="65" w:lineRule="exact"/>
        <w:rPr>
          <w:sz w:val="20"/>
          <w:szCs w:val="20"/>
          <w:color w:val="auto"/>
        </w:rPr>
      </w:pPr>
    </w:p>
    <w:p>
      <w:pPr>
        <w:ind w:right="40"/>
        <w:spacing w:after="0" w:line="245" w:lineRule="auto"/>
        <w:rPr>
          <w:sz w:val="20"/>
          <w:szCs w:val="20"/>
          <w:color w:val="auto"/>
        </w:rPr>
      </w:pPr>
      <w:r>
        <w:rPr>
          <w:rFonts w:ascii="Arial" w:cs="Arial" w:eastAsia="Arial" w:hAnsi="Arial"/>
          <w:sz w:val="19"/>
          <w:szCs w:val="19"/>
          <w:color w:val="auto"/>
        </w:rPr>
        <w:t>In addition, we are pursuing novel discovery programs based on our enLIGHTEN™ Discovery Platform. In November 2023, during the SITC 2023 Annual Meeting, we presented two posters describing the key elements of the platform and the development of the first experimental agent from the enLIGHTEN™ Discovery Platform. This first agent, Alpha-201 Macro1, is an investigational viral immunotherapy designed to interfere with the CD47/SIRPα pathway and activate innate immune surveillance. Results demonstrated monotherapy activity following local administration in a preclinical model of lung cancer. Additional preclinical data presented at SITC confirmed the capability of the enLIGHTEN™ Advanced Analytics suite to predict optimal gene payload combinations to arm viral vectors, that enable the design of potential combination therapeutics to overcome tumor resistance especially in cancers resistant to ICI treatment.</w:t>
      </w:r>
    </w:p>
    <w:p>
      <w:pPr>
        <w:spacing w:after="0" w:line="84"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In March 2024, we announced the acceptance of an abstract at AACR 2024 Annual Meeting related to the second candidate from our enLIGHTEN™ Discovery Platform, a first-in-class multimodal immunotherapy for induction of tertiary lymphoid structures as a novel therapeutic strategy for solid tumors.</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Market Opportunity</w:t>
      </w:r>
    </w:p>
    <w:p>
      <w:pPr>
        <w:spacing w:after="0" w:line="124" w:lineRule="exact"/>
        <w:rPr>
          <w:sz w:val="20"/>
          <w:szCs w:val="20"/>
          <w:color w:val="auto"/>
        </w:rPr>
      </w:pPr>
    </w:p>
    <w:p>
      <w:pPr>
        <w:ind w:right="120"/>
        <w:spacing w:after="0" w:line="260" w:lineRule="auto"/>
        <w:rPr>
          <w:sz w:val="20"/>
          <w:szCs w:val="20"/>
          <w:color w:val="auto"/>
        </w:rPr>
      </w:pPr>
      <w:r>
        <w:rPr>
          <w:rFonts w:ascii="Arial" w:cs="Arial" w:eastAsia="Arial" w:hAnsi="Arial"/>
          <w:sz w:val="19"/>
          <w:szCs w:val="19"/>
          <w:color w:val="auto"/>
        </w:rPr>
        <w:t>The four indications where we have the most advanced clinical trials are localized prostate cancer, NSCLC, pancreatic cancer, and recurrent HGG. These types of cancer present substantial market opportunities and are also enabling indications for future expansion into other solid tumors.</w:t>
      </w:r>
    </w:p>
    <w:p>
      <w:pPr>
        <w:spacing w:after="0" w:line="6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Localized Prostate Cancer</w:t>
      </w:r>
    </w:p>
    <w:p>
      <w:pPr>
        <w:spacing w:after="0" w:line="116" w:lineRule="exact"/>
        <w:rPr>
          <w:sz w:val="20"/>
          <w:szCs w:val="20"/>
          <w:color w:val="auto"/>
        </w:rPr>
      </w:pPr>
    </w:p>
    <w:p>
      <w:pPr>
        <w:spacing w:after="0" w:line="246" w:lineRule="auto"/>
        <w:rPr>
          <w:sz w:val="20"/>
          <w:szCs w:val="20"/>
          <w:color w:val="auto"/>
        </w:rPr>
      </w:pPr>
      <w:r>
        <w:rPr>
          <w:rFonts w:ascii="Arial" w:cs="Arial" w:eastAsia="Arial" w:hAnsi="Arial"/>
          <w:sz w:val="19"/>
          <w:szCs w:val="19"/>
          <w:color w:val="auto"/>
        </w:rPr>
        <w:t>Prostate cancer is the second leading cause of cancer deaths in men in the United States, representing a high level of medical burden and unmet need. The prostate cancer therapy market is estimated to grow to over $16.1 billion by 2026. Approximately 200,000 men in the United States are diagnosed with prostate cancer annually, with more than 30,000 deaths each year. Although most deaths occur in patients with later stage metastatic disease, most prostate cancer patients roughly 150,000 annually in the United States are initially diagnosed in the early stage of disease, of which roughly 105,000 are considered to have intermediate- or high-risk of progression and approximately 45,000 are considered to be low-risk.</w:t>
      </w:r>
    </w:p>
    <w:p>
      <w:pPr>
        <w:spacing w:after="0" w:line="82" w:lineRule="exact"/>
        <w:rPr>
          <w:sz w:val="20"/>
          <w:szCs w:val="20"/>
          <w:color w:val="auto"/>
        </w:rPr>
      </w:pPr>
    </w:p>
    <w:p>
      <w:pPr>
        <w:ind w:right="40"/>
        <w:spacing w:after="0" w:line="245" w:lineRule="auto"/>
        <w:rPr>
          <w:sz w:val="20"/>
          <w:szCs w:val="20"/>
          <w:color w:val="auto"/>
        </w:rPr>
      </w:pPr>
      <w:r>
        <w:rPr>
          <w:rFonts w:ascii="Arial" w:cs="Arial" w:eastAsia="Arial" w:hAnsi="Arial"/>
          <w:sz w:val="19"/>
          <w:szCs w:val="19"/>
          <w:color w:val="auto"/>
        </w:rPr>
        <w:t>For the intermediate- and high-risk patients, the SoC is radical prostatectomy and radiotherapy often in conjunction with androgen deprivation therapy or chemical castration. These treatments have a high incidence of potentially life altering side effects, including incontinence and erectile dysfunction. There is therefore a significant unmet need for a novel treatment able to forestall or prevent progression to later stages of disease without the burdensome side effects associated with the current SoC. Weighing the balance between therapeutic efficacy and side effects linked to therapy, about 10% of the intermediate-risk patients, and approximately 40% of the low-risk patients decide, in consultation with their physicians, to adopt a close monitoring approach known as active surveillance that involves periodic imaging, biomarker evaluation and biopsies. SoC in this early, localized setting, leaves substantial need unaddressed.</w:t>
      </w:r>
    </w:p>
    <w:p>
      <w:pPr>
        <w:spacing w:after="0" w:line="84" w:lineRule="exact"/>
        <w:rPr>
          <w:sz w:val="20"/>
          <w:szCs w:val="20"/>
          <w:color w:val="auto"/>
        </w:rPr>
      </w:pPr>
    </w:p>
    <w:p>
      <w:pPr>
        <w:ind w:right="20"/>
        <w:spacing w:after="0" w:line="244" w:lineRule="auto"/>
        <w:rPr>
          <w:sz w:val="20"/>
          <w:szCs w:val="20"/>
          <w:color w:val="auto"/>
        </w:rPr>
      </w:pPr>
      <w:r>
        <w:rPr>
          <w:rFonts w:ascii="Arial" w:cs="Arial" w:eastAsia="Arial" w:hAnsi="Arial"/>
          <w:sz w:val="19"/>
          <w:szCs w:val="19"/>
          <w:color w:val="auto"/>
        </w:rPr>
        <w:t>As a result of PSA screening programs, most patients are diagnosed at early stages of disease with low grade, low volume, asymptomatic prostate cancer. Current screening methods are inadequate to definitively identify which patients are most likely to progress. As a result of the side effects and complications from currently available treatments, there is a large desire to delay or prevent the need for radical treatment. As a result, many men with prostate cancer meeting the National Comprehensive Cancer Network (NCCN) guidelines for low-risk prostate cancer choose not to be treated and to undergo an intense monitoring program, known as Active Surveillance (AS), as their preferred initial course of treatment. However, within 10 years of diagnosis, between 21% and 38% of men will have developed progressive cancer and require invasive treatments. It has been reported that 21% and 41% of patients initially under AS convert to active treatment based on progression of their disease within two and five years, and approximately 17% of men undergoing AS choose to move to active treatments within 10 years of diagnosis in the absence of any evidence of</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13</w:t>
      </w:r>
    </w:p>
    <w:p>
      <w:pPr>
        <w:sectPr>
          <w:pgSz w:w="12240" w:h="15840" w:orient="portrait"/>
          <w:cols w:equalWidth="0" w:num="1">
            <w:col w:w="10060"/>
          </w:cols>
          <w:pgMar w:left="1080" w:top="1062" w:right="1100" w:bottom="173" w:gutter="0" w:footer="0" w:header="0"/>
        </w:sectPr>
      </w:pPr>
    </w:p>
    <w:bookmarkStart w:id="17" w:name="page18"/>
    <w:bookmarkEnd w:id="17"/>
    <w:p>
      <w:pPr>
        <w:ind w:right="700"/>
        <w:spacing w:after="0" w:line="281" w:lineRule="auto"/>
        <w:rPr>
          <w:sz w:val="20"/>
          <w:szCs w:val="20"/>
          <w:color w:val="auto"/>
        </w:rPr>
      </w:pPr>
      <w:r>
        <w:rPr>
          <w:rFonts w:ascii="Arial" w:cs="Arial" w:eastAsia="Arial" w:hAnsi="Arial"/>
          <w:sz w:val="19"/>
          <w:szCs w:val="19"/>
          <w:color w:val="auto"/>
        </w:rPr>
        <w:t>progression, underscoring the level of anxiety that patients experience when they carry a diagnosis of untreated prostate cancer and the significant unmet need in this early line of treatment.</w:t>
      </w:r>
    </w:p>
    <w:p>
      <w:pPr>
        <w:spacing w:after="0" w:line="45" w:lineRule="exact"/>
        <w:rPr>
          <w:sz w:val="20"/>
          <w:szCs w:val="20"/>
          <w:color w:val="auto"/>
        </w:rPr>
      </w:pPr>
    </w:p>
    <w:p>
      <w:pPr>
        <w:spacing w:after="0" w:line="245" w:lineRule="auto"/>
        <w:rPr>
          <w:sz w:val="20"/>
          <w:szCs w:val="20"/>
          <w:color w:val="auto"/>
        </w:rPr>
      </w:pPr>
      <w:r>
        <w:rPr>
          <w:rFonts w:ascii="Arial" w:cs="Arial" w:eastAsia="Arial" w:hAnsi="Arial"/>
          <w:sz w:val="19"/>
          <w:szCs w:val="19"/>
          <w:color w:val="auto"/>
        </w:rPr>
        <w:t>To our knowledge, the only FDA-approved pharmacologic intervention indicated for newly diagnosed localized prostate cancer is chemical castration therapy, also known as ADT. SoC for localized disease is primarily surgery, radiotherapy and/or ADT. Because ADT has a potentially severe side effect profile, including impotence, hot flashes, mood changes, depression, impact on quality of life, and others, these hormone treatments are reserved only for those patients that present the highest risk of localized or metastatic prostate cancer. Similarly, surgical prostatectomy can often cause urinary dysfunction and sexual dysfunction that can last years and sometimes be permanent. Approximately one-third of men with normal baseline function will report an increase in urinary symptoms and urgency after prostatectomy and most men will experience erectile dysfunction after treatment with either surgery or radiation.</w:t>
      </w:r>
    </w:p>
    <w:p>
      <w:pPr>
        <w:spacing w:after="0" w:line="84" w:lineRule="exact"/>
        <w:rPr>
          <w:sz w:val="20"/>
          <w:szCs w:val="20"/>
          <w:color w:val="auto"/>
        </w:rPr>
      </w:pPr>
    </w:p>
    <w:p>
      <w:pPr>
        <w:ind w:right="260"/>
        <w:spacing w:after="0" w:line="260" w:lineRule="auto"/>
        <w:rPr>
          <w:sz w:val="20"/>
          <w:szCs w:val="20"/>
          <w:color w:val="auto"/>
        </w:rPr>
      </w:pPr>
      <w:r>
        <w:rPr>
          <w:rFonts w:ascii="Arial" w:cs="Arial" w:eastAsia="Arial" w:hAnsi="Arial"/>
          <w:sz w:val="19"/>
          <w:szCs w:val="19"/>
          <w:color w:val="auto"/>
        </w:rPr>
        <w:t>We believe CAN-2409 could provide a significant commercial opportunity for therapeutic use in the newly diagnosed, localized prostate cancer patient population, with the goal of reducing progression or recurrence of disease without significant toxicities and with a product that can be administered at outpatient facilities.</w:t>
      </w:r>
    </w:p>
    <w:p>
      <w:pPr>
        <w:spacing w:after="0" w:line="6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Non-Small Cell Lung Cancer</w:t>
      </w:r>
    </w:p>
    <w:p>
      <w:pPr>
        <w:spacing w:after="0" w:line="116" w:lineRule="exact"/>
        <w:rPr>
          <w:sz w:val="20"/>
          <w:szCs w:val="20"/>
          <w:color w:val="auto"/>
        </w:rPr>
      </w:pPr>
    </w:p>
    <w:p>
      <w:pPr>
        <w:ind w:right="40"/>
        <w:spacing w:after="0" w:line="245" w:lineRule="auto"/>
        <w:rPr>
          <w:sz w:val="20"/>
          <w:szCs w:val="20"/>
          <w:color w:val="auto"/>
        </w:rPr>
      </w:pPr>
      <w:r>
        <w:rPr>
          <w:rFonts w:ascii="Arial" w:cs="Arial" w:eastAsia="Arial" w:hAnsi="Arial"/>
          <w:sz w:val="19"/>
          <w:szCs w:val="19"/>
          <w:color w:val="auto"/>
        </w:rPr>
        <w:t>In recent years ICI, specifically PD-1 directed agents, have transformed the treatment paradigm of NSCLC and become a backbone therapy for this indication. Over a half dozen ICI products have been approved in various cancer indications, and there are numerous other related drug candidates in preclinical and clinical development. Global sales for ICIs in 2019 were approximately $23 billion with NSCLC accounting for 50% to 55% of overall sales. The commercial opportunity in NSCLC is significant. Drug treated patient populations in the US for 2020 are estimated at 75,160; 47,920 and 21,990 in first-, second- and third-line treatment, respectively. ICI use in NSCLC has become SoC with approximately 49% of first-line patients in the United States being treated with an ICI alone or in combination with other agents. Nonetheless, 60% of these patients will have an inadequate response after one year of ICI treatment, and 80% after three years.</w:t>
      </w:r>
    </w:p>
    <w:p>
      <w:pPr>
        <w:spacing w:after="0" w:line="79" w:lineRule="exact"/>
        <w:rPr>
          <w:sz w:val="20"/>
          <w:szCs w:val="20"/>
          <w:color w:val="auto"/>
        </w:rPr>
      </w:pPr>
    </w:p>
    <w:p>
      <w:pPr>
        <w:ind w:right="20"/>
        <w:spacing w:after="0" w:line="260" w:lineRule="auto"/>
        <w:rPr>
          <w:sz w:val="20"/>
          <w:szCs w:val="20"/>
          <w:color w:val="auto"/>
        </w:rPr>
      </w:pPr>
      <w:r>
        <w:rPr>
          <w:rFonts w:ascii="Arial" w:cs="Arial" w:eastAsia="Arial" w:hAnsi="Arial"/>
          <w:sz w:val="19"/>
          <w:szCs w:val="19"/>
          <w:color w:val="auto"/>
        </w:rPr>
        <w:t>We believe CAN-2409 could provide a significant commercial opportunity for therapeutic use in NSCLC patients with an inadequate response to ICI, if we are able to demonstrate overall survival of more than 12-14 months after treatment per protocol.</w:t>
      </w:r>
    </w:p>
    <w:p>
      <w:pPr>
        <w:spacing w:after="0" w:line="6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Pancreatic Cancer</w:t>
      </w:r>
    </w:p>
    <w:p>
      <w:pPr>
        <w:spacing w:after="0" w:line="116" w:lineRule="exact"/>
        <w:rPr>
          <w:sz w:val="20"/>
          <w:szCs w:val="20"/>
          <w:color w:val="auto"/>
        </w:rPr>
      </w:pPr>
    </w:p>
    <w:p>
      <w:pPr>
        <w:ind w:right="20"/>
        <w:spacing w:after="0" w:line="243" w:lineRule="auto"/>
        <w:rPr>
          <w:sz w:val="20"/>
          <w:szCs w:val="20"/>
          <w:color w:val="auto"/>
        </w:rPr>
      </w:pPr>
      <w:r>
        <w:rPr>
          <w:rFonts w:ascii="Arial" w:cs="Arial" w:eastAsia="Arial" w:hAnsi="Arial"/>
          <w:sz w:val="19"/>
          <w:szCs w:val="19"/>
          <w:color w:val="auto"/>
        </w:rPr>
        <w:t>The American Cancer Society estimates that approximately 64,050 people in the United States (33,130 men and 30,920 women) will be diagnosed with pancreatic cancer in 2023; about 50,550 people (26,620 men and 23,930 women) will die of pancreatic cancer this year. Treatment is with surgery in cases where tumors are resectable, followed by adjuvant chemoradiation; there is increasing use of neoadjuvant chemoradiation in borderline resectable or even resectable disease in order to better reduce the risk of recurrence. For resected patients, while surgery and adjuvant approaches (e.g. FOLFORINOX) have improved mOS, 5 year survival rates remain modest (20-30%) and most tumors will recur (median recurrence free survival ~1.5 years). While there is a high level of total clinical research and development activity across pancreatic cancer settings (over 150 investigational products in phase 2 or later development), the majority are targeting metastatic disease. Physicians have identified a continued unmet need for more effective treatment options across the pancreatic cancer setting, including a need for further approaches which can increase the resectability of borderline / locally advanced patients, and improving cure rates in resected patients. There are an estimated 18,510 patients with resectable disease, with a sizeable proportion receiving surgery and adjuvant therapy; there are 12,340 patients with borderline resectable disease and 30,850 with locally advanced tumors (with the majority undergoing neoadjuvant / induction treatment) in the US/EU5.</w:t>
      </w:r>
    </w:p>
    <w:p>
      <w:pPr>
        <w:spacing w:after="0" w:line="82" w:lineRule="exact"/>
        <w:rPr>
          <w:sz w:val="20"/>
          <w:szCs w:val="20"/>
          <w:color w:val="auto"/>
        </w:rPr>
      </w:pPr>
    </w:p>
    <w:p>
      <w:pPr>
        <w:ind w:right="260"/>
        <w:spacing w:after="0" w:line="260" w:lineRule="auto"/>
        <w:rPr>
          <w:sz w:val="20"/>
          <w:szCs w:val="20"/>
          <w:color w:val="auto"/>
        </w:rPr>
      </w:pPr>
      <w:r>
        <w:rPr>
          <w:rFonts w:ascii="Arial" w:cs="Arial" w:eastAsia="Arial" w:hAnsi="Arial"/>
          <w:sz w:val="19"/>
          <w:szCs w:val="19"/>
          <w:color w:val="auto"/>
        </w:rPr>
        <w:t>We believe CAN-2409 could provide a significant commercial opportunity for therapeutic use in borderline resectable pancreatic cancer patients, if we are able to confirm the improvement in overall survival two years after initiation of treatment in patients who received CAN-2409 combined with SoC compared to SoC alone.</w:t>
      </w:r>
    </w:p>
    <w:p>
      <w:pPr>
        <w:spacing w:after="0" w:line="6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High-Grade Glioma</w:t>
      </w:r>
    </w:p>
    <w:p>
      <w:pPr>
        <w:spacing w:after="0" w:line="116" w:lineRule="exact"/>
        <w:rPr>
          <w:sz w:val="20"/>
          <w:szCs w:val="20"/>
          <w:color w:val="auto"/>
        </w:rPr>
      </w:pPr>
    </w:p>
    <w:p>
      <w:pPr>
        <w:jc w:val="both"/>
        <w:ind w:right="40"/>
        <w:spacing w:after="0" w:line="281" w:lineRule="auto"/>
        <w:rPr>
          <w:sz w:val="20"/>
          <w:szCs w:val="20"/>
          <w:color w:val="auto"/>
        </w:rPr>
      </w:pPr>
      <w:r>
        <w:rPr>
          <w:rFonts w:ascii="Arial" w:cs="Arial" w:eastAsia="Arial" w:hAnsi="Arial"/>
          <w:sz w:val="18"/>
          <w:szCs w:val="18"/>
          <w:color w:val="auto"/>
        </w:rPr>
        <w:t>Glioblastoma, the most common form of HGG, is a relatively rare cancer with first-line drug treated prevalent population in the United States of approximately 16,113 patients. Treatment in the upfront setting is surgical resection, if possible, coupled with temozolomide and/or radiotherapy; however, virtually all patients eventually develop recurrent disease.</w:t>
      </w:r>
    </w:p>
    <w:p>
      <w:pPr>
        <w:spacing w:after="0" w:line="48" w:lineRule="exact"/>
        <w:rPr>
          <w:sz w:val="20"/>
          <w:szCs w:val="20"/>
          <w:color w:val="auto"/>
        </w:rPr>
      </w:pPr>
    </w:p>
    <w:p>
      <w:pPr>
        <w:ind w:right="80"/>
        <w:spacing w:after="0" w:line="250" w:lineRule="auto"/>
        <w:rPr>
          <w:sz w:val="20"/>
          <w:szCs w:val="20"/>
          <w:color w:val="auto"/>
        </w:rPr>
      </w:pPr>
      <w:r>
        <w:rPr>
          <w:rFonts w:ascii="Arial" w:cs="Arial" w:eastAsia="Arial" w:hAnsi="Arial"/>
          <w:sz w:val="19"/>
          <w:szCs w:val="19"/>
          <w:color w:val="auto"/>
        </w:rPr>
        <w:t>The prognosis for glioblastoma that has recurred is dire; mOS with second line chemotherapy such as lomustine is associated with mOS of 6-9 months. Few pharmaceutical treatment options exist for patients with recurrent HGG, with the last significant FDA approval over a decade ago. Avastin was approved in 2009, specifically for patients with recurrent glioblastoma, and approval was granted despite the absence of a survival benefit in the registrational studies. New agents to treat patients with recurrent HGG are urgently needed.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14</w:t>
      </w:r>
    </w:p>
    <w:p>
      <w:pPr>
        <w:sectPr>
          <w:pgSz w:w="12240" w:h="15840" w:orient="portrait"/>
          <w:cols w:equalWidth="0" w:num="1">
            <w:col w:w="10060"/>
          </w:cols>
          <w:pgMar w:left="1080" w:top="1062" w:right="1100" w:bottom="173" w:gutter="0" w:footer="0" w:header="0"/>
        </w:sectPr>
      </w:pPr>
    </w:p>
    <w:bookmarkStart w:id="18" w:name="page19"/>
    <w:bookmarkEnd w:id="18"/>
    <w:p>
      <w:pPr>
        <w:ind w:right="80"/>
        <w:spacing w:after="0" w:line="260" w:lineRule="auto"/>
        <w:rPr>
          <w:sz w:val="20"/>
          <w:szCs w:val="20"/>
          <w:color w:val="auto"/>
        </w:rPr>
      </w:pPr>
      <w:r>
        <w:rPr>
          <w:rFonts w:ascii="Arial" w:cs="Arial" w:eastAsia="Arial" w:hAnsi="Arial"/>
          <w:sz w:val="19"/>
          <w:szCs w:val="19"/>
          <w:color w:val="auto"/>
        </w:rPr>
        <w:t xml:space="preserve">We believe CAN-3110 provides a significant opportunity for therapeutic use in recurrent HGG based on the results published in </w:t>
      </w:r>
      <w:r>
        <w:rPr>
          <w:rFonts w:ascii="Arial" w:cs="Arial" w:eastAsia="Arial" w:hAnsi="Arial"/>
          <w:sz w:val="19"/>
          <w:szCs w:val="19"/>
          <w:i w:val="1"/>
          <w:iCs w:val="1"/>
          <w:color w:val="auto"/>
        </w:rPr>
        <w:t>Nature</w:t>
      </w:r>
      <w:r>
        <w:rPr>
          <w:rFonts w:ascii="Arial" w:cs="Arial" w:eastAsia="Arial" w:hAnsi="Arial"/>
          <w:sz w:val="19"/>
          <w:szCs w:val="19"/>
          <w:color w:val="auto"/>
        </w:rPr>
        <w:t xml:space="preserve"> in October 2023, showing nearly doubling of the expected mOS after just a single injection of CAN-3110.</w:t>
      </w:r>
    </w:p>
    <w:p>
      <w:pPr>
        <w:spacing w:after="0" w:line="6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Product Candidates</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Initial Product Candidate - CAN-2409</w:t>
      </w:r>
    </w:p>
    <w:p>
      <w:pPr>
        <w:spacing w:after="0" w:line="116" w:lineRule="exact"/>
        <w:rPr>
          <w:sz w:val="20"/>
          <w:szCs w:val="20"/>
          <w:color w:val="auto"/>
        </w:rPr>
      </w:pPr>
    </w:p>
    <w:p>
      <w:pPr>
        <w:ind w:right="1080"/>
        <w:spacing w:after="0" w:line="281" w:lineRule="auto"/>
        <w:rPr>
          <w:sz w:val="20"/>
          <w:szCs w:val="20"/>
          <w:color w:val="auto"/>
        </w:rPr>
      </w:pPr>
      <w:r>
        <w:rPr>
          <w:rFonts w:ascii="Arial" w:cs="Arial" w:eastAsia="Arial" w:hAnsi="Arial"/>
          <w:sz w:val="19"/>
          <w:szCs w:val="19"/>
          <w:color w:val="auto"/>
        </w:rPr>
        <w:t>We believe the adenovirus-based CAN-2409 has advantageous properties that differentiate from other viral immunotherapies. Namely, CAN-2409:</w:t>
      </w:r>
    </w:p>
    <w:p>
      <w:pPr>
        <w:spacing w:after="0" w:line="53" w:lineRule="exact"/>
        <w:rPr>
          <w:sz w:val="20"/>
          <w:szCs w:val="20"/>
          <w:color w:val="auto"/>
        </w:rPr>
      </w:pPr>
    </w:p>
    <w:p>
      <w:pPr>
        <w:ind w:left="980" w:hanging="361"/>
        <w:spacing w:after="0"/>
        <w:tabs>
          <w:tab w:leader="none" w:pos="980" w:val="left"/>
        </w:tabs>
        <w:numPr>
          <w:ilvl w:val="0"/>
          <w:numId w:val="20"/>
        </w:numPr>
        <w:rPr>
          <w:rFonts w:ascii="Arial" w:cs="Arial" w:eastAsia="Arial" w:hAnsi="Arial"/>
          <w:sz w:val="19"/>
          <w:szCs w:val="19"/>
          <w:color w:val="auto"/>
        </w:rPr>
      </w:pPr>
      <w:r>
        <w:rPr>
          <w:rFonts w:ascii="Arial" w:cs="Arial" w:eastAsia="Arial" w:hAnsi="Arial"/>
          <w:sz w:val="19"/>
          <w:szCs w:val="19"/>
          <w:i w:val="1"/>
          <w:iCs w:val="1"/>
          <w:color w:val="auto"/>
        </w:rPr>
        <w:t>Has consistently shown activity in clinical trials across a range of solid tumor types.</w:t>
      </w:r>
    </w:p>
    <w:p>
      <w:pPr>
        <w:spacing w:after="0" w:line="119" w:lineRule="exact"/>
        <w:rPr>
          <w:rFonts w:ascii="Arial" w:cs="Arial" w:eastAsia="Arial" w:hAnsi="Arial"/>
          <w:sz w:val="19"/>
          <w:szCs w:val="19"/>
          <w:color w:val="auto"/>
        </w:rPr>
      </w:pPr>
    </w:p>
    <w:p>
      <w:pPr>
        <w:ind w:left="980" w:hanging="361"/>
        <w:spacing w:after="0"/>
        <w:tabs>
          <w:tab w:leader="none" w:pos="980" w:val="left"/>
        </w:tabs>
        <w:numPr>
          <w:ilvl w:val="0"/>
          <w:numId w:val="20"/>
        </w:numPr>
        <w:rPr>
          <w:rFonts w:ascii="Arial" w:cs="Arial" w:eastAsia="Arial" w:hAnsi="Arial"/>
          <w:sz w:val="19"/>
          <w:szCs w:val="19"/>
          <w:color w:val="auto"/>
        </w:rPr>
      </w:pPr>
      <w:r>
        <w:rPr>
          <w:rFonts w:ascii="Arial" w:cs="Arial" w:eastAsia="Arial" w:hAnsi="Arial"/>
          <w:sz w:val="19"/>
          <w:szCs w:val="19"/>
          <w:i w:val="1"/>
          <w:iCs w:val="1"/>
          <w:color w:val="auto"/>
        </w:rPr>
        <w:t>Has been dosed in more than a thousand patients and has generated favorable tolerability and safety data.</w:t>
      </w:r>
    </w:p>
    <w:p>
      <w:pPr>
        <w:spacing w:after="0" w:line="119" w:lineRule="exact"/>
        <w:rPr>
          <w:rFonts w:ascii="Arial" w:cs="Arial" w:eastAsia="Arial" w:hAnsi="Arial"/>
          <w:sz w:val="19"/>
          <w:szCs w:val="19"/>
          <w:color w:val="auto"/>
        </w:rPr>
      </w:pPr>
    </w:p>
    <w:p>
      <w:pPr>
        <w:ind w:left="980" w:right="80" w:hanging="361"/>
        <w:spacing w:after="0" w:line="272" w:lineRule="auto"/>
        <w:tabs>
          <w:tab w:leader="none" w:pos="980" w:val="left"/>
        </w:tabs>
        <w:numPr>
          <w:ilvl w:val="0"/>
          <w:numId w:val="20"/>
        </w:numPr>
        <w:rPr>
          <w:rFonts w:ascii="Arial" w:cs="Arial" w:eastAsia="Arial" w:hAnsi="Arial"/>
          <w:sz w:val="19"/>
          <w:szCs w:val="19"/>
          <w:color w:val="auto"/>
        </w:rPr>
      </w:pPr>
      <w:r>
        <w:rPr>
          <w:rFonts w:ascii="Arial" w:cs="Arial" w:eastAsia="Arial" w:hAnsi="Arial"/>
          <w:sz w:val="19"/>
          <w:szCs w:val="19"/>
          <w:i w:val="1"/>
          <w:iCs w:val="1"/>
          <w:color w:val="auto"/>
        </w:rPr>
        <w:t>Is engineered to be potently immunogenic but non-replicating with the goal of eliciting a systemic anti-tumor immune response while minimizing the risk for local and systemic toxicity.</w:t>
      </w:r>
    </w:p>
    <w:p>
      <w:pPr>
        <w:spacing w:after="0" w:line="61" w:lineRule="exact"/>
        <w:rPr>
          <w:rFonts w:ascii="Arial" w:cs="Arial" w:eastAsia="Arial" w:hAnsi="Arial"/>
          <w:sz w:val="19"/>
          <w:szCs w:val="19"/>
          <w:color w:val="auto"/>
        </w:rPr>
      </w:pPr>
    </w:p>
    <w:p>
      <w:pPr>
        <w:ind w:left="980" w:right="380" w:hanging="361"/>
        <w:spacing w:after="0" w:line="256" w:lineRule="auto"/>
        <w:tabs>
          <w:tab w:leader="none" w:pos="980" w:val="left"/>
        </w:tabs>
        <w:numPr>
          <w:ilvl w:val="0"/>
          <w:numId w:val="20"/>
        </w:numPr>
        <w:rPr>
          <w:rFonts w:ascii="Arial" w:cs="Arial" w:eastAsia="Arial" w:hAnsi="Arial"/>
          <w:sz w:val="19"/>
          <w:szCs w:val="19"/>
          <w:color w:val="auto"/>
        </w:rPr>
      </w:pPr>
      <w:r>
        <w:rPr>
          <w:rFonts w:ascii="Arial" w:cs="Arial" w:eastAsia="Arial" w:hAnsi="Arial"/>
          <w:sz w:val="19"/>
          <w:szCs w:val="19"/>
          <w:i w:val="1"/>
          <w:iCs w:val="1"/>
          <w:color w:val="auto"/>
        </w:rPr>
        <w:t>Can be stored at 4°C, facilitating the use of CAN-2409 in out-patient clinics. This aspect is particularly favorable in indications such as prostate cancer, where patients are often monitored in individual private practices.</w:t>
      </w:r>
    </w:p>
    <w:p>
      <w:pPr>
        <w:spacing w:after="0" w:line="68" w:lineRule="exact"/>
        <w:rPr>
          <w:sz w:val="20"/>
          <w:szCs w:val="20"/>
          <w:color w:val="auto"/>
        </w:rPr>
      </w:pPr>
    </w:p>
    <w:p>
      <w:pPr>
        <w:ind w:right="60"/>
        <w:spacing w:after="0" w:line="243" w:lineRule="auto"/>
        <w:rPr>
          <w:sz w:val="20"/>
          <w:szCs w:val="20"/>
          <w:color w:val="auto"/>
        </w:rPr>
      </w:pPr>
      <w:r>
        <w:rPr>
          <w:rFonts w:ascii="Arial" w:cs="Arial" w:eastAsia="Arial" w:hAnsi="Arial"/>
          <w:sz w:val="19"/>
          <w:szCs w:val="19"/>
          <w:color w:val="auto"/>
        </w:rPr>
        <w:t>CAN-2409 (international non-proprietary name: aglatimagene besadenovec) is an adenovirus-based replication-defective engineered gene construct encoding the thymidine kinase gene derived from the herpes simplex virus. It is injected directly into a tumor or target tissue. Localized injection is intended to minimize systemic toxicities associated with systemic intravenous administration, eliminating the requirement for complex immune evasion or tumor-specific targeting mechanisms, and reprograms the immune response against the injected tumor, while activating the desired systemic anti-tumoral immune response against the injected tumor and uninjected metastases. The adenoviral vector is used to transport the HSV-thymidine kinase gene into the tumor cells at the site of injection. HSV-thymidine kinase converts generic, FDA-approved anti-herpes drugs, such as ganciclovir, acyclovir and valacyclovir, which we use as prodrugs, into a toxic nucleotide analogue. These agents are widely available, inexpensive and are generally well-tolerated. Cells transduced with the HSV-thymidine kinase gene as well as neighboring cells that are replicating or exhibit DNA damage undergo immunogenic cell death after exposure to these systemically administered prodrugs that are converted in the tumor microenvironment into toxic metabolites.</w:t>
      </w:r>
    </w:p>
    <w:p>
      <w:pPr>
        <w:spacing w:after="0" w:line="87" w:lineRule="exact"/>
        <w:rPr>
          <w:sz w:val="20"/>
          <w:szCs w:val="20"/>
          <w:color w:val="auto"/>
        </w:rPr>
      </w:pPr>
    </w:p>
    <w:p>
      <w:pPr>
        <w:ind w:right="120"/>
        <w:spacing w:after="0" w:line="246" w:lineRule="auto"/>
        <w:rPr>
          <w:sz w:val="20"/>
          <w:szCs w:val="20"/>
          <w:color w:val="auto"/>
        </w:rPr>
      </w:pPr>
      <w:r>
        <w:rPr>
          <w:rFonts w:ascii="Arial" w:cs="Arial" w:eastAsia="Arial" w:hAnsi="Arial"/>
          <w:sz w:val="19"/>
          <w:szCs w:val="19"/>
          <w:color w:val="auto"/>
        </w:rPr>
        <w:t>The prodrug-derived cytotoxic nucleotide analogs are designed to inhibit DNA replication and repair, leading to the death of multiplying tumor cells, and in particular of cells undergoing repair from radiation or chemotherapy damage. This form of cell death is immunogenic and exposes tumor antigens that can elicit a further tumor-specific immune response. Additionally, the virus itself stimulates a marked immuno-inflammatory response. Key pro-inflammatory cytokines as well as chemokines, adhesion molecules and costimulatory molecules are locally upregulated, resulting in an inflamed (hot) tumor microenvironment, able to further enhance CD8+ cytotoxic tumor infiltrating lymphocyte cell activation and immunization against various released tumor antigens.</w:t>
      </w:r>
    </w:p>
    <w:p>
      <w:pPr>
        <w:spacing w:after="0" w:line="82" w:lineRule="exact"/>
        <w:rPr>
          <w:sz w:val="20"/>
          <w:szCs w:val="20"/>
          <w:color w:val="auto"/>
        </w:rPr>
      </w:pPr>
    </w:p>
    <w:p>
      <w:pPr>
        <w:ind w:right="20"/>
        <w:spacing w:after="0" w:line="243" w:lineRule="auto"/>
        <w:rPr>
          <w:sz w:val="20"/>
          <w:szCs w:val="20"/>
          <w:color w:val="auto"/>
        </w:rPr>
      </w:pPr>
      <w:r>
        <w:rPr>
          <w:rFonts w:ascii="Arial" w:cs="Arial" w:eastAsia="Arial" w:hAnsi="Arial"/>
          <w:sz w:val="19"/>
          <w:szCs w:val="19"/>
          <w:color w:val="auto"/>
        </w:rPr>
        <w:t>This local effect provides a strong mechanistic rationale for the combination of viral immunotherapy with ICIs such as PD-1 or PD-L1 targeting antibodies. ICI agents work by unmasking the inhibitory signals provided by PD-L1 ligands on tumor cells when bound to PD-1 receptors on T cells. By blocking this suppressive signal pharmacologically, it has been demonstrated that T cells can be unleashed to attack cancer cells and that profound clinical benefit can be achieved, but this benefits only a minority of patients. It has been hypothesized that treatment results can be significantly improved by optimizing recognition of the specific tumor antigens by the patient’s adaptive immune system using viral immunotherapy combined with the non-specific stimulation of T cells induced by ICI treatment. It appears that a duality of signals is required: releasing the checkpoint inhibition as described earlier, coupled with the provision of a positive, stimulatory signal to T cells. The efficient presentation of tumor specific antigens by MHC class I molecules to the immune system provides just such a specific, stimulatory signal. Viral immunotherapies have been shown to facilitate such cross presentation of tumor antigens and are therefore an attractive complement to PD-1 or PD-L1 checkpoint blockade.</w:t>
      </w:r>
    </w:p>
    <w:p>
      <w:pPr>
        <w:spacing w:after="0" w:line="87" w:lineRule="exact"/>
        <w:rPr>
          <w:sz w:val="20"/>
          <w:szCs w:val="20"/>
          <w:color w:val="auto"/>
        </w:rPr>
      </w:pPr>
    </w:p>
    <w:p>
      <w:pPr>
        <w:spacing w:after="0" w:line="244" w:lineRule="auto"/>
        <w:rPr>
          <w:sz w:val="20"/>
          <w:szCs w:val="20"/>
          <w:color w:val="auto"/>
        </w:rPr>
      </w:pPr>
      <w:r>
        <w:rPr>
          <w:rFonts w:ascii="Arial" w:cs="Arial" w:eastAsia="Arial" w:hAnsi="Arial"/>
          <w:sz w:val="19"/>
          <w:szCs w:val="19"/>
          <w:color w:val="auto"/>
        </w:rPr>
        <w:t>The immune system is highly dynamic, with continuous trafficking of different populations of immune cells throughout the body. One outcome of this is that when T cells are locally activated and reprogrammed to recognize tumor-specific antigens, they can act systemically to drive an efficient immune response at sites distant from the original tumor. This abscopal effect may explain the significant effects observed at distant, uninjected sites demonstrated in experimental models of cancers. Abscopal effect has been shown with CAN-2409 in a mouse model of prostate cancer. The model employed RM-1, a syngeneic prostate cell line, that was implanted both in the flanks of the mice as well as systemic, via a tail vein injection to mimic metastatic disease, resulting in the emergence of lung tumor nodules. After intratumor treatment of the flank tumor masses with either CAN-2409 and systemic prodrug, alone or in combination with radiotherapy, we observed a beneficial response in both injected and uninjected metastatic tumor. Use of CAN-2409 resulted in a 38% mean reduction in tumor volume and, in the combination arm, a reduction of 61% in tumor volume. Notably, the average number of lung nodules was reduced from 20.5 in the control arm and 22.4 in the mice that</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w:t>
      </w:r>
    </w:p>
    <w:p>
      <w:pPr>
        <w:sectPr>
          <w:pgSz w:w="12240" w:h="15840" w:orient="portrait"/>
          <w:cols w:equalWidth="0" w:num="1">
            <w:col w:w="10080"/>
          </w:cols>
          <w:pgMar w:left="1080" w:top="1062" w:right="1080" w:bottom="173" w:gutter="0" w:footer="0" w:header="0"/>
        </w:sectPr>
      </w:pPr>
    </w:p>
    <w:bookmarkStart w:id="19" w:name="page20"/>
    <w:bookmarkEnd w:id="19"/>
    <w:p>
      <w:pPr>
        <w:jc w:val="both"/>
        <w:ind w:right="40"/>
        <w:spacing w:after="0" w:line="253" w:lineRule="auto"/>
        <w:rPr>
          <w:sz w:val="20"/>
          <w:szCs w:val="20"/>
          <w:color w:val="auto"/>
        </w:rPr>
      </w:pPr>
      <w:r>
        <w:rPr>
          <w:rFonts w:ascii="Arial" w:cs="Arial" w:eastAsia="Arial" w:hAnsi="Arial"/>
          <w:sz w:val="19"/>
          <w:szCs w:val="19"/>
          <w:color w:val="auto"/>
        </w:rPr>
        <w:t>received radiotherapy to 13.0 in the CAN-2409 arm, and to 6.6 when CAN-2409 was combined with radiotherapy. We have also observed the abscopal response in connection with the experimental treatment of CAN-2409 in patients with NSCLC. We observed regression of uninjected lesions in about two-thirds of evaluable patients presenting with multiple lesions.</w:t>
      </w:r>
    </w:p>
    <w:p>
      <w:pPr>
        <w:spacing w:after="0" w:line="73" w:lineRule="exact"/>
        <w:rPr>
          <w:sz w:val="20"/>
          <w:szCs w:val="20"/>
          <w:color w:val="auto"/>
        </w:rPr>
      </w:pPr>
    </w:p>
    <w:p>
      <w:pPr>
        <w:ind w:right="40"/>
        <w:spacing w:after="0" w:line="245" w:lineRule="auto"/>
        <w:rPr>
          <w:sz w:val="20"/>
          <w:szCs w:val="20"/>
          <w:color w:val="auto"/>
        </w:rPr>
      </w:pPr>
      <w:r>
        <w:rPr>
          <w:rFonts w:ascii="Arial" w:cs="Arial" w:eastAsia="Arial" w:hAnsi="Arial"/>
          <w:sz w:val="19"/>
          <w:szCs w:val="19"/>
          <w:color w:val="auto"/>
        </w:rPr>
        <w:t>The activity of CAN-2409 treatment has been shown to be dependent on CD8+ T cell involvement in studies in mouse models that evaluated permutations of CAN-2409 treatment and T cell depletion. Furthermore, T cells from mice that were successfully treated with CAN-2409 and prodrug were shown to be sufficient to inhibit tumor growth when mixed with AKR tumor model cells and implanted subcutaneously in mouse flanks. This activity was not observed with T cells from untreated mice, from mice that were treated with a control vector that lacked the thymidine kinase gene, or when the AKR tumor cells were xenografted alone. These data are consistent with a T cell dependent mechanism of action of CAN-2409. Additionally, we have shown the induction of CD8+ T cell infiltration at the site of the tumor in patients with prostate cancer, pancreatic cancer, and NSCLC.</w:t>
      </w:r>
    </w:p>
    <w:p>
      <w:pPr>
        <w:spacing w:after="0" w:line="8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Second Product Candidate - CAN-3110</w:t>
      </w:r>
    </w:p>
    <w:p>
      <w:pPr>
        <w:spacing w:after="0" w:line="116" w:lineRule="exact"/>
        <w:rPr>
          <w:sz w:val="20"/>
          <w:szCs w:val="20"/>
          <w:color w:val="auto"/>
        </w:rPr>
      </w:pPr>
    </w:p>
    <w:p>
      <w:pPr>
        <w:spacing w:after="0" w:line="281" w:lineRule="auto"/>
        <w:rPr>
          <w:sz w:val="20"/>
          <w:szCs w:val="20"/>
          <w:color w:val="auto"/>
        </w:rPr>
      </w:pPr>
      <w:r>
        <w:rPr>
          <w:rFonts w:ascii="Arial" w:cs="Arial" w:eastAsia="Arial" w:hAnsi="Arial"/>
          <w:sz w:val="19"/>
          <w:szCs w:val="19"/>
          <w:color w:val="auto"/>
        </w:rPr>
        <w:t>CAN-3110 is a modified HSV with specific properties that can be leveraged in diverse clinical indications. Namely, CAN-3110:</w:t>
      </w:r>
    </w:p>
    <w:p>
      <w:pPr>
        <w:spacing w:after="0" w:line="53" w:lineRule="exact"/>
        <w:rPr>
          <w:sz w:val="20"/>
          <w:szCs w:val="20"/>
          <w:color w:val="auto"/>
        </w:rPr>
      </w:pPr>
    </w:p>
    <w:p>
      <w:pPr>
        <w:ind w:left="980" w:hanging="361"/>
        <w:spacing w:after="0"/>
        <w:tabs>
          <w:tab w:leader="none" w:pos="980" w:val="left"/>
        </w:tabs>
        <w:numPr>
          <w:ilvl w:val="0"/>
          <w:numId w:val="21"/>
        </w:numPr>
        <w:rPr>
          <w:rFonts w:ascii="Arial" w:cs="Arial" w:eastAsia="Arial" w:hAnsi="Arial"/>
          <w:sz w:val="19"/>
          <w:szCs w:val="19"/>
          <w:color w:val="auto"/>
        </w:rPr>
      </w:pPr>
      <w:r>
        <w:rPr>
          <w:rFonts w:ascii="Arial" w:cs="Arial" w:eastAsia="Arial" w:hAnsi="Arial"/>
          <w:sz w:val="19"/>
          <w:szCs w:val="19"/>
          <w:i w:val="1"/>
          <w:iCs w:val="1"/>
          <w:color w:val="auto"/>
        </w:rPr>
        <w:t>Is engineered to provide oncolysis through replication specifically in Nestin expressing cancer cells.</w:t>
      </w:r>
    </w:p>
    <w:p>
      <w:pPr>
        <w:spacing w:after="0" w:line="119" w:lineRule="exact"/>
        <w:rPr>
          <w:rFonts w:ascii="Arial" w:cs="Arial" w:eastAsia="Arial" w:hAnsi="Arial"/>
          <w:sz w:val="19"/>
          <w:szCs w:val="19"/>
          <w:color w:val="auto"/>
        </w:rPr>
      </w:pPr>
    </w:p>
    <w:p>
      <w:pPr>
        <w:ind w:left="980" w:hanging="361"/>
        <w:spacing w:after="0"/>
        <w:tabs>
          <w:tab w:leader="none" w:pos="980" w:val="left"/>
        </w:tabs>
        <w:numPr>
          <w:ilvl w:val="0"/>
          <w:numId w:val="21"/>
        </w:numPr>
        <w:rPr>
          <w:rFonts w:ascii="Arial" w:cs="Arial" w:eastAsia="Arial" w:hAnsi="Arial"/>
          <w:sz w:val="19"/>
          <w:szCs w:val="19"/>
          <w:color w:val="auto"/>
        </w:rPr>
      </w:pPr>
      <w:r>
        <w:rPr>
          <w:rFonts w:ascii="Arial" w:cs="Arial" w:eastAsia="Arial" w:hAnsi="Arial"/>
          <w:sz w:val="19"/>
          <w:szCs w:val="19"/>
          <w:i w:val="1"/>
          <w:iCs w:val="1"/>
          <w:color w:val="auto"/>
        </w:rPr>
        <w:t>Has demonstrated statistically significant survival benefit in preclinical models of brain cancer.</w:t>
      </w:r>
    </w:p>
    <w:p>
      <w:pPr>
        <w:spacing w:after="0" w:line="119" w:lineRule="exact"/>
        <w:rPr>
          <w:rFonts w:ascii="Arial" w:cs="Arial" w:eastAsia="Arial" w:hAnsi="Arial"/>
          <w:sz w:val="19"/>
          <w:szCs w:val="19"/>
          <w:color w:val="auto"/>
        </w:rPr>
      </w:pPr>
    </w:p>
    <w:p>
      <w:pPr>
        <w:ind w:left="980" w:right="160" w:hanging="361"/>
        <w:spacing w:after="0" w:line="272" w:lineRule="auto"/>
        <w:tabs>
          <w:tab w:leader="none" w:pos="980" w:val="left"/>
        </w:tabs>
        <w:numPr>
          <w:ilvl w:val="0"/>
          <w:numId w:val="21"/>
        </w:numPr>
        <w:rPr>
          <w:rFonts w:ascii="Arial" w:cs="Arial" w:eastAsia="Arial" w:hAnsi="Arial"/>
          <w:sz w:val="19"/>
          <w:szCs w:val="19"/>
          <w:color w:val="auto"/>
        </w:rPr>
      </w:pPr>
      <w:r>
        <w:rPr>
          <w:rFonts w:ascii="Arial" w:cs="Arial" w:eastAsia="Arial" w:hAnsi="Arial"/>
          <w:sz w:val="19"/>
          <w:szCs w:val="19"/>
          <w:i w:val="1"/>
          <w:iCs w:val="1"/>
          <w:color w:val="auto"/>
        </w:rPr>
        <w:t>Has generated favorable tolerability and safety data, not reaching a dose limiting toxicity in the dose range tested in an ongoing investigator-sponsored phase 1b trial.</w:t>
      </w:r>
    </w:p>
    <w:p>
      <w:pPr>
        <w:spacing w:after="0" w:line="61" w:lineRule="exact"/>
        <w:rPr>
          <w:rFonts w:ascii="Arial" w:cs="Arial" w:eastAsia="Arial" w:hAnsi="Arial"/>
          <w:sz w:val="19"/>
          <w:szCs w:val="19"/>
          <w:color w:val="auto"/>
        </w:rPr>
      </w:pPr>
    </w:p>
    <w:p>
      <w:pPr>
        <w:ind w:left="980" w:right="720" w:hanging="361"/>
        <w:spacing w:after="0" w:line="272" w:lineRule="auto"/>
        <w:tabs>
          <w:tab w:leader="none" w:pos="980" w:val="left"/>
        </w:tabs>
        <w:numPr>
          <w:ilvl w:val="0"/>
          <w:numId w:val="21"/>
        </w:numPr>
        <w:rPr>
          <w:rFonts w:ascii="Arial" w:cs="Arial" w:eastAsia="Arial" w:hAnsi="Arial"/>
          <w:sz w:val="19"/>
          <w:szCs w:val="19"/>
          <w:color w:val="auto"/>
        </w:rPr>
      </w:pPr>
      <w:r>
        <w:rPr>
          <w:rFonts w:ascii="Arial" w:cs="Arial" w:eastAsia="Arial" w:hAnsi="Arial"/>
          <w:sz w:val="19"/>
          <w:szCs w:val="19"/>
          <w:i w:val="1"/>
          <w:iCs w:val="1"/>
          <w:color w:val="auto"/>
        </w:rPr>
        <w:t>Has shown a clinical signal in a difficult to treat brain cancer population, critically defined by a highly immunosuppressive environment.</w:t>
      </w:r>
    </w:p>
    <w:p>
      <w:pPr>
        <w:spacing w:after="0" w:line="61" w:lineRule="exact"/>
        <w:rPr>
          <w:rFonts w:ascii="Arial" w:cs="Arial" w:eastAsia="Arial" w:hAnsi="Arial"/>
          <w:sz w:val="19"/>
          <w:szCs w:val="19"/>
          <w:color w:val="auto"/>
        </w:rPr>
      </w:pPr>
    </w:p>
    <w:p>
      <w:pPr>
        <w:ind w:left="980" w:hanging="361"/>
        <w:spacing w:after="0"/>
        <w:tabs>
          <w:tab w:leader="none" w:pos="980" w:val="left"/>
        </w:tabs>
        <w:numPr>
          <w:ilvl w:val="0"/>
          <w:numId w:val="21"/>
        </w:numPr>
        <w:rPr>
          <w:rFonts w:ascii="Arial" w:cs="Arial" w:eastAsia="Arial" w:hAnsi="Arial"/>
          <w:sz w:val="19"/>
          <w:szCs w:val="19"/>
          <w:color w:val="auto"/>
        </w:rPr>
      </w:pPr>
      <w:r>
        <w:rPr>
          <w:rFonts w:ascii="Arial" w:cs="Arial" w:eastAsia="Arial" w:hAnsi="Arial"/>
          <w:sz w:val="19"/>
          <w:szCs w:val="19"/>
          <w:i w:val="1"/>
          <w:iCs w:val="1"/>
          <w:color w:val="auto"/>
        </w:rPr>
        <w:t>Has been engineered to replicate in a range of other indications characterized by Nestin expression.</w:t>
      </w:r>
    </w:p>
    <w:p>
      <w:pPr>
        <w:spacing w:after="0" w:line="119" w:lineRule="exact"/>
        <w:rPr>
          <w:rFonts w:ascii="Arial" w:cs="Arial" w:eastAsia="Arial" w:hAnsi="Arial"/>
          <w:sz w:val="19"/>
          <w:szCs w:val="19"/>
          <w:color w:val="auto"/>
        </w:rPr>
      </w:pPr>
    </w:p>
    <w:p>
      <w:pPr>
        <w:ind w:left="980" w:right="40" w:hanging="361"/>
        <w:spacing w:after="0" w:line="272" w:lineRule="auto"/>
        <w:tabs>
          <w:tab w:leader="none" w:pos="980" w:val="left"/>
        </w:tabs>
        <w:numPr>
          <w:ilvl w:val="0"/>
          <w:numId w:val="21"/>
        </w:numPr>
        <w:rPr>
          <w:rFonts w:ascii="Arial" w:cs="Arial" w:eastAsia="Arial" w:hAnsi="Arial"/>
          <w:sz w:val="19"/>
          <w:szCs w:val="19"/>
          <w:color w:val="auto"/>
        </w:rPr>
      </w:pPr>
      <w:r>
        <w:rPr>
          <w:rFonts w:ascii="Arial" w:cs="Arial" w:eastAsia="Arial" w:hAnsi="Arial"/>
          <w:sz w:val="19"/>
          <w:szCs w:val="19"/>
          <w:i w:val="1"/>
          <w:iCs w:val="1"/>
          <w:color w:val="auto"/>
        </w:rPr>
        <w:t>Is derived from our HSV-based platform that also provides the potential to support expansion of our pipeline with novel agents.</w:t>
      </w:r>
    </w:p>
    <w:p>
      <w:pPr>
        <w:spacing w:after="0" w:line="54" w:lineRule="exact"/>
        <w:rPr>
          <w:sz w:val="20"/>
          <w:szCs w:val="20"/>
          <w:color w:val="auto"/>
        </w:rPr>
      </w:pPr>
    </w:p>
    <w:p>
      <w:pPr>
        <w:ind w:right="120"/>
        <w:spacing w:after="0" w:line="250" w:lineRule="auto"/>
        <w:rPr>
          <w:sz w:val="20"/>
          <w:szCs w:val="20"/>
          <w:color w:val="auto"/>
        </w:rPr>
      </w:pPr>
      <w:r>
        <w:rPr>
          <w:rFonts w:ascii="Arial" w:cs="Arial" w:eastAsia="Arial" w:hAnsi="Arial"/>
          <w:sz w:val="19"/>
          <w:szCs w:val="19"/>
          <w:color w:val="auto"/>
        </w:rPr>
        <w:t>CAN-3110 is an engineered HSV where the expression of ICP34.5, the gene responsible for viral replication, has been placed under the control of a tumor-specific Nestin promoter. Nestin is a cytoskeletal protein that is overexpressed in glioma cells, but it is absent in the healthy adult brain. In CAN-3110, ICP34.5 expression is controlled by the Nestin promotor enabling viral replication selectively in tumor cells. This replication-competent HSV construct provides tumor-specific cytolytic activity, while sparing healthy cells that do not express Nestin.</w:t>
      </w:r>
    </w:p>
    <w:p>
      <w:pPr>
        <w:spacing w:after="0" w:line="74" w:lineRule="exact"/>
        <w:rPr>
          <w:sz w:val="20"/>
          <w:szCs w:val="20"/>
          <w:color w:val="auto"/>
        </w:rPr>
      </w:pPr>
    </w:p>
    <w:p>
      <w:pPr>
        <w:jc w:val="both"/>
        <w:ind w:right="40"/>
        <w:spacing w:after="0" w:line="260" w:lineRule="auto"/>
        <w:rPr>
          <w:sz w:val="20"/>
          <w:szCs w:val="20"/>
          <w:color w:val="auto"/>
        </w:rPr>
      </w:pPr>
      <w:r>
        <w:rPr>
          <w:rFonts w:ascii="Arial" w:cs="Arial" w:eastAsia="Arial" w:hAnsi="Arial"/>
          <w:sz w:val="19"/>
          <w:szCs w:val="19"/>
          <w:color w:val="auto"/>
        </w:rPr>
        <w:t>This modification of the viral genome of CAN-3110 enables us to maintain the function of ICP34.5, an HSV protein that allows virus replication even in the presence of a suppressive interferon response, under strict control and only in tumor cells.</w:t>
      </w:r>
    </w:p>
    <w:p>
      <w:pPr>
        <w:spacing w:after="0" w:line="65" w:lineRule="exact"/>
        <w:rPr>
          <w:sz w:val="20"/>
          <w:szCs w:val="20"/>
          <w:color w:val="auto"/>
        </w:rPr>
      </w:pPr>
    </w:p>
    <w:p>
      <w:pPr>
        <w:ind w:right="560"/>
        <w:spacing w:after="0" w:line="260" w:lineRule="auto"/>
        <w:rPr>
          <w:sz w:val="20"/>
          <w:szCs w:val="20"/>
          <w:color w:val="auto"/>
        </w:rPr>
      </w:pPr>
      <w:r>
        <w:rPr>
          <w:rFonts w:ascii="Arial" w:cs="Arial" w:eastAsia="Arial" w:hAnsi="Arial"/>
          <w:sz w:val="19"/>
          <w:szCs w:val="19"/>
          <w:color w:val="auto"/>
        </w:rPr>
        <w:t>ICP34.5 is deleted in other HSV oncolytic viruses that may be less tumor selective with an intent of achieving a favorable safety profile, which may result in viruses characterized by poor replication ability and a limited ability to generate an effective anti-tumor immune response.</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Clinical Trials</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CAN-2409 for Prostate Cancer</w:t>
      </w:r>
    </w:p>
    <w:p>
      <w:pPr>
        <w:spacing w:after="0" w:line="116" w:lineRule="exact"/>
        <w:rPr>
          <w:sz w:val="20"/>
          <w:szCs w:val="20"/>
          <w:color w:val="auto"/>
        </w:rPr>
      </w:pPr>
    </w:p>
    <w:p>
      <w:pPr>
        <w:ind w:right="80"/>
        <w:spacing w:after="0" w:line="250" w:lineRule="auto"/>
        <w:rPr>
          <w:sz w:val="20"/>
          <w:szCs w:val="20"/>
          <w:color w:val="auto"/>
        </w:rPr>
      </w:pPr>
      <w:r>
        <w:rPr>
          <w:rFonts w:ascii="Arial" w:cs="Arial" w:eastAsia="Arial" w:hAnsi="Arial"/>
          <w:sz w:val="19"/>
          <w:szCs w:val="19"/>
          <w:color w:val="auto"/>
        </w:rPr>
        <w:t>We have completed multiple phase 1 and phase 2 clinical trials in non-metastatic prostate cancer using CAN-2409 as monotherapy and in combination with SoC. These trials generated favorable tolerability and safety data and also provide evidence to support CAN-2409 immune activation, dosing levels and schedules. We have administered CAN-2409 to more than 700 patients with localized prostate cancer to date, most of whom are currently in ongoing, placebo-controlled randomized trials.</w:t>
      </w:r>
    </w:p>
    <w:p>
      <w:pPr>
        <w:spacing w:after="0" w:line="8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Monotherapy Activity</w:t>
      </w:r>
    </w:p>
    <w:p>
      <w:pPr>
        <w:spacing w:after="0" w:line="112" w:lineRule="exact"/>
        <w:rPr>
          <w:sz w:val="20"/>
          <w:szCs w:val="20"/>
          <w:color w:val="auto"/>
        </w:rPr>
      </w:pPr>
    </w:p>
    <w:p>
      <w:pPr>
        <w:ind w:right="480"/>
        <w:spacing w:after="0" w:line="260" w:lineRule="auto"/>
        <w:rPr>
          <w:sz w:val="20"/>
          <w:szCs w:val="20"/>
          <w:color w:val="auto"/>
        </w:rPr>
      </w:pPr>
      <w:r>
        <w:rPr>
          <w:rFonts w:ascii="Arial" w:cs="Arial" w:eastAsia="Arial" w:hAnsi="Arial"/>
          <w:sz w:val="19"/>
          <w:szCs w:val="19"/>
          <w:color w:val="auto"/>
        </w:rPr>
        <w:t>We have observed what we believe to be a clinical response with CAN-2409 as monotherapy in our phase 1 trials. These responses have been consistently observed in patients with prostate cancer, including patients with newly diagnosed, localized disease, as well as those whose cancer was progressing even after radiotherapy.</w:t>
      </w:r>
    </w:p>
    <w:p>
      <w:pPr>
        <w:spacing w:after="0" w:line="65" w:lineRule="exact"/>
        <w:rPr>
          <w:sz w:val="20"/>
          <w:szCs w:val="20"/>
          <w:color w:val="auto"/>
        </w:rPr>
      </w:pPr>
    </w:p>
    <w:p>
      <w:pPr>
        <w:ind w:right="60"/>
        <w:spacing w:after="0" w:line="253" w:lineRule="auto"/>
        <w:rPr>
          <w:sz w:val="20"/>
          <w:szCs w:val="20"/>
          <w:color w:val="auto"/>
        </w:rPr>
      </w:pPr>
      <w:r>
        <w:rPr>
          <w:rFonts w:ascii="Arial" w:cs="Arial" w:eastAsia="Arial" w:hAnsi="Arial"/>
          <w:sz w:val="19"/>
          <w:szCs w:val="19"/>
          <w:color w:val="auto"/>
        </w:rPr>
        <w:t>In newly diagnosed patients with localized prostate cancer, analysis of biopsies following monotherapy CAN-2409 treatment revealed a change in glandular architecture, necrosis and increased immune cell infiltration as compared to baseline biopsy. We observed in treated samples a 4-fold increase in the number of CD8+ T cells and a 3-fold increase in the number of CD68+ macrophages, demonstrating an immune response after CAN-2409 administration.</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16</w:t>
      </w:r>
    </w:p>
    <w:p>
      <w:pPr>
        <w:sectPr>
          <w:pgSz w:w="12240" w:h="15840" w:orient="portrait"/>
          <w:cols w:equalWidth="0" w:num="1">
            <w:col w:w="10060"/>
          </w:cols>
          <w:pgMar w:left="1080" w:top="1062" w:right="1100" w:bottom="173" w:gutter="0" w:footer="0" w:header="0"/>
        </w:sectPr>
      </w:pPr>
    </w:p>
    <w:bookmarkStart w:id="20" w:name="page21"/>
    <w:bookmarkEnd w:id="20"/>
    <w:p>
      <w:pPr>
        <w:ind w:right="140"/>
        <w:spacing w:after="0" w:line="259" w:lineRule="auto"/>
        <w:rPr>
          <w:sz w:val="20"/>
          <w:szCs w:val="20"/>
          <w:color w:val="auto"/>
        </w:rPr>
      </w:pPr>
      <w:r>
        <w:rPr>
          <w:rFonts w:ascii="Arial" w:cs="Arial" w:eastAsia="Arial" w:hAnsi="Arial"/>
          <w:sz w:val="18"/>
          <w:szCs w:val="18"/>
          <w:color w:val="auto"/>
        </w:rPr>
        <w:t>In another phase 1/2 clinical trial, patients whose prostate cancer had progressed following radiotherapy and that presented a persistently rising PSA level, were treated with CAN-2409 as monotherapy using six dose levels, ranging from 1x10</w:t>
      </w:r>
      <w:r>
        <w:rPr>
          <w:rFonts w:ascii="Arial" w:cs="Arial" w:eastAsia="Arial" w:hAnsi="Arial"/>
          <w:sz w:val="11"/>
          <w:szCs w:val="11"/>
          <w:color w:val="auto"/>
        </w:rPr>
        <w:t>8</w:t>
      </w:r>
      <w:r>
        <w:rPr>
          <w:rFonts w:ascii="Arial" w:cs="Arial" w:eastAsia="Arial" w:hAnsi="Arial"/>
          <w:sz w:val="18"/>
          <w:szCs w:val="18"/>
          <w:color w:val="auto"/>
        </w:rPr>
        <w:t>–1x10</w:t>
      </w:r>
      <w:r>
        <w:rPr>
          <w:rFonts w:ascii="Arial" w:cs="Arial" w:eastAsia="Arial" w:hAnsi="Arial"/>
          <w:sz w:val="11"/>
          <w:szCs w:val="11"/>
          <w:color w:val="auto"/>
        </w:rPr>
        <w:t>11</w:t>
      </w:r>
      <w:r>
        <w:rPr>
          <w:rFonts w:ascii="Arial" w:cs="Arial" w:eastAsia="Arial" w:hAnsi="Arial"/>
          <w:sz w:val="18"/>
          <w:szCs w:val="18"/>
          <w:color w:val="auto"/>
        </w:rPr>
        <w:t xml:space="preserve"> viral particles. In 27 of the 36 patients recruited, a decrease in PSA levels was observed following a single cycle of CAN-2409, as measured by the best PSA decrease in serial assessments within the first 3 months after treatment. PSA, while an imperfect biomarker for prostate cancer, is still widely employed for patient management in conjunction with biopsy, as rising PSA levels, and in particular PSA doubling time are associated with disease progression. In that same trial, we observed that the PSA doubling time improved significantly (p=0.0271) from 15.9 months at baseline to 42.5 months after a single cycle of CAN-2409 administration, in this treatment-resistant patient population. A subset of the patients in this trial also received second or third injection courses of CAN-2409. In most of those patients, a decrease from pre-administration PSA levels was again observed upon repeated injection.</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Combination Therapy</w:t>
      </w:r>
    </w:p>
    <w:p>
      <w:pPr>
        <w:spacing w:after="0" w:line="112" w:lineRule="exact"/>
        <w:rPr>
          <w:sz w:val="20"/>
          <w:szCs w:val="20"/>
          <w:color w:val="auto"/>
        </w:rPr>
      </w:pPr>
    </w:p>
    <w:p>
      <w:pPr>
        <w:spacing w:after="0" w:line="243" w:lineRule="auto"/>
        <w:rPr>
          <w:sz w:val="20"/>
          <w:szCs w:val="20"/>
          <w:color w:val="auto"/>
        </w:rPr>
      </w:pPr>
      <w:r>
        <w:rPr>
          <w:rFonts w:ascii="Arial" w:cs="Arial" w:eastAsia="Arial" w:hAnsi="Arial"/>
          <w:sz w:val="19"/>
          <w:szCs w:val="19"/>
          <w:color w:val="auto"/>
        </w:rPr>
        <w:t>Because of the increasing prevalence of combination therapy for cancer patients, the ability to combine novel agents with SoC treatments without overlapping toxicity is of increasing importance. We believe that the favorable tolerability and safety data generated for CAN-2409 in our clinical trials is encouraging for our current and future development plans, in combination with other agents but also as a monotherapy in lower risk patient populations that are not willing to undergo more aggressive forms of treatment. The safety data from our phase 2 clinical trial in prostate cancer patients treated with CAN-2409 in combination with SoC of radiotherapy or androgen deprivation therapy, reported no grade 4 treatment-related adverse events and only single-patient incidence of grade 3 treatment related adverse events. It was anticipated that flu-like symptoms would be evident, because CAN-2409 is an adenoviral gene construct known to induce a systemic immune response. Greater than 50% of patients reported fever and/or chills often associated with viral immune activation. These symptoms, which generally manifested early and transiently, often occurred on the evening of the intratumoral administration of CAN-2409 and resolved by the following morning. The rates of the gastrointestinal adverse events in this study are consistent with those typically reported by patients undergoing radiotherapy, which is a component of SoC in this population.</w:t>
      </w:r>
    </w:p>
    <w:p>
      <w:pPr>
        <w:spacing w:after="0" w:line="84" w:lineRule="exact"/>
        <w:rPr>
          <w:sz w:val="20"/>
          <w:szCs w:val="20"/>
          <w:color w:val="auto"/>
        </w:rPr>
      </w:pPr>
    </w:p>
    <w:p>
      <w:pPr>
        <w:ind w:right="80"/>
        <w:spacing w:after="0" w:line="244" w:lineRule="auto"/>
        <w:rPr>
          <w:sz w:val="20"/>
          <w:szCs w:val="20"/>
          <w:color w:val="auto"/>
        </w:rPr>
      </w:pPr>
      <w:r>
        <w:rPr>
          <w:rFonts w:ascii="Arial" w:cs="Arial" w:eastAsia="Arial" w:hAnsi="Arial"/>
          <w:sz w:val="19"/>
          <w:szCs w:val="19"/>
          <w:color w:val="auto"/>
        </w:rPr>
        <w:t>Our previous phase 2 clinical trial data informed our agreement with the FDA under the SPA for our ongoing phase 3 clinical trial. Although the data is limited as we have not conducted head-to-head studies, in our phase 2 clinical trial we observed that intermediate-risk patients who received CAN-2409 in combination with radiotherapy had failure rates that were 75% lower than those reported in four other contemporaneous trials of similar patient populations. Where these other clinical trials reported freedom from failure rates of between 75%-79%, corresponding to cumulative recurrence rates of 21%-25%, CAN-2409 resulted in a 5% recurrence rate in patients with intermediate-risk prostate cancer. The median follow-up of patients who received CAN-2409 in this clinical trial was 5.7 years. Similarly, results in this clinical trial also demonstrated reduced recurrence rates in the low- and high-risk patients enrolled when compared to these other trials. Furthermore, a pathological complete response (pCR) was observed in 93% of the biopsies available at 2yrs (37%-73% in control populations). In this trial, low-risk patients achieved a PSA of &lt; 2ng/ml in 77% of CAN-2409 treated patients versus 58% in control populations.</w:t>
      </w:r>
    </w:p>
    <w:p>
      <w:pPr>
        <w:spacing w:after="0" w:line="80" w:lineRule="exact"/>
        <w:rPr>
          <w:sz w:val="20"/>
          <w:szCs w:val="20"/>
          <w:color w:val="auto"/>
        </w:rPr>
      </w:pPr>
    </w:p>
    <w:p>
      <w:pPr>
        <w:ind w:right="80"/>
        <w:spacing w:after="0" w:line="248" w:lineRule="auto"/>
        <w:rPr>
          <w:sz w:val="20"/>
          <w:szCs w:val="20"/>
          <w:color w:val="auto"/>
        </w:rPr>
      </w:pPr>
      <w:r>
        <w:rPr>
          <w:rFonts w:ascii="Arial" w:cs="Arial" w:eastAsia="Arial" w:hAnsi="Arial"/>
          <w:sz w:val="19"/>
          <w:szCs w:val="19"/>
          <w:color w:val="auto"/>
        </w:rPr>
        <w:t>The endpoint used in our phase 2 trial was freedom from failure (FFF), defined by the period of time between treatment and the occurrence of a clinical or biochemical failure. Under the SPA agreement, we have selected disease-free survival (DFS) as the endpoint for our phase 3 clinical trial. The DFS definition requires an objective detection of tumor progression. This largely overlaps with FFF as it is often triggered by detection of increased PSA levels (i.e., biochemical failure). We have also reanalyzed our previous phase 2 data using DFS parameters, supporting the implementation of DFS as endpoint in our phase 3 trial.</w:t>
      </w:r>
    </w:p>
    <w:p>
      <w:pPr>
        <w:spacing w:after="0" w:line="8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Potentially Registrational Phase 3 Clinical Trial for Localized Prostate Cancer</w:t>
      </w:r>
    </w:p>
    <w:p>
      <w:pPr>
        <w:spacing w:after="0" w:line="112" w:lineRule="exact"/>
        <w:rPr>
          <w:sz w:val="20"/>
          <w:szCs w:val="20"/>
          <w:color w:val="auto"/>
        </w:rPr>
      </w:pPr>
    </w:p>
    <w:p>
      <w:pPr>
        <w:ind w:right="20"/>
        <w:spacing w:after="0" w:line="248" w:lineRule="auto"/>
        <w:rPr>
          <w:sz w:val="20"/>
          <w:szCs w:val="20"/>
          <w:color w:val="auto"/>
        </w:rPr>
      </w:pPr>
      <w:r>
        <w:rPr>
          <w:rFonts w:ascii="Arial" w:cs="Arial" w:eastAsia="Arial" w:hAnsi="Arial"/>
          <w:sz w:val="19"/>
          <w:szCs w:val="19"/>
          <w:color w:val="auto"/>
        </w:rPr>
        <w:t>We are developing CAN-2409 as a potential therapeutic option that avoids the long-term severe side effects of hormone therapy or surgical interventions. Based on the data from our clinical trials to date, we believe that CAN-2409 has the potential, if approved, to be the first new first-line product candidate approved for patients with localized prostate cancer in over 30 years. We are currently conducting a potentially registrational phase 3 trial for CAN-2409, with agreement, under an SPA with the FDA for a single pivotal trial in newly diagnosed localized prostate cancer in intermediate and high-risk patients in combination with the SoC, radiotherapy.</w:t>
      </w:r>
    </w:p>
    <w:p>
      <w:pPr>
        <w:spacing w:after="0" w:line="76" w:lineRule="exact"/>
        <w:rPr>
          <w:sz w:val="20"/>
          <w:szCs w:val="20"/>
          <w:color w:val="auto"/>
        </w:rPr>
      </w:pPr>
    </w:p>
    <w:p>
      <w:pPr>
        <w:ind w:right="140"/>
        <w:spacing w:after="0" w:line="246" w:lineRule="auto"/>
        <w:rPr>
          <w:sz w:val="20"/>
          <w:szCs w:val="20"/>
          <w:color w:val="auto"/>
        </w:rPr>
      </w:pPr>
      <w:r>
        <w:rPr>
          <w:rFonts w:ascii="Arial" w:cs="Arial" w:eastAsia="Arial" w:hAnsi="Arial"/>
          <w:sz w:val="19"/>
          <w:szCs w:val="19"/>
          <w:color w:val="auto"/>
        </w:rPr>
        <w:t>This phase 3 clinical trial is fully enrolled with 711 patients, randomized 2:1. Patients receive three investigational treatment courses of CAN-2409, each consisting of four concurrent injections of transrectal or transperineal ultrasound guided administration of CAN-2409 followed by a course of oral valacyclovir. The first injection course is given at least 15 days but not more than 8 weeks before starting radiation. The second injection course is given 0-3 days prior to radiotherapy. The third and final injection course is delivered 15-22 days after the second injections. A fixed dose of valacyclovir is given for 14 days after each CAN-2409 administration. SoC external beam radiotherapy is administered to patients throughout the course of the trial with optional ADT as determined by the treating physician.</w:t>
      </w:r>
    </w:p>
    <w:p>
      <w:pPr>
        <w:spacing w:after="0" w:line="82" w:lineRule="exact"/>
        <w:rPr>
          <w:sz w:val="20"/>
          <w:szCs w:val="20"/>
          <w:color w:val="auto"/>
        </w:rPr>
      </w:pPr>
    </w:p>
    <w:p>
      <w:pPr>
        <w:ind w:right="20"/>
        <w:spacing w:after="0" w:line="281" w:lineRule="auto"/>
        <w:rPr>
          <w:sz w:val="20"/>
          <w:szCs w:val="20"/>
          <w:color w:val="auto"/>
        </w:rPr>
      </w:pPr>
      <w:r>
        <w:rPr>
          <w:rFonts w:ascii="Arial" w:cs="Arial" w:eastAsia="Arial" w:hAnsi="Arial"/>
          <w:sz w:val="19"/>
          <w:szCs w:val="19"/>
          <w:color w:val="auto"/>
        </w:rPr>
        <w:t>Trial inclusion criteria are based on patients with localized prostate cancer meeting the NCCN criteria of intermediate-risk or patients presenting only one NCCN high-risk feature. NCCN intermediate-risk is defined as having at least one of</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w:t>
      </w:r>
    </w:p>
    <w:p>
      <w:pPr>
        <w:sectPr>
          <w:pgSz w:w="12240" w:h="15840" w:orient="portrait"/>
          <w:cols w:equalWidth="0" w:num="1">
            <w:col w:w="10080"/>
          </w:cols>
          <w:pgMar w:left="1080" w:top="1062" w:right="1080" w:bottom="173" w:gutter="0" w:footer="0" w:header="0"/>
        </w:sectPr>
      </w:pPr>
    </w:p>
    <w:bookmarkStart w:id="21" w:name="page22"/>
    <w:bookmarkEnd w:id="21"/>
    <w:p>
      <w:pPr>
        <w:ind w:right="340"/>
        <w:spacing w:after="0" w:line="260" w:lineRule="auto"/>
        <w:rPr>
          <w:sz w:val="20"/>
          <w:szCs w:val="20"/>
          <w:color w:val="auto"/>
        </w:rPr>
      </w:pPr>
      <w:r>
        <w:rPr>
          <w:rFonts w:ascii="Arial" w:cs="Arial" w:eastAsia="Arial" w:hAnsi="Arial"/>
          <w:sz w:val="19"/>
          <w:szCs w:val="19"/>
          <w:color w:val="auto"/>
        </w:rPr>
        <w:t>the following: prostate serum antigen (PSA) of 10-20 ng/ml, Gleason Score of 7, and is staged T2b-T2c via the TNM staging system. Patients may also exhibit one high-risk characteristic that may consist of a PSA of 20+ ng/ml, a Gleason Score of 8-10, or a cancer that is up to stage T3a, but not more than one of these high-risk factors.</w:t>
      </w:r>
    </w:p>
    <w:p>
      <w:pPr>
        <w:spacing w:after="0" w:line="65" w:lineRule="exact"/>
        <w:rPr>
          <w:sz w:val="20"/>
          <w:szCs w:val="20"/>
          <w:color w:val="auto"/>
        </w:rPr>
      </w:pPr>
    </w:p>
    <w:p>
      <w:pPr>
        <w:ind w:right="60"/>
        <w:spacing w:after="0" w:line="244" w:lineRule="auto"/>
        <w:rPr>
          <w:sz w:val="20"/>
          <w:szCs w:val="20"/>
          <w:color w:val="auto"/>
        </w:rPr>
      </w:pPr>
      <w:r>
        <w:rPr>
          <w:rFonts w:ascii="Arial" w:cs="Arial" w:eastAsia="Arial" w:hAnsi="Arial"/>
          <w:sz w:val="19"/>
          <w:szCs w:val="19"/>
          <w:color w:val="auto"/>
        </w:rPr>
        <w:t>The SPA specifically defines agreement with the FDA on the statistical design and power of the phase 3 trial, as well as the primary endpoint definition. The SPA states that the trial is adequately designed to provide the necessary data that, depending on the outcome, could support a Biologics License Application (BLA) submission. The SPA does note the general point for all SPAs, that BLA acceptance and approvability are review issues and that a BLA approval will depend on the quality of actual clinical trial data, the robustness of the effect on the stated primary endpoint, the impact on the secondary endpoints, a favorable assessment of the study conduct, and analysis of safety information and other supportive data. We have approximately 50 active clinical sites for this clinical trial and have completed enrollment in September 2021 with 711 patients. The primary endpoint for the clinical trial is DFS. This trial has been designed to have 90% power, a hazard ratio of 0.5 and an alpha of 0.05. We are assuming a 15% improvement in the active arm (CAN-2409) as compared to placebo in the rate of events measured according to the DFS definition provided above. We expect topline data from this phase 3 clinical trial in the fourth quarter of 2024.</w:t>
      </w:r>
    </w:p>
    <w:p>
      <w:pPr>
        <w:spacing w:after="0" w:line="88"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Phase 2 Clinical Trial for Active Surveillance</w:t>
      </w:r>
    </w:p>
    <w:p>
      <w:pPr>
        <w:spacing w:after="0" w:line="112" w:lineRule="exact"/>
        <w:rPr>
          <w:sz w:val="20"/>
          <w:szCs w:val="20"/>
          <w:color w:val="auto"/>
        </w:rPr>
      </w:pPr>
    </w:p>
    <w:p>
      <w:pPr>
        <w:jc w:val="both"/>
        <w:ind w:right="40"/>
        <w:spacing w:after="0" w:line="260" w:lineRule="auto"/>
        <w:rPr>
          <w:sz w:val="20"/>
          <w:szCs w:val="20"/>
          <w:color w:val="auto"/>
        </w:rPr>
      </w:pPr>
      <w:r>
        <w:rPr>
          <w:rFonts w:ascii="Arial" w:cs="Arial" w:eastAsia="Arial" w:hAnsi="Arial"/>
          <w:sz w:val="19"/>
          <w:szCs w:val="19"/>
          <w:color w:val="auto"/>
        </w:rPr>
        <w:t>Clinical results to date suggest that CAN-2409 as monotherapy may reduce the rates of biochemical failure for patients with localized prostate cancer. In the AS setting, we will assess whether CAN-2409 has the potential to delay or prevent tumor progression to a later stage that demands radical treatment.</w:t>
      </w:r>
    </w:p>
    <w:p>
      <w:pPr>
        <w:spacing w:after="0" w:line="65" w:lineRule="exact"/>
        <w:rPr>
          <w:sz w:val="20"/>
          <w:szCs w:val="20"/>
          <w:color w:val="auto"/>
        </w:rPr>
      </w:pPr>
    </w:p>
    <w:p>
      <w:pPr>
        <w:ind w:right="20"/>
        <w:spacing w:after="0" w:line="246" w:lineRule="auto"/>
        <w:rPr>
          <w:sz w:val="20"/>
          <w:szCs w:val="20"/>
          <w:color w:val="auto"/>
        </w:rPr>
      </w:pPr>
      <w:r>
        <w:rPr>
          <w:rFonts w:ascii="Arial" w:cs="Arial" w:eastAsia="Arial" w:hAnsi="Arial"/>
          <w:sz w:val="19"/>
          <w:szCs w:val="19"/>
          <w:color w:val="auto"/>
        </w:rPr>
        <w:t>In May 2019, the Company completed enrollment of 187 patients in its phase 2 clinical trial of CAN-2409 in patients with low-to-intermediate-risk, localized, non-metastatic prostate cancer, randomized 2:1. The primary endpoint is biopsy-proven progression-free survival (PFS). Progression is defined as an increase in Gleason grade or increase in tumor volume to &gt; 33%. As the primary endpoint is event-driven, in February 2023, based on a blinded review of the event rate, the Company determined that additional time is required for patient follow up in order to collect a sufficient number of events. Based on the current rate of events, the Company currently anticipates topline data to be available in the fourth quarter of 2024.</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CAN-2409 for Non-Small Cell Lung Cancer (NSCLC)</w:t>
      </w:r>
    </w:p>
    <w:p>
      <w:pPr>
        <w:spacing w:after="0" w:line="124" w:lineRule="exact"/>
        <w:rPr>
          <w:sz w:val="20"/>
          <w:szCs w:val="20"/>
          <w:color w:val="auto"/>
        </w:rPr>
      </w:pPr>
    </w:p>
    <w:p>
      <w:pPr>
        <w:spacing w:after="0" w:line="243" w:lineRule="auto"/>
        <w:rPr>
          <w:sz w:val="20"/>
          <w:szCs w:val="20"/>
          <w:color w:val="auto"/>
        </w:rPr>
      </w:pPr>
      <w:r>
        <w:rPr>
          <w:rFonts w:ascii="Arial" w:cs="Arial" w:eastAsia="Arial" w:hAnsi="Arial"/>
          <w:sz w:val="19"/>
          <w:szCs w:val="19"/>
          <w:color w:val="auto"/>
        </w:rPr>
        <w:t>To assess the potential for CAN-2409 to trigger local and systemic immune activation and produce a “hot” tumor phenotype, we designed and completed a clinical trial in patients with surgically resectable lung cancer. In this proof of mechanism phase 1 clinical trial, dose escalation of intratumoral neoadjuvant CAN-2409 was followed by tumor resection three weeks later. The specific goal was to obtain biological data to better understand the impact of CAN-2409 on the tumor microenvironment, with a specific focus on intratumoral CD8+ tumor infiltrating lymphocyte cell activation and function while also assessing the effects on the systemic immune response. The effects of CAN-2409 were evaluated by comparing post-injection specimens to an internal control consisting of each patient’s own pre-treatment needle biopsy and blood samples, and an external cohort of matched patients who underwent standard surgical resection without CAN-2409. The results showed evidence of significant intratumoral and systemic immune activation after experimental CAN-2409 monotherapy treatment. Analysis of peripheral blood mononuclear cells, both before and after CAN-2409 administration, demonstrated a significant increase in expression of proliferation and activation markers including HLA-DR, CD38 and Ki67 three weeks after CAN-2409 initiation. Other relevant findings in this clinical trial included an increase in markers of T cell activation such as PD-1 and CTLA-4, which are targets of ICI that have been approved for use in NSCLC.</w:t>
      </w:r>
    </w:p>
    <w:p>
      <w:pPr>
        <w:spacing w:after="0" w:line="82" w:lineRule="exact"/>
        <w:rPr>
          <w:sz w:val="20"/>
          <w:szCs w:val="20"/>
          <w:color w:val="auto"/>
        </w:rPr>
      </w:pPr>
    </w:p>
    <w:p>
      <w:pPr>
        <w:ind w:right="20"/>
        <w:spacing w:after="0" w:line="248" w:lineRule="auto"/>
        <w:rPr>
          <w:sz w:val="20"/>
          <w:szCs w:val="20"/>
          <w:color w:val="auto"/>
        </w:rPr>
      </w:pPr>
      <w:r>
        <w:rPr>
          <w:rFonts w:ascii="Arial" w:cs="Arial" w:eastAsia="Arial" w:hAnsi="Arial"/>
          <w:sz w:val="19"/>
          <w:szCs w:val="19"/>
          <w:color w:val="auto"/>
        </w:rPr>
        <w:t>In this NSCLC phase 1 clinical trial, two patients experienced grade 3 dehydration with renal insufficiency, two patients presented grade 3 urinary retention and six patients were observed to have a grade 4 low lymphocyte count. Of significant interest, one patient, a 70 year-old male with a 14.8 cm stage IIIA sarcomatoid carcinoma, exhibited a nearly 50% decrease in tumor volume at 3 weeks after CAN-2409 monotherapy treatment. Collectively, these results lead us to believe that CAN-2409 could provide an opportunity to improve ICI response rates in patients with NSCLC by eliciting additional immune activation in lung cancer patients.</w:t>
      </w:r>
    </w:p>
    <w:p>
      <w:pPr>
        <w:spacing w:after="0" w:line="8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CAN-2409 and Checkpoint Combination Phase 2 Clinical Trial for NSCLC in Patients with Inadequate Response to ICI</w:t>
      </w:r>
    </w:p>
    <w:p>
      <w:pPr>
        <w:spacing w:after="0" w:line="112" w:lineRule="exact"/>
        <w:rPr>
          <w:sz w:val="20"/>
          <w:szCs w:val="20"/>
          <w:color w:val="auto"/>
        </w:rPr>
      </w:pPr>
    </w:p>
    <w:p>
      <w:pPr>
        <w:ind w:right="120"/>
        <w:spacing w:after="0" w:line="245" w:lineRule="auto"/>
        <w:rPr>
          <w:sz w:val="20"/>
          <w:szCs w:val="20"/>
          <w:color w:val="auto"/>
        </w:rPr>
      </w:pPr>
      <w:r>
        <w:rPr>
          <w:rFonts w:ascii="Arial" w:cs="Arial" w:eastAsia="Arial" w:hAnsi="Arial"/>
          <w:sz w:val="19"/>
          <w:szCs w:val="19"/>
          <w:color w:val="auto"/>
        </w:rPr>
        <w:t>In 2020, we initiated a phase 2 clinical trial of CAN-2409 in NSCLC patients with inadequate response to ICI that has enrolled patients receiving SoC ICI (plus chemotherapy if indicated) in combination with two courses of CAN-2409 plus continued ICI. This open label clinical trial, as amended, targeted enrollment of approximately 80 patients with stage III/IV NSCLC in two separate cohorts. The cohorts are defined based on response to ICIs at the time of enrollment. Cohort 1 addresses patients with stable disease and Cohort 2 enrolled patients with progressive disease after at least 18 weeks of ICI treatment. Patients continue treatment with their initial ICI and CAN-2409 was added to their regimen. The primary efficacy endpoints for this trial are response rate measured by RECIST and/or Disease Control Rate, with overall survival as a key study endpoint.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18</w:t>
      </w:r>
    </w:p>
    <w:p>
      <w:pPr>
        <w:sectPr>
          <w:pgSz w:w="12240" w:h="15840" w:orient="portrait"/>
          <w:cols w:equalWidth="0" w:num="1">
            <w:col w:w="10080"/>
          </w:cols>
          <w:pgMar w:left="1080" w:top="1062" w:right="1080" w:bottom="173" w:gutter="0" w:footer="0" w:header="0"/>
        </w:sectPr>
      </w:pPr>
    </w:p>
    <w:bookmarkStart w:id="22" w:name="page23"/>
    <w:bookmarkEnd w:id="22"/>
    <w:p>
      <w:pPr>
        <w:ind w:right="120"/>
        <w:spacing w:after="0" w:line="243" w:lineRule="auto"/>
        <w:rPr>
          <w:sz w:val="20"/>
          <w:szCs w:val="20"/>
          <w:color w:val="auto"/>
        </w:rPr>
      </w:pPr>
      <w:r>
        <w:rPr>
          <w:rFonts w:ascii="Arial" w:cs="Arial" w:eastAsia="Arial" w:hAnsi="Arial"/>
          <w:sz w:val="19"/>
          <w:szCs w:val="19"/>
          <w:color w:val="auto"/>
        </w:rPr>
        <w:t>We reported initial data from this trial at the ASCO Annual Meeting in June 2022. During our Research and Development Day in December 2022. These data were further supported in an update announced in September 2023, based on a data cutoff of August 1, 2023, where we presented updated data demonstrating evidence of local and systemic anti-tumor activity; a disease control rate of 77% (20/26) in patients entering trial with disease progression (cohort 2); sustained and ongoing clinical responses greater than 1 year; favorable change in the trajectory of tumor progression; decreased tumor size of RECIST target lesions in most patients; reduced uninjected tumor size in 14/21 patients (67%); an overall response rate of 13% (4/30) across cohorts 1 and 2; durable disease stabilization translating into encouraging preliminary evidence of progression-free survival; consistent induction of local and systemic cytotoxic T cell response; increased infiltration of CD8+ T cells in the tumor microenvironment; systemic expansion of effector T cells and increase in soluble granzyme B levels in the peripheral blood; and favorable safety/tolerability data with most treatment-related adverse events being grade 1/2. In December 2023, the recruitment of this study was paused as we completed target enrollment for cohort 2.</w:t>
      </w:r>
    </w:p>
    <w:p>
      <w:pPr>
        <w:spacing w:after="0" w:line="87" w:lineRule="exact"/>
        <w:rPr>
          <w:sz w:val="20"/>
          <w:szCs w:val="20"/>
          <w:color w:val="auto"/>
        </w:rPr>
      </w:pPr>
    </w:p>
    <w:p>
      <w:pPr>
        <w:ind w:right="380"/>
        <w:spacing w:after="0" w:line="281" w:lineRule="auto"/>
        <w:rPr>
          <w:sz w:val="20"/>
          <w:szCs w:val="20"/>
          <w:color w:val="auto"/>
        </w:rPr>
      </w:pPr>
      <w:r>
        <w:rPr>
          <w:rFonts w:ascii="Arial" w:cs="Arial" w:eastAsia="Arial" w:hAnsi="Arial"/>
          <w:sz w:val="19"/>
          <w:szCs w:val="19"/>
          <w:color w:val="auto"/>
        </w:rPr>
        <w:t>We anticipate presenting topline overall survival data from this ongoing phase 2 clinical trial in the second quarter of 2024.</w:t>
      </w: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CAN-2409 for Pancreatic Cancer</w:t>
      </w:r>
    </w:p>
    <w:p>
      <w:pPr>
        <w:spacing w:after="0" w:line="124" w:lineRule="exact"/>
        <w:rPr>
          <w:sz w:val="20"/>
          <w:szCs w:val="20"/>
          <w:color w:val="auto"/>
        </w:rPr>
      </w:pPr>
    </w:p>
    <w:p>
      <w:pPr>
        <w:ind w:right="180"/>
        <w:spacing w:after="0" w:line="267" w:lineRule="auto"/>
        <w:rPr>
          <w:sz w:val="20"/>
          <w:szCs w:val="20"/>
          <w:color w:val="auto"/>
        </w:rPr>
      </w:pPr>
      <w:r>
        <w:rPr>
          <w:rFonts w:ascii="Arial" w:cs="Arial" w:eastAsia="Arial" w:hAnsi="Arial"/>
          <w:sz w:val="18"/>
          <w:szCs w:val="18"/>
          <w:color w:val="auto"/>
        </w:rPr>
        <w:t>In a previous phase 1b clinical trial, patients with pancreatic cancer treated with CAN-2409 in addition to SoC demonstrated a greater survival duration over the expected survival of the patients treated with the existing SoC alone in a comparison to historical trial results. Furthermore, in the subset of patients where pre- and post-treatment tumor biopsies were available, a statistically significant increase in the number of CD8+ tumor infiltrating lymphocytes was observed. In addition, the study demonstrated that CAN-2409 was generally well-tolerated in combination with SoC.</w:t>
      </w:r>
    </w:p>
    <w:p>
      <w:pPr>
        <w:spacing w:after="0" w:line="61" w:lineRule="exact"/>
        <w:rPr>
          <w:sz w:val="20"/>
          <w:szCs w:val="20"/>
          <w:color w:val="auto"/>
        </w:rPr>
      </w:pPr>
    </w:p>
    <w:p>
      <w:pPr>
        <w:spacing w:after="0" w:line="244" w:lineRule="auto"/>
        <w:rPr>
          <w:sz w:val="20"/>
          <w:szCs w:val="20"/>
          <w:color w:val="auto"/>
        </w:rPr>
      </w:pPr>
      <w:r>
        <w:rPr>
          <w:rFonts w:ascii="Arial" w:cs="Arial" w:eastAsia="Arial" w:hAnsi="Arial"/>
          <w:sz w:val="19"/>
          <w:szCs w:val="19"/>
          <w:color w:val="auto"/>
        </w:rPr>
        <w:t>We are currently conducting a randomized phase 2 clinical trial of CAN-2409 in borderline resectable pancreatic cancer, with a target enrollment of up to 54 patients. In March 2023, in connection with our cost management and dynamic portfolio management initiatives, we elected to pause new enrollment in this randomized phase 2 clinical trial, subject to additional funding. Despite the pause in patient enrollment, we presented initial clinical data in the fourth quarter of 2023, based on a data cutoff date of August 21, 2023. The initial data showed prolonged and sustained survival in patients who were treated with CAN-2409 and there was a separation of the survival rates in the treatment and placebo arms. Estimated survival was 71.4% when 2-3 CAN-2409 courses were added to standard neoadjuvant chemoradiotherapy followed by attempted surgical resection compared to 16.7% with standard neoadjuvant chemoradiotherapy followed by attempted surgical resection alone at both 24 and 36 months after treatment. We expect to present an update to this survival data in the second quarter of 2024.</w:t>
      </w:r>
    </w:p>
    <w:p>
      <w:pPr>
        <w:spacing w:after="0" w:line="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CAN-2409 for High-Grade Glioma</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Phase 3 Clinical Trial of CAN-2409 in High-Grade Glioma</w:t>
      </w:r>
    </w:p>
    <w:p>
      <w:pPr>
        <w:spacing w:after="0" w:line="112" w:lineRule="exact"/>
        <w:rPr>
          <w:sz w:val="20"/>
          <w:szCs w:val="20"/>
          <w:color w:val="auto"/>
        </w:rPr>
      </w:pPr>
    </w:p>
    <w:p>
      <w:pPr>
        <w:ind w:right="260"/>
        <w:spacing w:after="0" w:line="250" w:lineRule="auto"/>
        <w:rPr>
          <w:sz w:val="20"/>
          <w:szCs w:val="20"/>
          <w:color w:val="auto"/>
        </w:rPr>
      </w:pPr>
      <w:r>
        <w:rPr>
          <w:rFonts w:ascii="Arial" w:cs="Arial" w:eastAsia="Arial" w:hAnsi="Arial"/>
          <w:sz w:val="19"/>
          <w:szCs w:val="19"/>
          <w:color w:val="auto"/>
        </w:rPr>
        <w:t>At our Research &amp; Development Day in December 2022 we announced that we have made a portfolio and resource prioritization decision to pursue CAN-3110 in recurrent HGG, but not to pursue a phase 3 clinical trial of CAN-2409 in high-grade glioma. The CAN-3110 program in recurrent HGG may serve as an enabling clinical trial for future expansion into earlier stages of HGG as well as other solid tumors outside the brain that are characterized by Nestin expression.</w:t>
      </w:r>
    </w:p>
    <w:p>
      <w:pPr>
        <w:spacing w:after="0" w:line="8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Phase 1 Clinical Trial of CAN-2409 With Opdivo in High-Grade Glioma</w:t>
      </w:r>
    </w:p>
    <w:p>
      <w:pPr>
        <w:spacing w:after="0" w:line="112" w:lineRule="exact"/>
        <w:rPr>
          <w:sz w:val="20"/>
          <w:szCs w:val="20"/>
          <w:color w:val="auto"/>
        </w:rPr>
      </w:pPr>
    </w:p>
    <w:p>
      <w:pPr>
        <w:ind w:right="160"/>
        <w:spacing w:after="0" w:line="253" w:lineRule="auto"/>
        <w:rPr>
          <w:sz w:val="20"/>
          <w:szCs w:val="20"/>
          <w:color w:val="auto"/>
        </w:rPr>
      </w:pPr>
      <w:r>
        <w:rPr>
          <w:rFonts w:ascii="Arial" w:cs="Arial" w:eastAsia="Arial" w:hAnsi="Arial"/>
          <w:sz w:val="19"/>
          <w:szCs w:val="19"/>
          <w:color w:val="auto"/>
        </w:rPr>
        <w:t>We conducted a phase 1b clinical trial in patients with newly diagnosed HGG examining the combination of CAN-2409 and anti-PD-1 nivolumab (Opdivo, BMS) in collaboration with BMS and Adult Brain Tumor Consortium. This was the first clinical trial to evaluate the combination of CAN-2409 and nivolumab in HGG patients with the goal of enhancing anti-tumor T cell activation and expansion and the potential for better clinical outcome.</w:t>
      </w:r>
    </w:p>
    <w:p>
      <w:pPr>
        <w:spacing w:after="0" w:line="73" w:lineRule="exact"/>
        <w:rPr>
          <w:sz w:val="20"/>
          <w:szCs w:val="20"/>
          <w:color w:val="auto"/>
        </w:rPr>
      </w:pPr>
    </w:p>
    <w:p>
      <w:pPr>
        <w:spacing w:after="0" w:line="242" w:lineRule="auto"/>
        <w:rPr>
          <w:sz w:val="20"/>
          <w:szCs w:val="20"/>
          <w:color w:val="auto"/>
        </w:rPr>
      </w:pPr>
      <w:r>
        <w:rPr>
          <w:rFonts w:ascii="Arial" w:cs="Arial" w:eastAsia="Arial" w:hAnsi="Arial"/>
          <w:sz w:val="19"/>
          <w:szCs w:val="19"/>
          <w:color w:val="auto"/>
        </w:rPr>
        <w:t>Data for this phase 1b clinical trial were presented at the 37th Annual Meeting of Society for Immunotherapy of Cancer (SITC) in Boston in November 2022. In the trial involving 35 evaluable patients, extensive biomarker analyses demonstrated that the combination of CAN-2409 and nivolumab resulted in a statistically significant expansion of activated tumor-fighting CD4+ and CD8+ T cells effector cells as well as decreased markers of exhaustion on effector cells. Proteomic analysis by OLINK revealed an increase in pro-inflammatory cytokines, including interferon-gamma, the chemokines CXCL9/10 and CXCL11, MCP-1, MCP-3, and granzyme A. Systemic immune activation was observed after the single administration of CAN-2409, prior to initiation of nivolumab (week 3 post treatment). mOS for patients with methylated MGMT promoter was 30.6 months for those who underwent gross total resection (GTR) (n=10) and 12.6 months for those who underwent sub-total resection (STR) (n=5). mOS for patients with unmethylated MGMT was</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13.2 months (GTR) (n=16) and 15.9 months (STR) (n=4), respectively.</w:t>
      </w:r>
    </w:p>
    <w:p>
      <w:pPr>
        <w:spacing w:after="0" w:line="10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Phase 1b/2 Clinical Trial of CAN-2409 Combined with SoC in High-Grade Glioma</w:t>
      </w:r>
    </w:p>
    <w:p>
      <w:pPr>
        <w:spacing w:after="0" w:line="112" w:lineRule="exact"/>
        <w:rPr>
          <w:sz w:val="20"/>
          <w:szCs w:val="20"/>
          <w:color w:val="auto"/>
        </w:rPr>
      </w:pPr>
    </w:p>
    <w:p>
      <w:pPr>
        <w:ind w:right="80"/>
        <w:spacing w:after="0" w:line="281" w:lineRule="auto"/>
        <w:rPr>
          <w:sz w:val="20"/>
          <w:szCs w:val="20"/>
          <w:color w:val="auto"/>
        </w:rPr>
      </w:pPr>
      <w:r>
        <w:rPr>
          <w:rFonts w:ascii="Arial" w:cs="Arial" w:eastAsia="Arial" w:hAnsi="Arial"/>
          <w:sz w:val="19"/>
          <w:szCs w:val="19"/>
          <w:color w:val="auto"/>
        </w:rPr>
        <w:t>In our phase 1b/2 clinical trial in newly diagnosed patients with HGGs, including the difficult-to-treat glioblastoma, CAN-2409 demonstrated a statistically significant increase in patient survival when combined with current SoC over the</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19</w:t>
      </w:r>
    </w:p>
    <w:p>
      <w:pPr>
        <w:sectPr>
          <w:pgSz w:w="12240" w:h="15840" w:orient="portrait"/>
          <w:cols w:equalWidth="0" w:num="1">
            <w:col w:w="10080"/>
          </w:cols>
          <w:pgMar w:left="1080" w:top="1062" w:right="1080" w:bottom="173" w:gutter="0" w:footer="0" w:header="0"/>
        </w:sectPr>
      </w:pPr>
    </w:p>
    <w:bookmarkStart w:id="23" w:name="page24"/>
    <w:bookmarkEnd w:id="23"/>
    <w:p>
      <w:pPr>
        <w:ind w:right="40"/>
        <w:spacing w:after="0" w:line="244" w:lineRule="auto"/>
        <w:rPr>
          <w:sz w:val="20"/>
          <w:szCs w:val="20"/>
          <w:color w:val="auto"/>
        </w:rPr>
      </w:pPr>
      <w:r>
        <w:rPr>
          <w:rFonts w:ascii="Arial" w:cs="Arial" w:eastAsia="Arial" w:hAnsi="Arial"/>
          <w:sz w:val="19"/>
          <w:szCs w:val="19"/>
          <w:color w:val="auto"/>
        </w:rPr>
        <w:t>current SoC alone (surgery, radiation and temozolomide). The trial compared the overall survival of 48 enrolled patients treated at 4 clinical sites with CAN-2409 plus SoC against a matched controlled set of 134 patients enrolled at MGB who received only SoC. The results demonstrated that the mOS of patients receiving SoC alone was 13.5 months while patients receiving CAN-2409 plus SoC was 17.1 months (p=0.0417). Importantly, a pre-planned analysis on a subset of patients treated surgically with gross total resection (&gt;95% of tumor removed) during surgery (18 patients compared to 44 in the control arm), demonstrated a mOS of 25.1 months in the CAN-2409 arm versus 16.3 months in the SoC group, with approximately a 50% improvement (p=0.0120). In this patient population, after three years, one in three patients was alive in the CAN-2409 arm compared to 1 in 20 patients in the SoC group. At the end of the study, three of the patients who received CAN-2409 were alive without progression after 43, 62.1 and 88.5 months. CAN-2409 was generally well tolerated, with most treatment-related adverse events being grade 1 or 2, and few reports of grade 3 or 4 events.</w:t>
      </w:r>
    </w:p>
    <w:p>
      <w:pPr>
        <w:spacing w:after="0" w:line="7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Opportunities for CAN-2409 in Other Cancer Indications</w:t>
      </w:r>
    </w:p>
    <w:p>
      <w:pPr>
        <w:spacing w:after="0" w:line="124" w:lineRule="exact"/>
        <w:rPr>
          <w:sz w:val="20"/>
          <w:szCs w:val="20"/>
          <w:color w:val="auto"/>
        </w:rPr>
      </w:pPr>
    </w:p>
    <w:p>
      <w:pPr>
        <w:ind w:right="80"/>
        <w:spacing w:after="0" w:line="260" w:lineRule="auto"/>
        <w:rPr>
          <w:sz w:val="20"/>
          <w:szCs w:val="20"/>
          <w:color w:val="auto"/>
        </w:rPr>
      </w:pPr>
      <w:r>
        <w:rPr>
          <w:rFonts w:ascii="Arial" w:cs="Arial" w:eastAsia="Arial" w:hAnsi="Arial"/>
          <w:sz w:val="19"/>
          <w:szCs w:val="19"/>
          <w:color w:val="auto"/>
        </w:rPr>
        <w:t>In addition to patients with prostate, lung, pancreatic, and brain cancer, CAN-2409 has been dosed in small early-stage exploratory clinical trials in patients with ovarian cancer, malignant pleural effusion, pediatric brain cancer and retinoblastoma, supporting the tolerability and safety profile described above.</w:t>
      </w:r>
    </w:p>
    <w:p>
      <w:pPr>
        <w:spacing w:after="0" w:line="6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CAN-3110 for Recurrent High-grade Glioma</w:t>
      </w:r>
    </w:p>
    <w:p>
      <w:pPr>
        <w:spacing w:after="0" w:line="124" w:lineRule="exact"/>
        <w:rPr>
          <w:sz w:val="20"/>
          <w:szCs w:val="20"/>
          <w:color w:val="auto"/>
        </w:rPr>
      </w:pPr>
    </w:p>
    <w:p>
      <w:pPr>
        <w:ind w:right="140"/>
        <w:spacing w:after="0" w:line="250" w:lineRule="auto"/>
        <w:rPr>
          <w:sz w:val="20"/>
          <w:szCs w:val="20"/>
          <w:color w:val="auto"/>
        </w:rPr>
      </w:pPr>
      <w:r>
        <w:rPr>
          <w:rFonts w:ascii="Arial" w:cs="Arial" w:eastAsia="Arial" w:hAnsi="Arial"/>
          <w:sz w:val="19"/>
          <w:szCs w:val="19"/>
          <w:color w:val="auto"/>
        </w:rPr>
        <w:t>Our first HSV-based product candidate, CAN-3110, is in an ongoing investigator-sponsored phase 1b clinical trial in recurrent HGG. This is an open-label, dose-escalation clinical trial in patients who have failed SoC. The primary objective of this clinical trial is to analyze the safety of CAN-3110 use in patients with recurrent HGG. No dose-limiting toxicities were observed in doses ranging from 1x10</w:t>
      </w:r>
      <w:r>
        <w:rPr>
          <w:rFonts w:ascii="Arial" w:cs="Arial" w:eastAsia="Arial" w:hAnsi="Arial"/>
          <w:sz w:val="12"/>
          <w:szCs w:val="12"/>
          <w:color w:val="auto"/>
        </w:rPr>
        <w:t>6</w:t>
      </w:r>
      <w:r>
        <w:rPr>
          <w:rFonts w:ascii="Arial" w:cs="Arial" w:eastAsia="Arial" w:hAnsi="Arial"/>
          <w:sz w:val="19"/>
          <w:szCs w:val="19"/>
          <w:color w:val="auto"/>
        </w:rPr>
        <w:t xml:space="preserve"> to 1x10</w:t>
      </w:r>
      <w:r>
        <w:rPr>
          <w:rFonts w:ascii="Arial" w:cs="Arial" w:eastAsia="Arial" w:hAnsi="Arial"/>
          <w:sz w:val="12"/>
          <w:szCs w:val="12"/>
          <w:color w:val="auto"/>
        </w:rPr>
        <w:t>10</w:t>
      </w:r>
      <w:r>
        <w:rPr>
          <w:rFonts w:ascii="Arial" w:cs="Arial" w:eastAsia="Arial" w:hAnsi="Arial"/>
          <w:sz w:val="19"/>
          <w:szCs w:val="19"/>
          <w:color w:val="auto"/>
        </w:rPr>
        <w:t xml:space="preserve"> PFU in half-log increments. More than 50 patients have been treated.</w:t>
      </w:r>
    </w:p>
    <w:p>
      <w:pPr>
        <w:spacing w:after="0" w:line="74" w:lineRule="exact"/>
        <w:rPr>
          <w:sz w:val="20"/>
          <w:szCs w:val="20"/>
          <w:color w:val="auto"/>
        </w:rPr>
      </w:pPr>
    </w:p>
    <w:p>
      <w:pPr>
        <w:ind w:right="20"/>
        <w:spacing w:after="0" w:line="281" w:lineRule="auto"/>
        <w:rPr>
          <w:sz w:val="20"/>
          <w:szCs w:val="20"/>
          <w:color w:val="auto"/>
        </w:rPr>
      </w:pPr>
      <w:r>
        <w:rPr>
          <w:rFonts w:ascii="Arial" w:cs="Arial" w:eastAsia="Arial" w:hAnsi="Arial"/>
          <w:sz w:val="19"/>
          <w:szCs w:val="19"/>
          <w:color w:val="auto"/>
        </w:rPr>
        <w:t>Immunohistology studies showed persistent presence of HSV antigen and infiltration by CD8+ cytotoxic tumor infiltrating lymphocytes post treatment, providing support for the expected mechanism of action of CAN-3110.</w:t>
      </w:r>
    </w:p>
    <w:p>
      <w:pPr>
        <w:spacing w:after="0" w:line="45" w:lineRule="exact"/>
        <w:rPr>
          <w:sz w:val="20"/>
          <w:szCs w:val="20"/>
          <w:color w:val="auto"/>
        </w:rPr>
      </w:pPr>
    </w:p>
    <w:p>
      <w:pPr>
        <w:ind w:right="20"/>
        <w:spacing w:after="0" w:line="241" w:lineRule="auto"/>
        <w:rPr>
          <w:sz w:val="20"/>
          <w:szCs w:val="20"/>
          <w:color w:val="auto"/>
        </w:rPr>
      </w:pPr>
      <w:r>
        <w:rPr>
          <w:rFonts w:ascii="Arial" w:cs="Arial" w:eastAsia="Arial" w:hAnsi="Arial"/>
          <w:sz w:val="19"/>
          <w:szCs w:val="19"/>
          <w:color w:val="auto"/>
        </w:rPr>
        <w:t>We are particularly encouraged by the clinical course of a few patients who received a single injection with CAN-3110 as monotherapy upon recurrence of glioblastoma. One patient, originally diagnosed with multicentric glioblastoma and initially treated with SoC surgical resection followed by temozolomide and radiotherapy has been treated with CAN-3110 monotherapy, upon recurrency with development of two lesions visualized on MRI. One lesion, in the frontal region, had developed at the site of the initially resected mass. The second, larger mass was a new lesion. The patient received CAN-3110 via stereotactic administration into the injected lesion. At day 56 post-injection, there was a visible decrease in the volume of both masses. By day 112 post-injection, the volume of both masses was further reduced and the patient was able to go back to work. The patient eventually developed a third lesion, experienced a stroke secondary to a diagnostic procedure, and refused further treatment, dying approximately 15 months after entering the trial. A second patient initially diagnosed with methylated grade IV HGG located in the temporal lobe underwent 2 consecutive resections and treatment with chemoradiation for rapid progressive disease. The patient was injected with CAN-3110 (10E8 pfus), at the site of the original lesion. An MRI scan performed at day 91 showed increased enhancement at the site of injection. The patient underwent an additional resection, but, importantly, histological report showed mainly inflammatory tissue with high density of tumor infiltrating lymphocytes. The patient did not have detectable disease, in absence of any additional treatment for more than 2 years and passed away as passenger of a motor vehicle accident on day 717 post CAN -3110 treatment. Another patient, originally diagnosed with grade IV astrocytoma, was treated with CAN-3110 for a recurrence following first-line therapy with subtotal resection, chemoradiation and adjuvant temozolomide. At time of recurrence, a mass was evident in the left frontal lobe. The patient was enrolled in arm B of the phase 1 clinical trial which includes treatment with Cytoxan (24 mg/kg one dose day -2) prior to CAN-3110 injection. Post-treatment scan demonstrated progressive reduction in enhancement with cavitary necrosis at the site of injection. The patient remains clinically stable as of February 2024 and has not required additional therapies in the two years post CAN-3110 treatment. We find these case reports to be encouraging because of the unusually favorable disease course experienced by these patients with recurrent HGG who had previously failed SoC treatment, in absence of concurrent therapies. Additionally, we have observed a mOS of 11.8 months in the phase 1b trial in the first 41 patients as of the cutoff date of April 20, 2023. This data was confirmed in an independent cohort of 9 patients (cohort B; mOS 12.0 months). Prolonged survival after CAN-3110 treatment was associated with HSV-1 seropositivity as well as with changes in T cell fractions and TCRβ diversity. Given the mOS of less than 6-9 months in historical clinical trials of other investigational agents in patients with recurrent HGG, who have failed SoC treatment we believe this is encouraging evidence of clinical activity. We expect to report additional data, including the potential benefits from multiple injections of CAN-3110, from the ongoing phase 1b clinical trial in the second half of 2024.</w:t>
      </w:r>
    </w:p>
    <w:p>
      <w:pPr>
        <w:spacing w:after="0" w:line="8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Collaborations and Other Transactions</w:t>
      </w:r>
    </w:p>
    <w:p>
      <w:pPr>
        <w:spacing w:after="0" w:line="124" w:lineRule="exact"/>
        <w:rPr>
          <w:sz w:val="20"/>
          <w:szCs w:val="20"/>
          <w:color w:val="auto"/>
        </w:rPr>
      </w:pPr>
    </w:p>
    <w:p>
      <w:pPr>
        <w:spacing w:after="0" w:line="281" w:lineRule="auto"/>
        <w:rPr>
          <w:sz w:val="20"/>
          <w:szCs w:val="20"/>
          <w:color w:val="auto"/>
        </w:rPr>
      </w:pPr>
      <w:r>
        <w:rPr>
          <w:rFonts w:ascii="Arial" w:cs="Arial" w:eastAsia="Arial" w:hAnsi="Arial"/>
          <w:sz w:val="19"/>
          <w:szCs w:val="19"/>
          <w:color w:val="auto"/>
        </w:rPr>
        <w:t>We are a party to various license and collaboration agreements under which we license patents, patent applications and other intellectual property to and from third parties. These licenses impose various diligence and financial payment</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20</w:t>
      </w:r>
    </w:p>
    <w:p>
      <w:pPr>
        <w:sectPr>
          <w:pgSz w:w="12240" w:h="15840" w:orient="portrait"/>
          <w:cols w:equalWidth="0" w:num="1">
            <w:col w:w="10080"/>
          </w:cols>
          <w:pgMar w:left="1080" w:top="1062" w:right="1080" w:bottom="173" w:gutter="0" w:footer="0" w:header="0"/>
        </w:sectPr>
      </w:pPr>
    </w:p>
    <w:bookmarkStart w:id="24" w:name="page25"/>
    <w:bookmarkEnd w:id="24"/>
    <w:p>
      <w:pPr>
        <w:ind w:right="120"/>
        <w:spacing w:after="0" w:line="281" w:lineRule="auto"/>
        <w:rPr>
          <w:sz w:val="20"/>
          <w:szCs w:val="20"/>
          <w:color w:val="auto"/>
        </w:rPr>
      </w:pPr>
      <w:r>
        <w:rPr>
          <w:rFonts w:ascii="Arial" w:cs="Arial" w:eastAsia="Arial" w:hAnsi="Arial"/>
          <w:sz w:val="19"/>
          <w:szCs w:val="19"/>
          <w:color w:val="auto"/>
        </w:rPr>
        <w:t>obligations on us. We expect to continue to enter into these types of license agreements in the future. We consider the following license and collaboration agreements to be material to our business:</w:t>
      </w:r>
    </w:p>
    <w:p>
      <w:pPr>
        <w:spacing w:after="0" w:line="45" w:lineRule="exact"/>
        <w:rPr>
          <w:sz w:val="20"/>
          <w:szCs w:val="20"/>
          <w:color w:val="auto"/>
        </w:rPr>
      </w:pPr>
    </w:p>
    <w:p>
      <w:pPr>
        <w:ind w:right="40"/>
        <w:spacing w:after="0" w:line="244" w:lineRule="auto"/>
        <w:rPr>
          <w:sz w:val="20"/>
          <w:szCs w:val="20"/>
          <w:color w:val="auto"/>
        </w:rPr>
      </w:pPr>
      <w:r>
        <w:rPr>
          <w:rFonts w:ascii="Arial" w:cs="Arial" w:eastAsia="Arial" w:hAnsi="Arial"/>
          <w:sz w:val="19"/>
          <w:szCs w:val="19"/>
          <w:b w:val="1"/>
          <w:bCs w:val="1"/>
          <w:i w:val="1"/>
          <w:iCs w:val="1"/>
          <w:color w:val="auto"/>
        </w:rPr>
        <w:t xml:space="preserve">Periphagen. </w:t>
      </w:r>
      <w:r>
        <w:rPr>
          <w:rFonts w:ascii="Arial" w:cs="Arial" w:eastAsia="Arial" w:hAnsi="Arial"/>
          <w:sz w:val="19"/>
          <w:szCs w:val="19"/>
          <w:color w:val="auto"/>
        </w:rPr>
        <w:t>On December 9, 2019, we entered into a series of agreements, including an exclusive license agreement,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 novation agreement, an equipment purchase agreement and an intellectual property assignment agreement, collectively the Periphagen Agreements, with Periphagen, whereby we acquired certain assets and licensed certain rights (including specified patent rights and know-how, or the Licensed IP Rights) of Periphagen, primarily consisting of exclusive rights to their technology platform and a portfolio of pre-clinical, development stage virus vectors, as well as certain physical property and equipment. The primary classes of assets are HSV-derived assets expressing neurotrophin-3 (or NT-3 Assets) and other HSV-derived assets (Gene Transfer Neuro-Assets). Under the license agreement, Periphagen granted us a worldwide exclusive license with the right to grant sublicenses through multiple tiers under the Licensed IP Rights to conduct research and to develop, make, have made, use, have used, offer for sale, have sold, export and import products incorporating the Licensed IP Rights in all fields of use except the treatment, diagnosis, and prevention of nononcologic skin diseases and conditions (including use as an aesthetic).</w:t>
      </w:r>
    </w:p>
    <w:p>
      <w:pPr>
        <w:spacing w:after="0" w:line="80" w:lineRule="exact"/>
        <w:rPr>
          <w:sz w:val="20"/>
          <w:szCs w:val="20"/>
          <w:color w:val="auto"/>
        </w:rPr>
      </w:pPr>
    </w:p>
    <w:p>
      <w:pPr>
        <w:ind w:right="80"/>
        <w:spacing w:after="0" w:line="253" w:lineRule="auto"/>
        <w:rPr>
          <w:sz w:val="20"/>
          <w:szCs w:val="20"/>
          <w:color w:val="auto"/>
        </w:rPr>
      </w:pPr>
      <w:r>
        <w:rPr>
          <w:rFonts w:ascii="Arial" w:cs="Arial" w:eastAsia="Arial" w:hAnsi="Arial"/>
          <w:sz w:val="19"/>
          <w:szCs w:val="19"/>
          <w:color w:val="auto"/>
        </w:rPr>
        <w:t>In addition, pursuant to the Periphagen Agreements, we undertook certain commitments and obligations, including the assumption of Periphagen’s outstanding loan in the principal amount of $1,000,000 with Diamyd Medical, AB. The promissory note has a contractual interest rate of 2% compounded annually, with the outstanding balance and accrued interest due upon maturity in November 2027, with no interim installments.</w:t>
      </w:r>
    </w:p>
    <w:p>
      <w:pPr>
        <w:spacing w:after="0" w:line="73" w:lineRule="exact"/>
        <w:rPr>
          <w:sz w:val="20"/>
          <w:szCs w:val="20"/>
          <w:color w:val="auto"/>
        </w:rPr>
      </w:pPr>
    </w:p>
    <w:p>
      <w:pPr>
        <w:ind w:right="300"/>
        <w:spacing w:after="0" w:line="281" w:lineRule="auto"/>
        <w:rPr>
          <w:sz w:val="20"/>
          <w:szCs w:val="20"/>
          <w:color w:val="auto"/>
        </w:rPr>
      </w:pPr>
      <w:r>
        <w:rPr>
          <w:rFonts w:ascii="Arial" w:cs="Arial" w:eastAsia="Arial" w:hAnsi="Arial"/>
          <w:sz w:val="19"/>
          <w:szCs w:val="19"/>
          <w:color w:val="auto"/>
        </w:rPr>
        <w:t>In consideration for the licenses under the Periphagen Agreements, we paid Periphagen $811,000 upon signing and agreed to make the following royalty and other payments:</w:t>
      </w:r>
    </w:p>
    <w:p>
      <w:pPr>
        <w:spacing w:after="0" w:line="58" w:lineRule="exact"/>
        <w:rPr>
          <w:sz w:val="20"/>
          <w:szCs w:val="20"/>
          <w:color w:val="auto"/>
        </w:rPr>
      </w:pPr>
    </w:p>
    <w:p>
      <w:pPr>
        <w:ind w:left="720" w:right="40" w:hanging="360"/>
        <w:spacing w:after="0" w:line="253" w:lineRule="auto"/>
        <w:tabs>
          <w:tab w:leader="none" w:pos="720" w:val="left"/>
        </w:tabs>
        <w:numPr>
          <w:ilvl w:val="0"/>
          <w:numId w:val="22"/>
        </w:numPr>
        <w:rPr>
          <w:rFonts w:ascii="Arial" w:cs="Arial" w:eastAsia="Arial" w:hAnsi="Arial"/>
          <w:sz w:val="19"/>
          <w:szCs w:val="19"/>
          <w:color w:val="auto"/>
        </w:rPr>
      </w:pPr>
      <w:r>
        <w:rPr>
          <w:rFonts w:ascii="Arial" w:cs="Arial" w:eastAsia="Arial" w:hAnsi="Arial"/>
          <w:sz w:val="19"/>
          <w:szCs w:val="19"/>
          <w:color w:val="auto"/>
        </w:rPr>
        <w:t>NT-3 Assets: a single digit percentage of net sales of NT-3 Assets, or, if applicable, a percentage of royalties received by us in the event of a license, sublicense, assignment or other transfer to a third party for commercialization (but no greater than the original royalty percentage we would be required to pay in the event we did not license, sublicense, assign or transfer NT-3 Assets);</w:t>
      </w:r>
    </w:p>
    <w:p>
      <w:pPr>
        <w:spacing w:after="0" w:line="85" w:lineRule="exact"/>
        <w:rPr>
          <w:rFonts w:ascii="Arial" w:cs="Arial" w:eastAsia="Arial" w:hAnsi="Arial"/>
          <w:sz w:val="19"/>
          <w:szCs w:val="19"/>
          <w:color w:val="auto"/>
        </w:rPr>
      </w:pPr>
    </w:p>
    <w:p>
      <w:pPr>
        <w:ind w:left="720" w:right="180" w:hanging="360"/>
        <w:spacing w:after="0" w:line="250" w:lineRule="auto"/>
        <w:tabs>
          <w:tab w:leader="none" w:pos="720" w:val="left"/>
        </w:tabs>
        <w:numPr>
          <w:ilvl w:val="0"/>
          <w:numId w:val="22"/>
        </w:numPr>
        <w:rPr>
          <w:rFonts w:ascii="Arial" w:cs="Arial" w:eastAsia="Arial" w:hAnsi="Arial"/>
          <w:sz w:val="19"/>
          <w:szCs w:val="19"/>
          <w:color w:val="auto"/>
        </w:rPr>
      </w:pPr>
      <w:r>
        <w:rPr>
          <w:rFonts w:ascii="Arial" w:cs="Arial" w:eastAsia="Arial" w:hAnsi="Arial"/>
          <w:sz w:val="19"/>
          <w:szCs w:val="19"/>
          <w:color w:val="auto"/>
        </w:rPr>
        <w:t>Gene Transfer Neuro-Assets: a single digit percentage of net sales of Gene Transfer Neuro-Assets, or, if applicable, a percentage of royalties received by us in the event of a license, sublicense, assignment or other transfer to a third party for commercialization to treat certain conditions and diseases (but no greater than the original royalty percentage we would be required to pay in the event we did not license, sublicense, assign or transfer Gene Transfer Neuro-Assets);</w:t>
      </w:r>
    </w:p>
    <w:p>
      <w:pPr>
        <w:spacing w:after="0" w:line="87" w:lineRule="exact"/>
        <w:rPr>
          <w:rFonts w:ascii="Arial" w:cs="Arial" w:eastAsia="Arial" w:hAnsi="Arial"/>
          <w:sz w:val="19"/>
          <w:szCs w:val="19"/>
          <w:color w:val="auto"/>
        </w:rPr>
      </w:pPr>
    </w:p>
    <w:p>
      <w:pPr>
        <w:ind w:left="720" w:right="420" w:hanging="360"/>
        <w:spacing w:after="0" w:line="281" w:lineRule="auto"/>
        <w:tabs>
          <w:tab w:leader="none" w:pos="720" w:val="left"/>
        </w:tabs>
        <w:numPr>
          <w:ilvl w:val="0"/>
          <w:numId w:val="22"/>
        </w:numPr>
        <w:rPr>
          <w:rFonts w:ascii="Arial" w:cs="Arial" w:eastAsia="Arial" w:hAnsi="Arial"/>
          <w:sz w:val="19"/>
          <w:szCs w:val="19"/>
          <w:color w:val="auto"/>
        </w:rPr>
      </w:pPr>
      <w:r>
        <w:rPr>
          <w:rFonts w:ascii="Arial" w:cs="Arial" w:eastAsia="Arial" w:hAnsi="Arial"/>
          <w:sz w:val="19"/>
          <w:szCs w:val="19"/>
          <w:color w:val="auto"/>
        </w:rPr>
        <w:t>Combination Products: a certain percentage (based on the weighted average sale price of NT-3 Assets, or Gene Transfer Neuro-Assets, as applicable) of net sales of combination products; and</w:t>
      </w:r>
    </w:p>
    <w:p>
      <w:pPr>
        <w:spacing w:after="0" w:line="58" w:lineRule="exact"/>
        <w:rPr>
          <w:rFonts w:ascii="Arial" w:cs="Arial" w:eastAsia="Arial" w:hAnsi="Arial"/>
          <w:sz w:val="19"/>
          <w:szCs w:val="19"/>
          <w:color w:val="auto"/>
        </w:rPr>
      </w:pPr>
    </w:p>
    <w:p>
      <w:pPr>
        <w:ind w:left="720" w:right="40" w:hanging="360"/>
        <w:spacing w:after="0" w:line="248" w:lineRule="auto"/>
        <w:tabs>
          <w:tab w:leader="none" w:pos="720" w:val="left"/>
        </w:tabs>
        <w:numPr>
          <w:ilvl w:val="0"/>
          <w:numId w:val="22"/>
        </w:numPr>
        <w:rPr>
          <w:rFonts w:ascii="Arial" w:cs="Arial" w:eastAsia="Arial" w:hAnsi="Arial"/>
          <w:sz w:val="19"/>
          <w:szCs w:val="19"/>
          <w:color w:val="auto"/>
        </w:rPr>
      </w:pPr>
      <w:r>
        <w:rPr>
          <w:rFonts w:ascii="Arial" w:cs="Arial" w:eastAsia="Arial" w:hAnsi="Arial"/>
          <w:sz w:val="19"/>
          <w:szCs w:val="19"/>
          <w:color w:val="auto"/>
        </w:rPr>
        <w:t>Disposition Income: (i) a single digit royalty rate of certain consideration we receive for the grant of a license, assignment or other intellectual property rights related to the NT-3 Assets and (ii) if we consummate a strategic collaboration with certain specified parties to treat non-oncolygic neurological conditions and diseases, either 2nd decile (if consummated within 18 months) or mid-2nd decile to mid-3rd decile (if consummated thereafter) royalty rates of certain consideration we receive for the grant of a license, assignment or other intellectual property rights related to the Gene Transfer Neuro-Assets.</w:t>
      </w:r>
    </w:p>
    <w:p>
      <w:pPr>
        <w:spacing w:after="0" w:line="76" w:lineRule="exact"/>
        <w:rPr>
          <w:sz w:val="20"/>
          <w:szCs w:val="20"/>
          <w:color w:val="auto"/>
        </w:rPr>
      </w:pPr>
    </w:p>
    <w:p>
      <w:pPr>
        <w:ind w:right="220"/>
        <w:spacing w:after="0" w:line="260" w:lineRule="auto"/>
        <w:rPr>
          <w:sz w:val="20"/>
          <w:szCs w:val="20"/>
          <w:color w:val="auto"/>
        </w:rPr>
      </w:pPr>
      <w:r>
        <w:rPr>
          <w:rFonts w:ascii="Arial" w:cs="Arial" w:eastAsia="Arial" w:hAnsi="Arial"/>
          <w:sz w:val="19"/>
          <w:szCs w:val="19"/>
          <w:color w:val="auto"/>
        </w:rPr>
        <w:t>If we are required to pay royalties to a third party on any product covered under the Periphagen Agreements, we may credit such royalty payments against the royalties owed to Periphagen in the applicable country, up to a percentage reduction in the mid-2nd decile.</w:t>
      </w:r>
    </w:p>
    <w:p>
      <w:pPr>
        <w:spacing w:after="0" w:line="65" w:lineRule="exact"/>
        <w:rPr>
          <w:sz w:val="20"/>
          <w:szCs w:val="20"/>
          <w:color w:val="auto"/>
        </w:rPr>
      </w:pPr>
    </w:p>
    <w:p>
      <w:pPr>
        <w:spacing w:after="0" w:line="243" w:lineRule="auto"/>
        <w:rPr>
          <w:sz w:val="20"/>
          <w:szCs w:val="20"/>
          <w:color w:val="auto"/>
        </w:rPr>
      </w:pPr>
      <w:r>
        <w:rPr>
          <w:rFonts w:ascii="Arial" w:cs="Arial" w:eastAsia="Arial" w:hAnsi="Arial"/>
          <w:sz w:val="19"/>
          <w:szCs w:val="19"/>
          <w:color w:val="auto"/>
        </w:rPr>
        <w:t>The exclusive license agreement with Periphagen (the Periphagen License Agreement) requires us to use commercially reasonable efforts to complete a human proof of concept clinical trial of an NT-3 Asset, which includes certain specified clinical milestones. If we fail to use such efforts, subject to dispute and escalation provisions in the Periphagen License Agreement, then we may submit a specified payment in lieu of satisfying such obligations. If we fail to do so, Periphagen may terminate the Periphagen License Agreement for material breach. On December 15, 2022, Periphagen notified us by letter of its claim that we have failed to use commercially reasonable efforts to complete a human proof of concept clinical trial of an NT-3 Asset under an Exclusive License Agreement dated December 9, 2019 between us and Periphagen (the “Periphagen License Agreement”). On January 13, 2023, we filed a demand for arbitration against Periphagen with the American Arbitration Association, seeking a declaration that Periphagen’s December 15 letter failed to comply with the dispute and escalation provisions in the Periphagen License Agreement. On March 10, 2023, Periphagen filed its answer and counterclaims to our demand for arbitration. In its counterclaims, Periphagen sought a declaration that we have not used commercially reasonable efforts to complete a human proof of concept clinical trial of the NT-3 Asset and a declaration that any further extension of time would not be scientifically or commercially reasonable. We denied Periphagen’s counterclaims.</w:t>
      </w:r>
    </w:p>
    <w:p>
      <w:pPr>
        <w:spacing w:after="0" w:line="82" w:lineRule="exact"/>
        <w:rPr>
          <w:sz w:val="20"/>
          <w:szCs w:val="20"/>
          <w:color w:val="auto"/>
        </w:rPr>
      </w:pPr>
    </w:p>
    <w:p>
      <w:pPr>
        <w:ind w:right="80"/>
        <w:spacing w:after="0" w:line="281" w:lineRule="auto"/>
        <w:rPr>
          <w:sz w:val="20"/>
          <w:szCs w:val="20"/>
          <w:color w:val="auto"/>
        </w:rPr>
      </w:pPr>
      <w:r>
        <w:rPr>
          <w:rFonts w:ascii="Arial" w:cs="Arial" w:eastAsia="Arial" w:hAnsi="Arial"/>
          <w:sz w:val="19"/>
          <w:szCs w:val="19"/>
          <w:color w:val="auto"/>
        </w:rPr>
        <w:t>On June 7, 2023, the parties entered into an amendment to the Exclusive License Agreement that resolved the dispute and resulted in termination of the arbitration. See Part I, Item 3 “Legal Proceedings”.</w:t>
      </w: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21</w:t>
      </w:r>
    </w:p>
    <w:p>
      <w:pPr>
        <w:sectPr>
          <w:pgSz w:w="12240" w:h="15840" w:orient="portrait"/>
          <w:cols w:equalWidth="0" w:num="1">
            <w:col w:w="10060"/>
          </w:cols>
          <w:pgMar w:left="1080" w:top="1062" w:right="1100" w:bottom="173" w:gutter="0" w:footer="0" w:header="0"/>
        </w:sectPr>
      </w:pPr>
    </w:p>
    <w:bookmarkStart w:id="25" w:name="page26"/>
    <w:bookmarkEnd w:id="25"/>
    <w:p>
      <w:pPr>
        <w:ind w:right="60"/>
        <w:spacing w:after="0" w:line="258" w:lineRule="auto"/>
        <w:rPr>
          <w:sz w:val="20"/>
          <w:szCs w:val="20"/>
          <w:color w:val="auto"/>
        </w:rPr>
      </w:pPr>
      <w:r>
        <w:rPr>
          <w:rFonts w:ascii="Arial" w:cs="Arial" w:eastAsia="Arial" w:hAnsi="Arial"/>
          <w:sz w:val="18"/>
          <w:szCs w:val="18"/>
          <w:color w:val="auto"/>
        </w:rPr>
        <w:t>The Periphagen License Agreement expires on the later of December 9, 2069 or the end of the Royalty Term. Upon expiration, we will have a fully paid-up, non-exclusive license to make, use, sell, offer for sale and import any products that incorporate the Licensed IP Rights. The Royalty Term means, on a product-by-product and country-by-country basis, the period starting on the first commercial sale of such product in such country and concluding on the later of (i) expiration of patent coverage under the Licensed IP Rights or regulatory exclusivity for such product in such country; or</w:t>
      </w:r>
    </w:p>
    <w:p>
      <w:pPr>
        <w:spacing w:after="0" w:line="4" w:lineRule="exact"/>
        <w:rPr>
          <w:sz w:val="20"/>
          <w:szCs w:val="20"/>
          <w:color w:val="auto"/>
        </w:rPr>
      </w:pPr>
    </w:p>
    <w:p>
      <w:pPr>
        <w:ind w:right="400"/>
        <w:spacing w:after="0" w:line="254" w:lineRule="auto"/>
        <w:tabs>
          <w:tab w:leader="none" w:pos="264" w:val="left"/>
        </w:tabs>
        <w:numPr>
          <w:ilvl w:val="0"/>
          <w:numId w:val="23"/>
        </w:numPr>
        <w:rPr>
          <w:rFonts w:ascii="Arial" w:cs="Arial" w:eastAsia="Arial" w:hAnsi="Arial"/>
          <w:sz w:val="19"/>
          <w:szCs w:val="19"/>
          <w:color w:val="auto"/>
        </w:rPr>
      </w:pPr>
      <w:r>
        <w:rPr>
          <w:rFonts w:ascii="Arial" w:cs="Arial" w:eastAsia="Arial" w:hAnsi="Arial"/>
          <w:sz w:val="19"/>
          <w:szCs w:val="19"/>
          <w:color w:val="auto"/>
        </w:rPr>
        <w:t>the date that a certain amount of generic competition exists in such country, provided that no Royalty Term shall exceed 30 years.</w:t>
      </w:r>
    </w:p>
    <w:p>
      <w:pPr>
        <w:spacing w:after="0" w:line="70" w:lineRule="exact"/>
        <w:rPr>
          <w:sz w:val="20"/>
          <w:szCs w:val="20"/>
          <w:color w:val="auto"/>
        </w:rPr>
      </w:pPr>
    </w:p>
    <w:p>
      <w:pPr>
        <w:spacing w:after="0" w:line="253" w:lineRule="auto"/>
        <w:rPr>
          <w:sz w:val="20"/>
          <w:szCs w:val="20"/>
          <w:color w:val="auto"/>
        </w:rPr>
      </w:pPr>
      <w:r>
        <w:rPr>
          <w:rFonts w:ascii="Arial" w:cs="Arial" w:eastAsia="Arial" w:hAnsi="Arial"/>
          <w:sz w:val="19"/>
          <w:szCs w:val="19"/>
          <w:color w:val="auto"/>
        </w:rPr>
        <w:t>The Periphagen License Agreement may be terminated (i) by us for convenience upon 90 days’ prior written notice to Periphagen, (ii) by Periphagen if we remain in breach of the Periphagen Agreement following a cure period to remedy the breach or (iii) by Periphagen if we become bankrupt, file for bankruptcy or otherwise become insolvent or are placed in receivership.</w:t>
      </w:r>
    </w:p>
    <w:p>
      <w:pPr>
        <w:spacing w:after="0" w:line="73" w:lineRule="exact"/>
        <w:rPr>
          <w:sz w:val="20"/>
          <w:szCs w:val="20"/>
          <w:color w:val="auto"/>
        </w:rPr>
      </w:pPr>
    </w:p>
    <w:p>
      <w:pPr>
        <w:ind w:right="200"/>
        <w:spacing w:after="0" w:line="246" w:lineRule="auto"/>
        <w:rPr>
          <w:sz w:val="20"/>
          <w:szCs w:val="20"/>
          <w:color w:val="auto"/>
        </w:rPr>
      </w:pPr>
      <w:r>
        <w:rPr>
          <w:rFonts w:ascii="Arial" w:cs="Arial" w:eastAsia="Arial" w:hAnsi="Arial"/>
          <w:sz w:val="19"/>
          <w:szCs w:val="19"/>
          <w:b w:val="1"/>
          <w:bCs w:val="1"/>
          <w:i w:val="1"/>
          <w:iCs w:val="1"/>
          <w:color w:val="auto"/>
        </w:rPr>
        <w:t xml:space="preserve">Mass General Brigham (MGB). </w:t>
      </w:r>
      <w:r>
        <w:rPr>
          <w:rFonts w:ascii="Arial" w:cs="Arial" w:eastAsia="Arial" w:hAnsi="Arial"/>
          <w:sz w:val="19"/>
          <w:szCs w:val="19"/>
          <w:color w:val="auto"/>
        </w:rPr>
        <w:t>On January 20, 2018, we entered into an exclusive option agreement (the Option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Agreement) with MGB. Pursuant to the Option Agreement, we obtained the exclusive right from MGB to negotiate an exclusive worldwide, royalty-bearing license to develop and commercialize products covered by certain MGB patents, including those patents covering CAN-3110, in the field of gene therapy and vector therapy for the treatment or prevention of cancerous tumors in humans or animals, as such field is further detailed in the Option Agreement (Licensed Field). In consideration for MGB’s granting of the exclusive option, we paid MGB a non-refundable fee of $40,000.</w:t>
      </w:r>
    </w:p>
    <w:p>
      <w:pPr>
        <w:spacing w:after="0" w:line="82" w:lineRule="exact"/>
        <w:rPr>
          <w:sz w:val="20"/>
          <w:szCs w:val="20"/>
          <w:color w:val="auto"/>
        </w:rPr>
      </w:pPr>
    </w:p>
    <w:p>
      <w:pPr>
        <w:ind w:right="80"/>
        <w:spacing w:after="0" w:line="253" w:lineRule="auto"/>
        <w:rPr>
          <w:sz w:val="20"/>
          <w:szCs w:val="20"/>
          <w:color w:val="auto"/>
        </w:rPr>
      </w:pPr>
      <w:r>
        <w:rPr>
          <w:rFonts w:ascii="Arial" w:cs="Arial" w:eastAsia="Arial" w:hAnsi="Arial"/>
          <w:sz w:val="19"/>
          <w:szCs w:val="19"/>
          <w:color w:val="auto"/>
        </w:rPr>
        <w:t>Under the Option Agreement, we were required to use reasonable efforts to enter into a clinical trial agreement with MGB. We entered into such clinical trial agreement with MGB (MGB Clinical Trial Agreement) on June 19, 2018. Under the MGB Clinical Trial Agreement, we have committed to remitting up to $750,000 for the performance of a specified phase 1 clinical trial by MGB pursuant to a protocol summary contained in the Option Agreement.</w:t>
      </w:r>
    </w:p>
    <w:p>
      <w:pPr>
        <w:spacing w:after="0" w:line="73" w:lineRule="exact"/>
        <w:rPr>
          <w:sz w:val="20"/>
          <w:szCs w:val="20"/>
          <w:color w:val="auto"/>
        </w:rPr>
      </w:pPr>
    </w:p>
    <w:p>
      <w:pPr>
        <w:ind w:right="40"/>
        <w:spacing w:after="0" w:line="244" w:lineRule="auto"/>
        <w:rPr>
          <w:sz w:val="20"/>
          <w:szCs w:val="20"/>
          <w:color w:val="auto"/>
        </w:rPr>
      </w:pPr>
      <w:r>
        <w:rPr>
          <w:rFonts w:ascii="Arial" w:cs="Arial" w:eastAsia="Arial" w:hAnsi="Arial"/>
          <w:sz w:val="19"/>
          <w:szCs w:val="19"/>
          <w:color w:val="auto"/>
        </w:rPr>
        <w:t>On September 15, 2020, we exercised our option and entered into an exclusive patent license agreement with MGB (the MGB License Agreement). Under the MGB License Agreement, MGB granted to us (a) an exclusive, royalty-bearing license under certain of MGB’s patents to make, have made, use, have used, sell and have sold certain products covered by such licensed patents (the Licensed Products) and otherwise practice processes covered by such licensed patents (Licensed Processes); and (b) a non-exclusive, royalty-bearing license under certain other of MGB’s patents to make, have made, use, have used, sell and have sold Licensed Products, but not to sell or have sold Licensed Processes. The foregoing rights are sublicensable, subject to sublicensing terms set forth in the MGB License Agreement. In connection with executing the MGB License Agreement, we paid a license issue fee of $100,000. We also agreed to reimburse MGB for all reasonable fees and expenses MGB had incurred and will incur for the preparation, filing, prosecution and maintenance of the licensed patent rights, in an amount equal to $141,268.</w:t>
      </w:r>
    </w:p>
    <w:p>
      <w:pPr>
        <w:spacing w:after="0" w:line="84" w:lineRule="exact"/>
        <w:rPr>
          <w:sz w:val="20"/>
          <w:szCs w:val="20"/>
          <w:color w:val="auto"/>
        </w:rPr>
      </w:pPr>
    </w:p>
    <w:p>
      <w:pPr>
        <w:ind w:right="180"/>
        <w:spacing w:after="0" w:line="260" w:lineRule="auto"/>
        <w:rPr>
          <w:sz w:val="20"/>
          <w:szCs w:val="20"/>
          <w:color w:val="auto"/>
        </w:rPr>
      </w:pPr>
      <w:r>
        <w:rPr>
          <w:rFonts w:ascii="Arial" w:cs="Arial" w:eastAsia="Arial" w:hAnsi="Arial"/>
          <w:sz w:val="19"/>
          <w:szCs w:val="19"/>
          <w:color w:val="auto"/>
        </w:rPr>
        <w:t>Under the MGB License Agreement, we are required to use commercially reasonable efforts to develop and make available to the public Licensed Products in the Licensed Field, which efforts include certain milestones detailed in the MGB License Agreement.</w:t>
      </w:r>
    </w:p>
    <w:p>
      <w:pPr>
        <w:spacing w:after="0" w:line="65" w:lineRule="exact"/>
        <w:rPr>
          <w:sz w:val="20"/>
          <w:szCs w:val="20"/>
          <w:color w:val="auto"/>
        </w:rPr>
      </w:pPr>
    </w:p>
    <w:p>
      <w:pPr>
        <w:ind w:right="20"/>
        <w:spacing w:after="0" w:line="253" w:lineRule="auto"/>
        <w:rPr>
          <w:sz w:val="20"/>
          <w:szCs w:val="20"/>
          <w:color w:val="auto"/>
        </w:rPr>
      </w:pPr>
      <w:r>
        <w:rPr>
          <w:rFonts w:ascii="Arial" w:cs="Arial" w:eastAsia="Arial" w:hAnsi="Arial"/>
          <w:sz w:val="19"/>
          <w:szCs w:val="19"/>
          <w:color w:val="auto"/>
        </w:rPr>
        <w:t>Under the MGB License Agreement, prior to the first commercial sale of the Licensed Products, we are required to pay MGB an annual license fee beginning on the fourth anniversary of the effective date. Following the first commercial sale of the Licensed Products, we are required to pay MGB an annual minimum royalty, which amount may be credited against earned royalties starting in the fourth year following the first commercial sale.</w:t>
      </w:r>
    </w:p>
    <w:p>
      <w:pPr>
        <w:spacing w:after="0" w:line="73" w:lineRule="exact"/>
        <w:rPr>
          <w:sz w:val="20"/>
          <w:szCs w:val="20"/>
          <w:color w:val="auto"/>
        </w:rPr>
      </w:pPr>
    </w:p>
    <w:p>
      <w:pPr>
        <w:ind w:right="20"/>
        <w:spacing w:after="0" w:line="248" w:lineRule="auto"/>
        <w:rPr>
          <w:sz w:val="20"/>
          <w:szCs w:val="20"/>
          <w:color w:val="auto"/>
        </w:rPr>
      </w:pPr>
      <w:r>
        <w:rPr>
          <w:rFonts w:ascii="Arial" w:cs="Arial" w:eastAsia="Arial" w:hAnsi="Arial"/>
          <w:sz w:val="19"/>
          <w:szCs w:val="19"/>
          <w:color w:val="auto"/>
        </w:rPr>
        <w:t>In addition to such annual license fee and royalty obligations, the MGB License Agreement contains cumulative milestone payments for up to a maximum amount of $39,000,000, upon the achievement of various clinical, commercial and sales milestones of clinical and commercial development and sales, certain of which milestones apply to development and sale of any Licensed Product as a monotherapy and certain of which milestones apply to development and sale of any Licensed Product in combination with another therapy modality for the treatment of solid tumors.</w:t>
      </w:r>
    </w:p>
    <w:p>
      <w:pPr>
        <w:spacing w:after="0" w:line="76" w:lineRule="exact"/>
        <w:rPr>
          <w:sz w:val="20"/>
          <w:szCs w:val="20"/>
          <w:color w:val="auto"/>
        </w:rPr>
      </w:pPr>
    </w:p>
    <w:p>
      <w:pPr>
        <w:ind w:right="40"/>
        <w:spacing w:after="0" w:line="253" w:lineRule="auto"/>
        <w:rPr>
          <w:sz w:val="20"/>
          <w:szCs w:val="20"/>
          <w:color w:val="auto"/>
        </w:rPr>
      </w:pPr>
      <w:r>
        <w:rPr>
          <w:rFonts w:ascii="Arial" w:cs="Arial" w:eastAsia="Arial" w:hAnsi="Arial"/>
          <w:sz w:val="19"/>
          <w:szCs w:val="19"/>
          <w:color w:val="auto"/>
        </w:rPr>
        <w:t>We are required to pay royalties to MGB upon first commercial sale of the Licensed Products, which are paid at an increasing rate as net sales increase, ranging from low single digits to high single digits. We also agreed to pay a single digit royalty rate on net sales of any products developed using certain MGB know-how but which is not covered by the licensed patent rights, or derived products.</w:t>
      </w:r>
    </w:p>
    <w:p>
      <w:pPr>
        <w:spacing w:after="0" w:line="73" w:lineRule="exact"/>
        <w:rPr>
          <w:sz w:val="20"/>
          <w:szCs w:val="20"/>
          <w:color w:val="auto"/>
        </w:rPr>
      </w:pPr>
    </w:p>
    <w:p>
      <w:pPr>
        <w:ind w:right="540"/>
        <w:spacing w:after="0" w:line="253" w:lineRule="auto"/>
        <w:rPr>
          <w:sz w:val="20"/>
          <w:szCs w:val="20"/>
          <w:color w:val="auto"/>
        </w:rPr>
      </w:pPr>
      <w:r>
        <w:rPr>
          <w:rFonts w:ascii="Arial" w:cs="Arial" w:eastAsia="Arial" w:hAnsi="Arial"/>
          <w:sz w:val="19"/>
          <w:szCs w:val="19"/>
          <w:color w:val="auto"/>
        </w:rPr>
        <w:t>We may reduce our royalty obligations to MGB on any product (but not derived products) by an agreed-upon percentage if we are required to pay a royalty to a third party to avoid patent infringement claims in respect of our development and commercialization of Licensed Products. The royalty rate paid to MGB may not fall below a pre-specified percentage for the sale of any product and another percentage for the sale of any derived product.</w:t>
      </w:r>
    </w:p>
    <w:p>
      <w:pPr>
        <w:spacing w:after="0" w:line="73" w:lineRule="exact"/>
        <w:rPr>
          <w:sz w:val="20"/>
          <w:szCs w:val="20"/>
          <w:color w:val="auto"/>
        </w:rPr>
      </w:pPr>
    </w:p>
    <w:p>
      <w:pPr>
        <w:ind w:right="180"/>
        <w:spacing w:after="0" w:line="260" w:lineRule="auto"/>
        <w:rPr>
          <w:sz w:val="20"/>
          <w:szCs w:val="20"/>
          <w:color w:val="auto"/>
        </w:rPr>
      </w:pPr>
      <w:r>
        <w:rPr>
          <w:rFonts w:ascii="Arial" w:cs="Arial" w:eastAsia="Arial" w:hAnsi="Arial"/>
          <w:sz w:val="19"/>
          <w:szCs w:val="19"/>
          <w:color w:val="auto"/>
        </w:rPr>
        <w:t>Our obligation to pay royalties to MGB expires on a country-by-country basis on the latest of (i) the date upon which there ceases to be a valid claim of patent rights as further detailed in the MGB License Agreement in such country, (ii) expiration of statutory or regulatory exclusivity in such country and (iii) 10 years after the first commercial sale.</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22</w:t>
      </w:r>
    </w:p>
    <w:p>
      <w:pPr>
        <w:sectPr>
          <w:pgSz w:w="12240" w:h="15840" w:orient="portrait"/>
          <w:cols w:equalWidth="0" w:num="1">
            <w:col w:w="10060"/>
          </w:cols>
          <w:pgMar w:left="1080" w:top="1062" w:right="1100" w:bottom="173" w:gutter="0" w:footer="0" w:header="0"/>
        </w:sectPr>
      </w:pPr>
    </w:p>
    <w:bookmarkStart w:id="26" w:name="page27"/>
    <w:bookmarkEnd w:id="26"/>
    <w:p>
      <w:pPr>
        <w:ind w:right="100"/>
        <w:spacing w:after="0" w:line="248" w:lineRule="auto"/>
        <w:rPr>
          <w:sz w:val="20"/>
          <w:szCs w:val="20"/>
          <w:color w:val="auto"/>
        </w:rPr>
      </w:pPr>
      <w:r>
        <w:rPr>
          <w:rFonts w:ascii="Arial" w:cs="Arial" w:eastAsia="Arial" w:hAnsi="Arial"/>
          <w:sz w:val="19"/>
          <w:szCs w:val="19"/>
          <w:color w:val="auto"/>
        </w:rPr>
        <w:t>The MGB License Agreement also requires us to pay a percentage of any non-royalty income attributable to the sublicense, including (i) 2nd decile rates if such sublicense occurs prior to dosing the first patient in a phase 2 trial, (ii) 1st decile rates if such sublicense occurs after dosing the first patient in a phase 2 trial but before approval of a BLA by the FDA (or the equivalent approval and regulatory body in another major market country) and (iii) single digit rates if such sublicense occurs after approval of a BLA by the FDA (or the equivalent approval and regulatory body in another major market country).</w:t>
      </w:r>
    </w:p>
    <w:p>
      <w:pPr>
        <w:spacing w:after="0" w:line="76" w:lineRule="exact"/>
        <w:rPr>
          <w:sz w:val="20"/>
          <w:szCs w:val="20"/>
          <w:color w:val="auto"/>
        </w:rPr>
      </w:pPr>
    </w:p>
    <w:p>
      <w:pPr>
        <w:jc w:val="both"/>
        <w:ind w:right="420"/>
        <w:spacing w:after="0" w:line="281" w:lineRule="auto"/>
        <w:rPr>
          <w:sz w:val="20"/>
          <w:szCs w:val="20"/>
          <w:color w:val="auto"/>
        </w:rPr>
      </w:pPr>
      <w:r>
        <w:rPr>
          <w:rFonts w:ascii="Arial" w:cs="Arial" w:eastAsia="Arial" w:hAnsi="Arial"/>
          <w:sz w:val="18"/>
          <w:szCs w:val="18"/>
          <w:color w:val="auto"/>
        </w:rPr>
        <w:t>The MGB License Agreement expires on the latest of (i) the 10th anniversary of the first commercial sale in the last country which has a commercial sale, (ii) the date on which all relevant issued patents and filed patent applications have expired or been abandoned and (iii) upon the expiration of market exclusivity on the applicable product.</w:t>
      </w:r>
    </w:p>
    <w:p>
      <w:pPr>
        <w:spacing w:after="0" w:line="48" w:lineRule="exact"/>
        <w:rPr>
          <w:sz w:val="20"/>
          <w:szCs w:val="20"/>
          <w:color w:val="auto"/>
        </w:rPr>
      </w:pPr>
    </w:p>
    <w:p>
      <w:pPr>
        <w:ind w:right="40"/>
        <w:spacing w:after="0" w:line="250" w:lineRule="auto"/>
        <w:rPr>
          <w:sz w:val="20"/>
          <w:szCs w:val="20"/>
          <w:color w:val="auto"/>
        </w:rPr>
      </w:pPr>
      <w:r>
        <w:rPr>
          <w:rFonts w:ascii="Arial" w:cs="Arial" w:eastAsia="Arial" w:hAnsi="Arial"/>
          <w:sz w:val="19"/>
          <w:szCs w:val="19"/>
          <w:color w:val="auto"/>
        </w:rPr>
        <w:t>The MGB License Agreement may be terminated by MGB (i) if we fail to pay any amounts owed under the terms of the agreement within a specified cure period, (ii) if we fail to maintain insurance in accordance with the MGB License Agreement, (iii) if we file for bankruptcy, or (iv) if we remain in default of the MGB License Agreement for non-financial reasons following a specified cure period to remedy the breach. The MGB License Agreement may be terminated by us for convenience upon 90 days’ prior written notice.</w:t>
      </w:r>
    </w:p>
    <w:p>
      <w:pPr>
        <w:spacing w:after="0" w:line="70" w:lineRule="exact"/>
        <w:rPr>
          <w:sz w:val="20"/>
          <w:szCs w:val="20"/>
          <w:color w:val="auto"/>
        </w:rPr>
      </w:pPr>
    </w:p>
    <w:p>
      <w:pPr>
        <w:ind w:right="320"/>
        <w:spacing w:after="0" w:line="245" w:lineRule="auto"/>
        <w:rPr>
          <w:sz w:val="20"/>
          <w:szCs w:val="20"/>
          <w:color w:val="auto"/>
        </w:rPr>
      </w:pPr>
      <w:r>
        <w:rPr>
          <w:rFonts w:ascii="Arial" w:cs="Arial" w:eastAsia="Arial" w:hAnsi="Arial"/>
          <w:sz w:val="19"/>
          <w:szCs w:val="19"/>
          <w:b w:val="1"/>
          <w:bCs w:val="1"/>
          <w:i w:val="1"/>
          <w:iCs w:val="1"/>
          <w:color w:val="auto"/>
        </w:rPr>
        <w:t>Ventagen</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On March 1, 2014, we entered into an exclusive license agreement (the Ventagen Agreement), with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Ventagen, LLC (Ventagen). The Ventagen Agreement provides Ventagen an exclusive license, with rights to grant sublicenses (subject to certain terms and conditions) under any worldwide patent rights and know-how owned or controlled by us during the term of the Ventagen Agreement which cover applicable technology utilizing the delivery method of the herpes derived TK protein to tumors or other tissues via a viral vector (as further specified therein), to research, use, have used, import, have imported, export, have exported, offer for sale, have sold, sell, distribute and market certain products for the prevention or treatment of cancer in humans and any use in animals (or the Field of Use) (Licensed Products), for commercial sale and distribution within Mexico, Belize, Guatemala, Honduras, El Salvador, Costa Rica, Nicaragua, Panama, Colombia and Bolivia (or the Territory).</w:t>
      </w:r>
    </w:p>
    <w:p>
      <w:pPr>
        <w:spacing w:after="0" w:line="83" w:lineRule="exact"/>
        <w:rPr>
          <w:sz w:val="20"/>
          <w:szCs w:val="20"/>
          <w:color w:val="auto"/>
        </w:rPr>
      </w:pPr>
    </w:p>
    <w:p>
      <w:pPr>
        <w:ind w:right="1200"/>
        <w:spacing w:after="0" w:line="281" w:lineRule="auto"/>
        <w:rPr>
          <w:sz w:val="20"/>
          <w:szCs w:val="20"/>
          <w:color w:val="auto"/>
        </w:rPr>
      </w:pPr>
      <w:r>
        <w:rPr>
          <w:rFonts w:ascii="Arial" w:cs="Arial" w:eastAsia="Arial" w:hAnsi="Arial"/>
          <w:sz w:val="19"/>
          <w:szCs w:val="19"/>
          <w:color w:val="auto"/>
        </w:rPr>
        <w:t>Under the Ventagen Agreement, Ventagen agreed to use commercially reasonable efforts to develop and commercialize Licensed Products in the Territory in the Field of Use.</w:t>
      </w:r>
    </w:p>
    <w:p>
      <w:pPr>
        <w:spacing w:after="0" w:line="45" w:lineRule="exact"/>
        <w:rPr>
          <w:sz w:val="20"/>
          <w:szCs w:val="20"/>
          <w:color w:val="auto"/>
        </w:rPr>
      </w:pPr>
    </w:p>
    <w:p>
      <w:pPr>
        <w:ind w:right="160"/>
        <w:spacing w:after="0" w:line="260" w:lineRule="auto"/>
        <w:rPr>
          <w:sz w:val="20"/>
          <w:szCs w:val="20"/>
          <w:color w:val="auto"/>
        </w:rPr>
      </w:pPr>
      <w:r>
        <w:rPr>
          <w:rFonts w:ascii="Arial" w:cs="Arial" w:eastAsia="Arial" w:hAnsi="Arial"/>
          <w:sz w:val="19"/>
          <w:szCs w:val="19"/>
          <w:color w:val="auto"/>
        </w:rPr>
        <w:t>Ventagen agreed to pay us $1,000,000 for research and development, which we received in 2014 and 2015, and agreed to pay us a fixed future milestone payment of $2,500,000 upon Ventagen’s achievement of a specified amount of sales of a Licensed Product, which is subject to certain reductions for our direct cost over a specified threshold.</w:t>
      </w:r>
    </w:p>
    <w:p>
      <w:pPr>
        <w:spacing w:after="0" w:line="65" w:lineRule="exact"/>
        <w:rPr>
          <w:sz w:val="20"/>
          <w:szCs w:val="20"/>
          <w:color w:val="auto"/>
        </w:rPr>
      </w:pPr>
    </w:p>
    <w:p>
      <w:pPr>
        <w:spacing w:after="0" w:line="244" w:lineRule="auto"/>
        <w:rPr>
          <w:sz w:val="20"/>
          <w:szCs w:val="20"/>
          <w:color w:val="auto"/>
        </w:rPr>
      </w:pPr>
      <w:r>
        <w:rPr>
          <w:rFonts w:ascii="Arial" w:cs="Arial" w:eastAsia="Arial" w:hAnsi="Arial"/>
          <w:sz w:val="19"/>
          <w:szCs w:val="19"/>
          <w:color w:val="auto"/>
        </w:rPr>
        <w:t>Ventagen also agreed to purchase all of its clinical and commercial supply of Licensed Products from us required for clinical or commercial purposes at a price of cost plus a specified increase of the wholesale price of the Licensed Products, subject to a minimum and maximum price, through the end of the Royalty Term, which is defined as the period commencing on the effective date of the Ventagen Agreement and ending on a country-by-country basis on the later of (i) the last expiration date of the patent rights covering a Licensed Product, (ii) twelve years from the receipt of marketing authorization of the Licensed Product in the applicable country, or (iii) the date a generic version of a Licensed Product that is manufactured, owned or controlled by a third party is granted a market authorization. If we are unable or unwilling to manufacture supply under the terms of the Ventagen Agreement, Ventagen has the right to manufacture its own supply and will be required to pay to us a fixed fee per dose sold by Ventagen, its affiliates, agents, sublicensee or end users. We have also agreed to provide certain services to Ventagen related to Ventagen’s development plan.</w:t>
      </w:r>
    </w:p>
    <w:p>
      <w:pPr>
        <w:spacing w:after="0" w:line="80" w:lineRule="exact"/>
        <w:rPr>
          <w:sz w:val="20"/>
          <w:szCs w:val="20"/>
          <w:color w:val="auto"/>
        </w:rPr>
      </w:pPr>
    </w:p>
    <w:p>
      <w:pPr>
        <w:ind w:right="100"/>
        <w:spacing w:after="0" w:line="246" w:lineRule="auto"/>
        <w:rPr>
          <w:sz w:val="20"/>
          <w:szCs w:val="20"/>
          <w:color w:val="auto"/>
        </w:rPr>
      </w:pPr>
      <w:r>
        <w:rPr>
          <w:rFonts w:ascii="Arial" w:cs="Arial" w:eastAsia="Arial" w:hAnsi="Arial"/>
          <w:sz w:val="19"/>
          <w:szCs w:val="19"/>
          <w:color w:val="auto"/>
        </w:rPr>
        <w:t>The Ventagen Agreement expires on the date of the expiration of the final Royalty Term in all countries in the Territory. The Ventagen Agreement may be terminated (i) by Ventagen at will upon 30 days’ prior written notice to us, (ii) by us subject to a specified notice period if Ventagen files for bankruptcy or becomes insolvent or (iii) by us if Ventagen remains in material breach of the Ventagen Agreement following notice and a cure period to remedy the breach. Ventagen retains an irrevocable, perpetual, paid up, royalty-free license, with rights of sublicense to use, have used, lease, import and export, offer to sell, sell, have sold, product, distribute and market Licensed Products in each country in the Territory after the expiration of the Royalty Term in such country.</w:t>
      </w:r>
    </w:p>
    <w:p>
      <w:pPr>
        <w:spacing w:after="0" w:line="82" w:lineRule="exact"/>
        <w:rPr>
          <w:sz w:val="20"/>
          <w:szCs w:val="20"/>
          <w:color w:val="auto"/>
        </w:rPr>
      </w:pPr>
    </w:p>
    <w:p>
      <w:pPr>
        <w:ind w:right="220"/>
        <w:spacing w:after="0" w:line="310" w:lineRule="auto"/>
        <w:rPr>
          <w:sz w:val="20"/>
          <w:szCs w:val="20"/>
          <w:color w:val="auto"/>
        </w:rPr>
      </w:pPr>
      <w:r>
        <w:rPr>
          <w:rFonts w:ascii="Arial" w:cs="Arial" w:eastAsia="Arial" w:hAnsi="Arial"/>
          <w:sz w:val="18"/>
          <w:szCs w:val="18"/>
          <w:color w:val="auto"/>
        </w:rPr>
        <w:t>Certain of our current stockholders own 49.5% of the voting stock of Ventagen, but we do not hold any management position or run the day-to-day operations of Ventagen. See “Certain Relationships and Related Person Transactions.”</w:t>
      </w:r>
    </w:p>
    <w:p>
      <w:pPr>
        <w:spacing w:after="0" w:line="1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Competition</w:t>
      </w:r>
    </w:p>
    <w:p>
      <w:pPr>
        <w:spacing w:after="0" w:line="124" w:lineRule="exact"/>
        <w:rPr>
          <w:sz w:val="20"/>
          <w:szCs w:val="20"/>
          <w:color w:val="auto"/>
        </w:rPr>
      </w:pPr>
    </w:p>
    <w:p>
      <w:pPr>
        <w:ind w:right="60"/>
        <w:spacing w:after="0" w:line="246" w:lineRule="auto"/>
        <w:rPr>
          <w:sz w:val="20"/>
          <w:szCs w:val="20"/>
          <w:color w:val="auto"/>
        </w:rPr>
      </w:pPr>
      <w:r>
        <w:rPr>
          <w:rFonts w:ascii="Arial" w:cs="Arial" w:eastAsia="Arial" w:hAnsi="Arial"/>
          <w:sz w:val="19"/>
          <w:szCs w:val="19"/>
          <w:color w:val="auto"/>
        </w:rPr>
        <w:t>The development and commercialization of new product candidates is highly competitive. We face competition from major pharmaceutical, specialty pharmaceutical and biotechnology companies among others with respect to CAN-2409 and CAN-3110 and will face similar competition with respect to any product candidates that we may seek to develop or commercialize in the future. We compete in pharmaceutical, biotechnology and other related markets that develop immuno-oncology therapies for the treatment of cancer. There are other companies working to develop viral immunotherapies for the treatment of cancer including divisions of large pharmaceutical and biotechnology companies of various sizes. The large pharmaceutical and biotechnology companies that have commercialized and/or are</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23</w:t>
      </w:r>
    </w:p>
    <w:p>
      <w:pPr>
        <w:sectPr>
          <w:pgSz w:w="12240" w:h="15840" w:orient="portrait"/>
          <w:cols w:equalWidth="0" w:num="1">
            <w:col w:w="10060"/>
          </w:cols>
          <w:pgMar w:left="1080" w:top="1062" w:right="1100" w:bottom="173" w:gutter="0" w:footer="0" w:header="0"/>
        </w:sectPr>
      </w:pPr>
    </w:p>
    <w:bookmarkStart w:id="27" w:name="page28"/>
    <w:bookmarkEnd w:id="27"/>
    <w:p>
      <w:pPr>
        <w:ind w:right="20"/>
        <w:spacing w:after="0" w:line="281" w:lineRule="auto"/>
        <w:rPr>
          <w:sz w:val="20"/>
          <w:szCs w:val="20"/>
          <w:color w:val="auto"/>
        </w:rPr>
      </w:pPr>
      <w:r>
        <w:rPr>
          <w:rFonts w:ascii="Arial" w:cs="Arial" w:eastAsia="Arial" w:hAnsi="Arial"/>
          <w:sz w:val="19"/>
          <w:szCs w:val="19"/>
          <w:color w:val="auto"/>
        </w:rPr>
        <w:t>developing immuno-oncology treatments for cancer include AstraZeneca, Bristol-Myers Squibb, Gilead Sciences, Merck &amp; Co., Novartis, Pfizer and Genentech.</w:t>
      </w:r>
    </w:p>
    <w:p>
      <w:pPr>
        <w:spacing w:after="0" w:line="45" w:lineRule="exact"/>
        <w:rPr>
          <w:sz w:val="20"/>
          <w:szCs w:val="20"/>
          <w:color w:val="auto"/>
        </w:rPr>
      </w:pPr>
    </w:p>
    <w:p>
      <w:pPr>
        <w:spacing w:after="0" w:line="245" w:lineRule="auto"/>
        <w:rPr>
          <w:sz w:val="20"/>
          <w:szCs w:val="20"/>
          <w:color w:val="auto"/>
        </w:rPr>
      </w:pPr>
      <w:r>
        <w:rPr>
          <w:rFonts w:ascii="Arial" w:cs="Arial" w:eastAsia="Arial" w:hAnsi="Arial"/>
          <w:sz w:val="19"/>
          <w:szCs w:val="19"/>
          <w:color w:val="auto"/>
        </w:rPr>
        <w:t>Some of the products and therapies developed by our competitors are based on scientific approaches that are the same as or similar to our approach, including with respect to the use of viral immunotherapy with adenovirus and HSV. Other competitive products and therapies are based on entirely different approaches. We are aware that Replimune Group, Inc., Amgen Inc., Astellas Pharma, Inc, Istari Oncology Inc, Orca Therapeutics, B.V., CG Oncology, Inc, ImmVira Co., Ltd., IconOVir Bio, Inc., and FerGene, Inc., among others, are developing viral immunotherapies that may have utility for the treatment of indications that we are targeting.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84"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Many of the companies we compete against or may compete against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the concentration of even more resources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in establishing clinical trial sites and enrolling subjects for our clinical trials and in acquiring technologies complementary to, or necessary for, our programs.</w:t>
      </w:r>
    </w:p>
    <w:p>
      <w:pPr>
        <w:spacing w:after="0" w:line="67" w:lineRule="exact"/>
        <w:rPr>
          <w:sz w:val="20"/>
          <w:szCs w:val="20"/>
          <w:color w:val="auto"/>
        </w:rPr>
      </w:pPr>
    </w:p>
    <w:p>
      <w:pPr>
        <w:ind w:right="40"/>
        <w:spacing w:after="0" w:line="245" w:lineRule="auto"/>
        <w:rPr>
          <w:sz w:val="20"/>
          <w:szCs w:val="20"/>
          <w:color w:val="auto"/>
        </w:rPr>
      </w:pPr>
      <w:r>
        <w:rPr>
          <w:rFonts w:ascii="Arial" w:cs="Arial" w:eastAsia="Arial" w:hAnsi="Arial"/>
          <w:sz w:val="19"/>
          <w:szCs w:val="19"/>
          <w:color w:val="auto"/>
        </w:rPr>
        <w:t>We could see a reduction or elimination of our commercial opportunity if our competitors develop and commercialize products that are safer, more effective, have fewer or less severe side effects, or are more convenient or are less expensive than any products that we or our collaborators may develop. Our competitors also may obtain FDA or foreign regulatory approval for their products more rapidly than we may obtain approval for ours, which could result in our competitors establishing a strong market position before we are able to enter the market. The key competitive factors affecting the success of all our product candidates, if approved, are likely to be their efficacy, safety, convenience and price, if required, the level of biosimilar or generic competition and the availability of reimbursement from government and other third-party payors.</w:t>
      </w:r>
    </w:p>
    <w:p>
      <w:pPr>
        <w:spacing w:after="0" w:line="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Commercialization</w:t>
      </w:r>
    </w:p>
    <w:p>
      <w:pPr>
        <w:spacing w:after="0" w:line="124" w:lineRule="exact"/>
        <w:rPr>
          <w:sz w:val="20"/>
          <w:szCs w:val="20"/>
          <w:color w:val="auto"/>
        </w:rPr>
      </w:pPr>
    </w:p>
    <w:p>
      <w:pPr>
        <w:ind w:right="20"/>
        <w:spacing w:after="0" w:line="246" w:lineRule="auto"/>
        <w:rPr>
          <w:sz w:val="20"/>
          <w:szCs w:val="20"/>
          <w:color w:val="auto"/>
        </w:rPr>
      </w:pPr>
      <w:r>
        <w:rPr>
          <w:rFonts w:ascii="Arial" w:cs="Arial" w:eastAsia="Arial" w:hAnsi="Arial"/>
          <w:sz w:val="19"/>
          <w:szCs w:val="19"/>
          <w:color w:val="auto"/>
        </w:rPr>
        <w:t>We intend to retain significant development and commercial rights to our product candidates and, if marketing approval is obtained, to commercialize our product candidates on our own, or potentially with a partner, in the United States and other regions. We currently have no sales, marketing or commercial product distribution capabilities and have no experience as a company commercializing products. We intend to build the necessary infrastructure and capabilities over time for the United States, and potentially other regions, following further advancement of our product candidates. Clinical data, the size of the addressable patient population, the size of the commercial infrastructure and manufacturing needs, and partnering opportunities may all influence or alter our commercialization plans.</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Manufacturing</w:t>
      </w:r>
    </w:p>
    <w:p>
      <w:pPr>
        <w:spacing w:after="0" w:line="124" w:lineRule="exact"/>
        <w:rPr>
          <w:sz w:val="20"/>
          <w:szCs w:val="20"/>
          <w:color w:val="auto"/>
        </w:rPr>
      </w:pPr>
    </w:p>
    <w:p>
      <w:pPr>
        <w:spacing w:after="0" w:line="253" w:lineRule="auto"/>
        <w:rPr>
          <w:sz w:val="20"/>
          <w:szCs w:val="20"/>
          <w:color w:val="auto"/>
        </w:rPr>
      </w:pPr>
      <w:r>
        <w:rPr>
          <w:rFonts w:ascii="Arial" w:cs="Arial" w:eastAsia="Arial" w:hAnsi="Arial"/>
          <w:sz w:val="19"/>
          <w:szCs w:val="19"/>
          <w:color w:val="auto"/>
        </w:rPr>
        <w:t>We have established an operations leadership team with extensive experience in manufacturing biologics based on viruses, including viral immunotherapy products and gene therapy products, and in the construction, validation, approval and operation of facilities designed to manufacture biologics. We have secured a third-party contract manufacturing organization for clinical and commercial-scale manufacturing of our CAN-2409 and CAN-3110 product candidates.</w:t>
      </w:r>
    </w:p>
    <w:p>
      <w:pPr>
        <w:spacing w:after="0" w:line="6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Intellectual Property</w:t>
      </w:r>
    </w:p>
    <w:p>
      <w:pPr>
        <w:spacing w:after="0" w:line="124" w:lineRule="exact"/>
        <w:rPr>
          <w:sz w:val="20"/>
          <w:szCs w:val="20"/>
          <w:color w:val="auto"/>
        </w:rPr>
      </w:pPr>
    </w:p>
    <w:p>
      <w:pPr>
        <w:jc w:val="both"/>
        <w:ind w:right="240"/>
        <w:spacing w:after="0" w:line="253" w:lineRule="auto"/>
        <w:rPr>
          <w:sz w:val="20"/>
          <w:szCs w:val="20"/>
          <w:color w:val="auto"/>
        </w:rPr>
      </w:pPr>
      <w:r>
        <w:rPr>
          <w:rFonts w:ascii="Arial" w:cs="Arial" w:eastAsia="Arial" w:hAnsi="Arial"/>
          <w:sz w:val="19"/>
          <w:szCs w:val="19"/>
          <w:color w:val="auto"/>
        </w:rPr>
        <w:t>We believe that approval of our CAN-2409 and CAN-3110 product candidates under a BLA may result in 12 years of data exclusivity in the United States under the Patient Protection and Affordable Care Act, as amended by the Health Care and Education Reconciliation Act (collectively the ACA), 10 years of market exclusivity in Europe and significant durations in other markets, which would be complementary to any relevant patent exclusivity.</w:t>
      </w:r>
    </w:p>
    <w:p>
      <w:pPr>
        <w:spacing w:after="0" w:line="73" w:lineRule="exact"/>
        <w:rPr>
          <w:sz w:val="20"/>
          <w:szCs w:val="20"/>
          <w:color w:val="auto"/>
        </w:rPr>
      </w:pPr>
    </w:p>
    <w:p>
      <w:pPr>
        <w:spacing w:after="0" w:line="243" w:lineRule="auto"/>
        <w:rPr>
          <w:sz w:val="20"/>
          <w:szCs w:val="20"/>
          <w:color w:val="auto"/>
        </w:rPr>
      </w:pPr>
      <w:r>
        <w:rPr>
          <w:rFonts w:ascii="Arial" w:cs="Arial" w:eastAsia="Arial" w:hAnsi="Arial"/>
          <w:sz w:val="19"/>
          <w:szCs w:val="19"/>
          <w:color w:val="auto"/>
        </w:rPr>
        <w:t>With regard to patent exclusivities, we have or are pursuing patent protection for our CAN-2409 and CAN-3110 product candidates and our enLIGHTEN™ Discovery Platform. With regard to our CAN-2409 product candidate, we own a United States patent and a pending patent application that relate to a method of use of CAN-2409 in combination with an immune checkpoint inhibitor. The issued patent and the pending application, if issued, are expected to expire in 2034. With regard to our CAN-3110 product candidate, we have rights to issued composition of matter patents in the United States, Australia, Canada, China, Europe, and Japan and patent applications pending in Australia, Europe, and Korea that relate to CAN-3110. The issued patents and the pending applications, if issued, are expected to expire in 2036. This patent family is exclusively licensed to us from MGB. In addition, we have entered into an option agreement with MGB to a pending U.S. provisional patent application that relates to the use of biomarkers for the selection of cancer patients for treatment with CAN-3110 and for the management of treatment regimens in cancer patients receiving CAN-3110. The term of patents claiming priority to the provisional patent application, if issued, are expected to expire in 2044.</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24</w:t>
      </w:r>
    </w:p>
    <w:p>
      <w:pPr>
        <w:sectPr>
          <w:pgSz w:w="12240" w:h="15840" w:orient="portrait"/>
          <w:cols w:equalWidth="0" w:num="1">
            <w:col w:w="10080"/>
          </w:cols>
          <w:pgMar w:left="1080" w:top="1062" w:right="1080" w:bottom="173" w:gutter="0" w:footer="0" w:header="0"/>
        </w:sectPr>
      </w:pPr>
    </w:p>
    <w:bookmarkStart w:id="28" w:name="page29"/>
    <w:bookmarkEnd w:id="28"/>
    <w:p>
      <w:pPr>
        <w:spacing w:after="0" w:line="244" w:lineRule="auto"/>
        <w:rPr>
          <w:sz w:val="20"/>
          <w:szCs w:val="20"/>
          <w:color w:val="auto"/>
        </w:rPr>
      </w:pPr>
      <w:r>
        <w:rPr>
          <w:rFonts w:ascii="Arial" w:cs="Arial" w:eastAsia="Arial" w:hAnsi="Arial"/>
          <w:sz w:val="19"/>
          <w:szCs w:val="19"/>
          <w:color w:val="auto"/>
        </w:rPr>
        <w:t>With regard to our enLIGHTEN™ Discovery Platform, we have exclusively in-licensed from Periphagen a patent family that includes composition of matter patents in the United States, Europe, and China and pending applications in the United States and China that relate to an HSV vector used in our enLIGHTEN™ Discovery Platform. The issued patents and the pending applications, if issued, are expected to expire in 2037. In addition, we own a pending international patent application filed under the Patent Cooperation Treaty with composition of matter claims that also relate to an HSV vector and candidate payloads used in our enLIGHTEN™ Discovery Platform and methods of use. The term of patents claiming priority to the international patent application, if issued, are expected to expire in 2043. We also own a pending U.S. provisional patent application that relates to methods of treating certain cancer patients using our HSV vector. The term of patents claiming priority to the provisional patent application, if issued, are expected to expire in 2044.</w:t>
      </w:r>
    </w:p>
    <w:p>
      <w:pPr>
        <w:spacing w:after="0" w:line="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Government Regulation</w:t>
      </w:r>
    </w:p>
    <w:p>
      <w:pPr>
        <w:spacing w:after="0" w:line="124" w:lineRule="exact"/>
        <w:rPr>
          <w:sz w:val="20"/>
          <w:szCs w:val="20"/>
          <w:color w:val="auto"/>
        </w:rPr>
      </w:pPr>
    </w:p>
    <w:p>
      <w:pPr>
        <w:ind w:right="20"/>
        <w:spacing w:after="0" w:line="245" w:lineRule="auto"/>
        <w:rPr>
          <w:sz w:val="20"/>
          <w:szCs w:val="20"/>
          <w:color w:val="auto"/>
        </w:rPr>
      </w:pPr>
      <w:r>
        <w:rPr>
          <w:rFonts w:ascii="Arial" w:cs="Arial" w:eastAsia="Arial" w:hAnsi="Arial"/>
          <w:sz w:val="19"/>
          <w:szCs w:val="19"/>
          <w:color w:val="auto"/>
        </w:rPr>
        <w:t>In the United States, biological products are subject to regulation under the Federal Food, Drug, and Cosmetic Act (FD&amp;C Act) and licensure under the Public Health Service Act (PHS Act), and other federal, state, local and foreign statutes and regulations. The FD&amp;C Act and corresponding regulations govern, among other things, the research, development, clinical trial, testing, manufacturing, quality control, approval, safety, efficacy, labeling, packaging, storage, record keeping, distribution, reporting, marketing, promotion, export and import, advertising, post-approval monitoring, and post-approval reporting involving biological products. The process of obtaining regulatory approvals and the subsequent compliance with appropriate federal, state, local and foreign statutes and regulations require the expenditure of substantial time and financial resources and we may not be able to obtain the required regulatory approvals.</w:t>
      </w:r>
    </w:p>
    <w:p>
      <w:pPr>
        <w:spacing w:after="0" w:line="79" w:lineRule="exact"/>
        <w:rPr>
          <w:sz w:val="20"/>
          <w:szCs w:val="20"/>
          <w:color w:val="auto"/>
        </w:rPr>
      </w:pPr>
    </w:p>
    <w:p>
      <w:pPr>
        <w:spacing w:after="0" w:line="244" w:lineRule="auto"/>
        <w:rPr>
          <w:sz w:val="20"/>
          <w:szCs w:val="20"/>
          <w:color w:val="auto"/>
        </w:rPr>
      </w:pPr>
      <w:r>
        <w:rPr>
          <w:rFonts w:ascii="Arial" w:cs="Arial" w:eastAsia="Arial" w:hAnsi="Arial"/>
          <w:sz w:val="19"/>
          <w:szCs w:val="19"/>
          <w:color w:val="auto"/>
        </w:rPr>
        <w:t>Further, even if we obtain the required regulatory approvals for our products, pharmaceutical companies are subject to myriad federal, state, and foreign healthcare laws, rules, and regulations governing all aspects of our operations, including, but not limited to, our relationships with healthcare professionals, healthcare institutions, distributors of our products, and sales and marketing personnel; governmental and other third-party payor coverage and reimbursement of our products; and data privacy and security. Such laws, rules, and regulations are complex, continuously evolving, and, in many cases, have not been subject to extensive interpretation by applicable regulatory agencies or the courts. We are required to invest significant time and financial resources in policies, procedures, processes, and systems to ensure compliance with these laws, rules, and regulations, and our failure to do so may result in the imposition of substantial monetary or other penalties by federal or state regulatory agencies, give rise to reputational harm, or otherwise have a material adverse effect on our results of operations and financial condition.</w:t>
      </w:r>
    </w:p>
    <w:p>
      <w:pPr>
        <w:spacing w:after="0" w:line="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United States Biological Products Development Process</w:t>
      </w:r>
    </w:p>
    <w:p>
      <w:pPr>
        <w:spacing w:after="0" w:line="124" w:lineRule="exact"/>
        <w:rPr>
          <w:sz w:val="20"/>
          <w:szCs w:val="20"/>
          <w:color w:val="auto"/>
        </w:rPr>
      </w:pPr>
    </w:p>
    <w:p>
      <w:pPr>
        <w:ind w:right="420"/>
        <w:spacing w:after="0" w:line="281" w:lineRule="auto"/>
        <w:rPr>
          <w:sz w:val="20"/>
          <w:szCs w:val="20"/>
          <w:color w:val="auto"/>
        </w:rPr>
      </w:pPr>
      <w:r>
        <w:rPr>
          <w:rFonts w:ascii="Arial" w:cs="Arial" w:eastAsia="Arial" w:hAnsi="Arial"/>
          <w:sz w:val="19"/>
          <w:szCs w:val="19"/>
          <w:color w:val="auto"/>
        </w:rPr>
        <w:t>The process required by the FDA before a biological product candidate may be licensed for marketing in the United States generally involves the following:</w:t>
      </w:r>
    </w:p>
    <w:p>
      <w:pPr>
        <w:spacing w:after="0" w:line="58" w:lineRule="exact"/>
        <w:rPr>
          <w:sz w:val="20"/>
          <w:szCs w:val="20"/>
          <w:color w:val="auto"/>
        </w:rPr>
      </w:pPr>
    </w:p>
    <w:p>
      <w:pPr>
        <w:jc w:val="both"/>
        <w:ind w:left="720" w:right="640" w:hanging="360"/>
        <w:spacing w:after="0" w:line="260" w:lineRule="auto"/>
        <w:tabs>
          <w:tab w:leader="none" w:pos="720" w:val="left"/>
        </w:tabs>
        <w:numPr>
          <w:ilvl w:val="0"/>
          <w:numId w:val="24"/>
        </w:numPr>
        <w:rPr>
          <w:rFonts w:ascii="Arial" w:cs="Arial" w:eastAsia="Arial" w:hAnsi="Arial"/>
          <w:sz w:val="19"/>
          <w:szCs w:val="19"/>
          <w:color w:val="auto"/>
        </w:rPr>
      </w:pPr>
      <w:r>
        <w:rPr>
          <w:rFonts w:ascii="Arial" w:cs="Arial" w:eastAsia="Arial" w:hAnsi="Arial"/>
          <w:sz w:val="19"/>
          <w:szCs w:val="19"/>
          <w:color w:val="auto"/>
        </w:rPr>
        <w:t>completion of nonclinical laboratory tests and animal studies performed in accordance with FDA’s good laboratory practices (GLPs) requirements and applicable requirements for the humane use of laboratory animals or other applicable regulations;</w:t>
      </w:r>
    </w:p>
    <w:p>
      <w:pPr>
        <w:spacing w:after="0" w:line="78" w:lineRule="exact"/>
        <w:rPr>
          <w:rFonts w:ascii="Arial" w:cs="Arial" w:eastAsia="Arial" w:hAnsi="Arial"/>
          <w:sz w:val="19"/>
          <w:szCs w:val="19"/>
          <w:color w:val="auto"/>
        </w:rPr>
      </w:pPr>
    </w:p>
    <w:p>
      <w:pPr>
        <w:ind w:left="720" w:right="180" w:hanging="360"/>
        <w:spacing w:after="0" w:line="281" w:lineRule="auto"/>
        <w:tabs>
          <w:tab w:leader="none" w:pos="720" w:val="left"/>
        </w:tabs>
        <w:numPr>
          <w:ilvl w:val="0"/>
          <w:numId w:val="24"/>
        </w:numPr>
        <w:rPr>
          <w:rFonts w:ascii="Arial" w:cs="Arial" w:eastAsia="Arial" w:hAnsi="Arial"/>
          <w:sz w:val="19"/>
          <w:szCs w:val="19"/>
          <w:color w:val="auto"/>
        </w:rPr>
      </w:pPr>
      <w:r>
        <w:rPr>
          <w:rFonts w:ascii="Arial" w:cs="Arial" w:eastAsia="Arial" w:hAnsi="Arial"/>
          <w:sz w:val="19"/>
          <w:szCs w:val="19"/>
          <w:color w:val="auto"/>
        </w:rPr>
        <w:t>submission to the FDA of an application for an investigational new drug application (IND) which must become effective before human clinical trials may begin;</w:t>
      </w:r>
    </w:p>
    <w:p>
      <w:pPr>
        <w:spacing w:after="0" w:line="58" w:lineRule="exact"/>
        <w:rPr>
          <w:rFonts w:ascii="Arial" w:cs="Arial" w:eastAsia="Arial" w:hAnsi="Arial"/>
          <w:sz w:val="19"/>
          <w:szCs w:val="19"/>
          <w:color w:val="auto"/>
        </w:rPr>
      </w:pPr>
    </w:p>
    <w:p>
      <w:pPr>
        <w:ind w:left="720" w:right="480" w:hanging="360"/>
        <w:spacing w:after="0" w:line="281" w:lineRule="auto"/>
        <w:tabs>
          <w:tab w:leader="none" w:pos="720" w:val="left"/>
        </w:tabs>
        <w:numPr>
          <w:ilvl w:val="0"/>
          <w:numId w:val="24"/>
        </w:numPr>
        <w:rPr>
          <w:rFonts w:ascii="Arial" w:cs="Arial" w:eastAsia="Arial" w:hAnsi="Arial"/>
          <w:sz w:val="19"/>
          <w:szCs w:val="19"/>
          <w:color w:val="auto"/>
        </w:rPr>
      </w:pPr>
      <w:r>
        <w:rPr>
          <w:rFonts w:ascii="Arial" w:cs="Arial" w:eastAsia="Arial" w:hAnsi="Arial"/>
          <w:sz w:val="19"/>
          <w:szCs w:val="19"/>
          <w:color w:val="auto"/>
        </w:rPr>
        <w:t>approval of the protocol and related documentation by an IRB or ethics committee at each clinical trial site before each trial may be initiated;</w:t>
      </w:r>
    </w:p>
    <w:p>
      <w:pPr>
        <w:spacing w:after="0" w:line="58" w:lineRule="exact"/>
        <w:rPr>
          <w:rFonts w:ascii="Arial" w:cs="Arial" w:eastAsia="Arial" w:hAnsi="Arial"/>
          <w:sz w:val="19"/>
          <w:szCs w:val="19"/>
          <w:color w:val="auto"/>
        </w:rPr>
      </w:pPr>
    </w:p>
    <w:p>
      <w:pPr>
        <w:jc w:val="both"/>
        <w:ind w:left="720" w:right="200" w:hanging="360"/>
        <w:spacing w:after="0" w:line="253" w:lineRule="auto"/>
        <w:tabs>
          <w:tab w:leader="none" w:pos="720" w:val="left"/>
        </w:tabs>
        <w:numPr>
          <w:ilvl w:val="0"/>
          <w:numId w:val="24"/>
        </w:numPr>
        <w:rPr>
          <w:rFonts w:ascii="Arial" w:cs="Arial" w:eastAsia="Arial" w:hAnsi="Arial"/>
          <w:sz w:val="19"/>
          <w:szCs w:val="19"/>
          <w:color w:val="auto"/>
        </w:rPr>
      </w:pPr>
      <w:r>
        <w:rPr>
          <w:rFonts w:ascii="Arial" w:cs="Arial" w:eastAsia="Arial" w:hAnsi="Arial"/>
          <w:sz w:val="19"/>
          <w:szCs w:val="19"/>
          <w:color w:val="auto"/>
        </w:rPr>
        <w:t>performance of adequate and well-controlled human clinical trials according to good clinical practices (GCPs) requirements and any additional requirements for the protection of human research subjects and their health information, to establish the safety and efficacy of the proposed biological product candidate for its intended use;</w:t>
      </w:r>
    </w:p>
    <w:p>
      <w:pPr>
        <w:spacing w:after="0" w:line="85" w:lineRule="exact"/>
        <w:rPr>
          <w:rFonts w:ascii="Arial" w:cs="Arial" w:eastAsia="Arial" w:hAnsi="Arial"/>
          <w:sz w:val="19"/>
          <w:szCs w:val="19"/>
          <w:color w:val="auto"/>
        </w:rPr>
      </w:pPr>
    </w:p>
    <w:p>
      <w:pPr>
        <w:ind w:left="720" w:right="180" w:hanging="360"/>
        <w:spacing w:after="0" w:line="260" w:lineRule="auto"/>
        <w:tabs>
          <w:tab w:leader="none" w:pos="720" w:val="left"/>
        </w:tabs>
        <w:numPr>
          <w:ilvl w:val="0"/>
          <w:numId w:val="24"/>
        </w:numPr>
        <w:rPr>
          <w:rFonts w:ascii="Arial" w:cs="Arial" w:eastAsia="Arial" w:hAnsi="Arial"/>
          <w:sz w:val="19"/>
          <w:szCs w:val="19"/>
          <w:color w:val="auto"/>
        </w:rPr>
      </w:pPr>
      <w:r>
        <w:rPr>
          <w:rFonts w:ascii="Arial" w:cs="Arial" w:eastAsia="Arial" w:hAnsi="Arial"/>
          <w:sz w:val="19"/>
          <w:szCs w:val="19"/>
          <w:color w:val="auto"/>
        </w:rPr>
        <w:t>preparation of and submission to the FDA of a BLA for marketing approval that includes sufficient evidence of establishing the safety, purity, and potency of the proposed biological product for its intended indication, including from results of nonclinical testing and clinical trials;</w:t>
      </w:r>
    </w:p>
    <w:p>
      <w:pPr>
        <w:spacing w:after="0" w:line="78" w:lineRule="exact"/>
        <w:rPr>
          <w:rFonts w:ascii="Arial" w:cs="Arial" w:eastAsia="Arial" w:hAnsi="Arial"/>
          <w:sz w:val="19"/>
          <w:szCs w:val="19"/>
          <w:color w:val="auto"/>
        </w:rPr>
      </w:pPr>
    </w:p>
    <w:p>
      <w:pPr>
        <w:ind w:left="720" w:hanging="360"/>
        <w:spacing w:after="0"/>
        <w:tabs>
          <w:tab w:leader="none" w:pos="720" w:val="left"/>
        </w:tabs>
        <w:numPr>
          <w:ilvl w:val="0"/>
          <w:numId w:val="24"/>
        </w:numPr>
        <w:rPr>
          <w:rFonts w:ascii="Arial" w:cs="Arial" w:eastAsia="Arial" w:hAnsi="Arial"/>
          <w:sz w:val="19"/>
          <w:szCs w:val="19"/>
          <w:color w:val="auto"/>
        </w:rPr>
      </w:pPr>
      <w:r>
        <w:rPr>
          <w:rFonts w:ascii="Arial" w:cs="Arial" w:eastAsia="Arial" w:hAnsi="Arial"/>
          <w:sz w:val="19"/>
          <w:szCs w:val="19"/>
          <w:color w:val="auto"/>
        </w:rPr>
        <w:t>a determination by the FDA within 60 days of its receipt of a BLA to accept and file the application;</w:t>
      </w:r>
    </w:p>
    <w:p>
      <w:pPr>
        <w:spacing w:after="0" w:line="132" w:lineRule="exact"/>
        <w:rPr>
          <w:rFonts w:ascii="Arial" w:cs="Arial" w:eastAsia="Arial" w:hAnsi="Arial"/>
          <w:sz w:val="19"/>
          <w:szCs w:val="19"/>
          <w:color w:val="auto"/>
        </w:rPr>
      </w:pPr>
    </w:p>
    <w:p>
      <w:pPr>
        <w:ind w:left="720" w:right="380" w:hanging="360"/>
        <w:spacing w:after="0" w:line="253" w:lineRule="auto"/>
        <w:tabs>
          <w:tab w:leader="none" w:pos="720" w:val="left"/>
        </w:tabs>
        <w:numPr>
          <w:ilvl w:val="0"/>
          <w:numId w:val="24"/>
        </w:numPr>
        <w:rPr>
          <w:rFonts w:ascii="Arial" w:cs="Arial" w:eastAsia="Arial" w:hAnsi="Arial"/>
          <w:sz w:val="19"/>
          <w:szCs w:val="19"/>
          <w:color w:val="auto"/>
        </w:rPr>
      </w:pPr>
      <w:r>
        <w:rPr>
          <w:rFonts w:ascii="Arial" w:cs="Arial" w:eastAsia="Arial" w:hAnsi="Arial"/>
          <w:sz w:val="19"/>
          <w:szCs w:val="19"/>
          <w:color w:val="auto"/>
        </w:rPr>
        <w:t>satisfactory completion of an FDA pre-license inspection of the manufacturing facility or facilities where the biological product is produced to assess compliance with current good manufacturing practices (cGMPs) to assure that the facilities, methods and controls are adequate to preserve the biological product’s identity, strength, quality and purity;</w:t>
      </w:r>
    </w:p>
    <w:p>
      <w:pPr>
        <w:spacing w:after="0" w:line="85" w:lineRule="exact"/>
        <w:rPr>
          <w:rFonts w:ascii="Arial" w:cs="Arial" w:eastAsia="Arial" w:hAnsi="Arial"/>
          <w:sz w:val="19"/>
          <w:szCs w:val="19"/>
          <w:color w:val="auto"/>
        </w:rPr>
      </w:pPr>
    </w:p>
    <w:p>
      <w:pPr>
        <w:ind w:left="720" w:hanging="360"/>
        <w:spacing w:after="0"/>
        <w:tabs>
          <w:tab w:leader="none" w:pos="720" w:val="left"/>
        </w:tabs>
        <w:numPr>
          <w:ilvl w:val="0"/>
          <w:numId w:val="24"/>
        </w:numPr>
        <w:rPr>
          <w:rFonts w:ascii="Arial" w:cs="Arial" w:eastAsia="Arial" w:hAnsi="Arial"/>
          <w:sz w:val="19"/>
          <w:szCs w:val="19"/>
          <w:color w:val="auto"/>
        </w:rPr>
      </w:pPr>
      <w:r>
        <w:rPr>
          <w:rFonts w:ascii="Arial" w:cs="Arial" w:eastAsia="Arial" w:hAnsi="Arial"/>
          <w:sz w:val="19"/>
          <w:szCs w:val="19"/>
          <w:color w:val="auto"/>
        </w:rPr>
        <w:t>satisfactory completion of an FDA advisory committee review, if applicable;</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25</w:t>
      </w:r>
    </w:p>
    <w:p>
      <w:pPr>
        <w:sectPr>
          <w:pgSz w:w="12240" w:h="15840" w:orient="portrait"/>
          <w:cols w:equalWidth="0" w:num="1">
            <w:col w:w="10080"/>
          </w:cols>
          <w:pgMar w:left="1080" w:top="1280" w:right="1080" w:bottom="173" w:gutter="0" w:footer="0" w:header="0"/>
        </w:sectPr>
      </w:pPr>
    </w:p>
    <w:bookmarkStart w:id="29" w:name="page30"/>
    <w:bookmarkEnd w:id="29"/>
    <w:p>
      <w:pPr>
        <w:ind w:left="720" w:right="100" w:hanging="360"/>
        <w:spacing w:after="0" w:line="281" w:lineRule="auto"/>
        <w:tabs>
          <w:tab w:leader="none" w:pos="720" w:val="left"/>
        </w:tabs>
        <w:numPr>
          <w:ilvl w:val="0"/>
          <w:numId w:val="25"/>
        </w:numPr>
        <w:rPr>
          <w:rFonts w:ascii="Arial" w:cs="Arial" w:eastAsia="Arial" w:hAnsi="Arial"/>
          <w:sz w:val="19"/>
          <w:szCs w:val="19"/>
          <w:color w:val="auto"/>
        </w:rPr>
      </w:pPr>
      <w:r>
        <w:rPr>
          <w:rFonts w:ascii="Arial" w:cs="Arial" w:eastAsia="Arial" w:hAnsi="Arial"/>
          <w:sz w:val="19"/>
          <w:szCs w:val="19"/>
          <w:color w:val="auto"/>
        </w:rPr>
        <w:t>potential FDA audit of the nonclinical study and clinical trial sites that generated the data in support of the BLA in accordance with any applicable expedited programs or designations;</w:t>
      </w:r>
    </w:p>
    <w:p>
      <w:pPr>
        <w:spacing w:after="0" w:line="58" w:lineRule="exact"/>
        <w:rPr>
          <w:rFonts w:ascii="Arial" w:cs="Arial" w:eastAsia="Arial" w:hAnsi="Arial"/>
          <w:sz w:val="19"/>
          <w:szCs w:val="19"/>
          <w:color w:val="auto"/>
        </w:rPr>
      </w:pPr>
    </w:p>
    <w:p>
      <w:pPr>
        <w:ind w:left="720" w:hanging="360"/>
        <w:spacing w:after="0"/>
        <w:tabs>
          <w:tab w:leader="none" w:pos="720" w:val="left"/>
        </w:tabs>
        <w:numPr>
          <w:ilvl w:val="0"/>
          <w:numId w:val="25"/>
        </w:numPr>
        <w:rPr>
          <w:rFonts w:ascii="Arial" w:cs="Arial" w:eastAsia="Arial" w:hAnsi="Arial"/>
          <w:sz w:val="19"/>
          <w:szCs w:val="19"/>
          <w:color w:val="auto"/>
        </w:rPr>
      </w:pPr>
      <w:r>
        <w:rPr>
          <w:rFonts w:ascii="Arial" w:cs="Arial" w:eastAsia="Arial" w:hAnsi="Arial"/>
          <w:sz w:val="19"/>
          <w:szCs w:val="19"/>
          <w:color w:val="auto"/>
        </w:rPr>
        <w:t>payment of user fees for FDA review of the BLA (unless a fee waiver applies); and</w:t>
      </w:r>
    </w:p>
    <w:p>
      <w:pPr>
        <w:spacing w:after="0" w:line="132" w:lineRule="exact"/>
        <w:rPr>
          <w:rFonts w:ascii="Arial" w:cs="Arial" w:eastAsia="Arial" w:hAnsi="Arial"/>
          <w:sz w:val="19"/>
          <w:szCs w:val="19"/>
          <w:color w:val="auto"/>
        </w:rPr>
      </w:pPr>
    </w:p>
    <w:p>
      <w:pPr>
        <w:ind w:left="720" w:right="240" w:hanging="360"/>
        <w:spacing w:after="0" w:line="281" w:lineRule="auto"/>
        <w:tabs>
          <w:tab w:leader="none" w:pos="720" w:val="left"/>
        </w:tabs>
        <w:numPr>
          <w:ilvl w:val="0"/>
          <w:numId w:val="25"/>
        </w:numPr>
        <w:rPr>
          <w:rFonts w:ascii="Arial" w:cs="Arial" w:eastAsia="Arial" w:hAnsi="Arial"/>
          <w:sz w:val="19"/>
          <w:szCs w:val="19"/>
          <w:color w:val="auto"/>
        </w:rPr>
      </w:pPr>
      <w:r>
        <w:rPr>
          <w:rFonts w:ascii="Arial" w:cs="Arial" w:eastAsia="Arial" w:hAnsi="Arial"/>
          <w:sz w:val="19"/>
          <w:szCs w:val="19"/>
          <w:color w:val="auto"/>
        </w:rPr>
        <w:t>FDA review and approval, or licensure, of the BLA to permit commercial marketing of the product for specific indications for use in the United States.</w:t>
      </w: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Pre-clinical Studies and the IND Process</w:t>
      </w:r>
    </w:p>
    <w:p>
      <w:pPr>
        <w:spacing w:after="0" w:line="124" w:lineRule="exact"/>
        <w:rPr>
          <w:sz w:val="20"/>
          <w:szCs w:val="20"/>
          <w:color w:val="auto"/>
        </w:rPr>
      </w:pPr>
    </w:p>
    <w:p>
      <w:pPr>
        <w:ind w:right="160"/>
        <w:spacing w:after="0" w:line="250" w:lineRule="auto"/>
        <w:rPr>
          <w:sz w:val="20"/>
          <w:szCs w:val="20"/>
          <w:color w:val="auto"/>
        </w:rPr>
      </w:pPr>
      <w:r>
        <w:rPr>
          <w:rFonts w:ascii="Arial" w:cs="Arial" w:eastAsia="Arial" w:hAnsi="Arial"/>
          <w:sz w:val="19"/>
          <w:szCs w:val="19"/>
          <w:color w:val="auto"/>
        </w:rPr>
        <w:t>Before testing any biological product candidate in humans, the product candidate enters the preclinical testing stage. Preclinical tests, also referred to as nonclinical studies, include laboratory evaluations of the product’s biological characteristics, chemistry, toxicity and formulation, as well as animal studies to assess the potential safety and activity of the product candidate. The conduct of the preclinical tests must comply with federal regulations and requirements including GLPs.</w:t>
      </w:r>
    </w:p>
    <w:p>
      <w:pPr>
        <w:spacing w:after="0" w:line="74" w:lineRule="exact"/>
        <w:rPr>
          <w:sz w:val="20"/>
          <w:szCs w:val="20"/>
          <w:color w:val="auto"/>
        </w:rPr>
      </w:pPr>
    </w:p>
    <w:p>
      <w:pPr>
        <w:spacing w:after="0" w:line="242" w:lineRule="auto"/>
        <w:rPr>
          <w:sz w:val="20"/>
          <w:szCs w:val="20"/>
          <w:color w:val="auto"/>
        </w:rPr>
      </w:pPr>
      <w:r>
        <w:rPr>
          <w:rFonts w:ascii="Arial" w:cs="Arial" w:eastAsia="Arial" w:hAnsi="Arial"/>
          <w:sz w:val="19"/>
          <w:szCs w:val="19"/>
          <w:color w:val="auto"/>
        </w:rPr>
        <w:t>Prior to commencing an initial clinical trial in humans with a product candidate in the United States, an IND must be submitted to the FDA and the FDA must allow the IND to proceed. An IND is an exemption from the FD&amp;C Act that allows an unapproved product candidate to be shipped in interstate commerce for use in an investigational clinical trial and a request for FDA allowance that such investigational product may be administered to humans in connection with such trial. Such authorization must be secured prior to interstate shipment and administration. In support of a request for an IND, the clinical trial sponsor must submit the results of the preclinical tests, together with manufacturing information, analytical data, any available clinical data or literature and a proposed clinical protocol to the FDA as part of the IND. An IND must become effective before human clinical trials may begin. Once submitted, the IND automatically becomes effective 30 days after receipt by the FDA, unless the FDA places the IND on a full or partial clinical hold within that 30-day time period. In such a case, the IND sponsor and the FDA must resolve any outstanding concerns before the clinical trial or part of the study can begin. Submission of an IND therefore may or may not result in FDA authorization to begin a clinical trial. The FDA also may impose clinical holds on a sponsor’s IND at any time before or during clinical trials due to, among other considerations, unreasonable or significant safety concerns, inability to assess safety concerns, lack of qualified investigators, a misleading or materially incomplete investigator brochure, study design deficiencies, interference with the conduct or completion of a study designed to be adequate and well-controlled for the same or another investigational product, insufficient quantities of investigational product, lack of effectiveness, or non-compliance. If the FDA imposes a clinical hold, studies may not recommence without FDA authorization and then only under terms authorized by the FDA.</w:t>
      </w:r>
    </w:p>
    <w:p>
      <w:pPr>
        <w:spacing w:after="0" w:line="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Clinical Trials</w:t>
      </w:r>
    </w:p>
    <w:p>
      <w:pPr>
        <w:spacing w:after="0" w:line="124" w:lineRule="exact"/>
        <w:rPr>
          <w:sz w:val="20"/>
          <w:szCs w:val="20"/>
          <w:color w:val="auto"/>
        </w:rPr>
      </w:pPr>
    </w:p>
    <w:p>
      <w:pPr>
        <w:ind w:right="20"/>
        <w:spacing w:after="0" w:line="243" w:lineRule="auto"/>
        <w:rPr>
          <w:sz w:val="20"/>
          <w:szCs w:val="20"/>
          <w:color w:val="auto"/>
        </w:rPr>
      </w:pPr>
      <w:r>
        <w:rPr>
          <w:rFonts w:ascii="Arial" w:cs="Arial" w:eastAsia="Arial" w:hAnsi="Arial"/>
          <w:sz w:val="19"/>
          <w:szCs w:val="19"/>
          <w:color w:val="auto"/>
        </w:rPr>
        <w:t>Clinical trials involve the administration of the biological product candidate to healthy volunteers or patients under the supervision of qualified investigators, generally physicians not employed by or under control of the trial sponsor. Clinical trials are conducted under protocols detailing, among other things, the objectives of the clinical trial, dosing procedures, subject selection and exclusion criteria, and the parameters and criteria to be used to monitor subject safety, including stopping rules that assure a clinical trial will be stopped if certain adverse events should occur. Each protocol and any amendments to the protocol must be submitted to the FDA as part of the IND. Clinical trials must be conducted and monitored in accordance with the FDA’s regulations comprising the GCP requirements, including the requirement that all research subjects provide informed consent. An IRB representing each institution participating in the clinical trial must review and approve the plan for any clinical trial before it commences at that institution, and the IRB must conduct continuing review and reapprove the trial at least annually. The IRB must review and approve, among other things, the trial protocol and informed consent information to be provided to trial subjects. An IRB must operate in compliance with FDA regulations.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82" w:lineRule="exact"/>
        <w:rPr>
          <w:sz w:val="20"/>
          <w:szCs w:val="20"/>
          <w:color w:val="auto"/>
        </w:rPr>
      </w:pPr>
    </w:p>
    <w:p>
      <w:pPr>
        <w:ind w:right="100"/>
        <w:spacing w:after="0" w:line="250" w:lineRule="auto"/>
        <w:rPr>
          <w:sz w:val="20"/>
          <w:szCs w:val="20"/>
          <w:color w:val="auto"/>
        </w:rPr>
      </w:pPr>
      <w:r>
        <w:rPr>
          <w:rFonts w:ascii="Arial" w:cs="Arial" w:eastAsia="Arial" w:hAnsi="Arial"/>
          <w:sz w:val="19"/>
          <w:szCs w:val="19"/>
          <w:color w:val="auto"/>
        </w:rPr>
        <w:t>Some trials are overseen by an independent group of qualified experts organized by the trial sponsor, known as a data safety monitoring board or committee (DSMB). This group provides authorization as to whether or not a trial may move forward at designated check points based on access that only the group maintains to available data from the trial and may recommend halting the clinical trial if it determines that there is an unacceptable safety risk for subjects or other grounds, such as no demonstration of efficacy.</w:t>
      </w:r>
    </w:p>
    <w:p>
      <w:pPr>
        <w:spacing w:after="0" w:line="74" w:lineRule="exact"/>
        <w:rPr>
          <w:sz w:val="20"/>
          <w:szCs w:val="20"/>
          <w:color w:val="auto"/>
        </w:rPr>
      </w:pPr>
    </w:p>
    <w:p>
      <w:pPr>
        <w:ind w:right="280"/>
        <w:spacing w:after="0" w:line="281" w:lineRule="auto"/>
        <w:rPr>
          <w:sz w:val="20"/>
          <w:szCs w:val="20"/>
          <w:color w:val="auto"/>
        </w:rPr>
      </w:pPr>
      <w:r>
        <w:rPr>
          <w:rFonts w:ascii="Arial" w:cs="Arial" w:eastAsia="Arial" w:hAnsi="Arial"/>
          <w:sz w:val="19"/>
          <w:szCs w:val="19"/>
          <w:color w:val="auto"/>
        </w:rPr>
        <w:t>Certain information about certain clinical trials must also be submitted within specific timeframes to the NIH for public dissemination on its ClinicalTrials.gov website.</w:t>
      </w:r>
    </w:p>
    <w:p>
      <w:pPr>
        <w:spacing w:after="0" w:line="45" w:lineRule="exact"/>
        <w:rPr>
          <w:sz w:val="20"/>
          <w:szCs w:val="20"/>
          <w:color w:val="auto"/>
        </w:rPr>
      </w:pPr>
    </w:p>
    <w:p>
      <w:pPr>
        <w:spacing w:after="0"/>
        <w:rPr>
          <w:sz w:val="20"/>
          <w:szCs w:val="20"/>
          <w:color w:val="auto"/>
        </w:rPr>
      </w:pPr>
      <w:r>
        <w:rPr>
          <w:rFonts w:ascii="Arial" w:cs="Arial" w:eastAsia="Arial" w:hAnsi="Arial"/>
          <w:sz w:val="19"/>
          <w:szCs w:val="19"/>
          <w:color w:val="auto"/>
        </w:rPr>
        <w:t>Clinical trials typically are conducted in three sequential phases that may overlap or be combined:</w:t>
      </w:r>
    </w:p>
    <w:p>
      <w:pPr>
        <w:spacing w:after="0" w:line="133" w:lineRule="exact"/>
        <w:rPr>
          <w:sz w:val="20"/>
          <w:szCs w:val="20"/>
          <w:color w:val="auto"/>
        </w:rPr>
      </w:pPr>
    </w:p>
    <w:p>
      <w:pPr>
        <w:ind w:left="720" w:right="100" w:hanging="360"/>
        <w:spacing w:after="0" w:line="260" w:lineRule="auto"/>
        <w:tabs>
          <w:tab w:leader="none" w:pos="720" w:val="left"/>
        </w:tabs>
        <w:numPr>
          <w:ilvl w:val="0"/>
          <w:numId w:val="26"/>
        </w:numPr>
        <w:rPr>
          <w:rFonts w:ascii="Arial" w:cs="Arial" w:eastAsia="Arial" w:hAnsi="Arial"/>
          <w:sz w:val="19"/>
          <w:szCs w:val="19"/>
          <w:color w:val="auto"/>
        </w:rPr>
      </w:pPr>
      <w:r>
        <w:rPr>
          <w:rFonts w:ascii="Arial" w:cs="Arial" w:eastAsia="Arial" w:hAnsi="Arial"/>
          <w:sz w:val="19"/>
          <w:szCs w:val="19"/>
          <w:color w:val="auto"/>
        </w:rPr>
        <w:t>Phase 1. The biological product candidate is initially introduced into healthy human subjects and tested for safety. In the case of some products for severe or life-threatening diseases, especially when the product may be too inherently toxic to ethically administer to healthy volunteers, the initial human testing is often conducted</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26</w:t>
      </w:r>
    </w:p>
    <w:p>
      <w:pPr>
        <w:sectPr>
          <w:pgSz w:w="12240" w:h="15840" w:orient="portrait"/>
          <w:cols w:equalWidth="0" w:num="1">
            <w:col w:w="10060"/>
          </w:cols>
          <w:pgMar w:left="1080" w:top="1075" w:right="1100" w:bottom="173" w:gutter="0" w:footer="0" w:header="0"/>
        </w:sectPr>
      </w:pPr>
    </w:p>
    <w:bookmarkStart w:id="30" w:name="page31"/>
    <w:bookmarkEnd w:id="30"/>
    <w:p>
      <w:pPr>
        <w:ind w:left="720" w:right="300"/>
        <w:spacing w:after="0" w:line="260" w:lineRule="auto"/>
        <w:rPr>
          <w:sz w:val="20"/>
          <w:szCs w:val="20"/>
          <w:color w:val="auto"/>
        </w:rPr>
      </w:pPr>
      <w:r>
        <w:rPr>
          <w:rFonts w:ascii="Arial" w:cs="Arial" w:eastAsia="Arial" w:hAnsi="Arial"/>
          <w:sz w:val="19"/>
          <w:szCs w:val="19"/>
          <w:color w:val="auto"/>
        </w:rPr>
        <w:t>in patients. These studies are designed to test the safety, dosage tolerance, absorption, metabolism and distribution of the biological product candidate in humans, the side effects associated with increasing doses, and, if possible, to gain early evidence of effectiveness.</w:t>
      </w:r>
    </w:p>
    <w:p>
      <w:pPr>
        <w:spacing w:after="0" w:line="78" w:lineRule="exact"/>
        <w:rPr>
          <w:sz w:val="20"/>
          <w:szCs w:val="20"/>
          <w:color w:val="auto"/>
        </w:rPr>
      </w:pPr>
    </w:p>
    <w:p>
      <w:pPr>
        <w:ind w:left="720" w:right="80" w:hanging="360"/>
        <w:spacing w:after="0" w:line="250" w:lineRule="auto"/>
        <w:tabs>
          <w:tab w:leader="none" w:pos="720" w:val="left"/>
        </w:tabs>
        <w:numPr>
          <w:ilvl w:val="0"/>
          <w:numId w:val="27"/>
        </w:numPr>
        <w:rPr>
          <w:rFonts w:ascii="Arial" w:cs="Arial" w:eastAsia="Arial" w:hAnsi="Arial"/>
          <w:sz w:val="19"/>
          <w:szCs w:val="19"/>
          <w:color w:val="auto"/>
        </w:rPr>
      </w:pPr>
      <w:r>
        <w:rPr>
          <w:rFonts w:ascii="Arial" w:cs="Arial" w:eastAsia="Arial" w:hAnsi="Arial"/>
          <w:sz w:val="19"/>
          <w:szCs w:val="19"/>
          <w:color w:val="auto"/>
        </w:rPr>
        <w:t>Phase 2. The biological product candidate is evaluated in a limited patient population with a specific disease or condition to identify possible adverse effects and safety risks, to preliminarily evaluate the efficacy of the product for specific targeted diseases and to determine dosage tolerance, optimal dosage and dosing schedule. Multiple phase 2 clinical trials may be conducted to obtain information prior to beginning larger and more expensive phase 3 clinical trials.</w:t>
      </w:r>
    </w:p>
    <w:p>
      <w:pPr>
        <w:spacing w:after="0" w:line="87" w:lineRule="exact"/>
        <w:rPr>
          <w:rFonts w:ascii="Arial" w:cs="Arial" w:eastAsia="Arial" w:hAnsi="Arial"/>
          <w:sz w:val="19"/>
          <w:szCs w:val="19"/>
          <w:color w:val="auto"/>
        </w:rPr>
      </w:pPr>
    </w:p>
    <w:p>
      <w:pPr>
        <w:ind w:left="720" w:right="260" w:hanging="360"/>
        <w:spacing w:after="0" w:line="253" w:lineRule="auto"/>
        <w:tabs>
          <w:tab w:leader="none" w:pos="720" w:val="left"/>
        </w:tabs>
        <w:numPr>
          <w:ilvl w:val="0"/>
          <w:numId w:val="27"/>
        </w:numPr>
        <w:rPr>
          <w:rFonts w:ascii="Arial" w:cs="Arial" w:eastAsia="Arial" w:hAnsi="Arial"/>
          <w:sz w:val="19"/>
          <w:szCs w:val="19"/>
          <w:color w:val="auto"/>
        </w:rPr>
      </w:pPr>
      <w:r>
        <w:rPr>
          <w:rFonts w:ascii="Arial" w:cs="Arial" w:eastAsia="Arial" w:hAnsi="Arial"/>
          <w:sz w:val="19"/>
          <w:szCs w:val="19"/>
          <w:color w:val="auto"/>
        </w:rPr>
        <w:t>Phase 3. The biological product candidate is administered to an expanded patient population to further evaluate dosage, clinical efficacy, potency, and safety, generally at multiple geographically dispersed clinical trial sites. These clinical trials are intended to establish the overall risk/benefit ratio of the product candidate and provide an adequate basis for approval and product labeling.</w:t>
      </w:r>
    </w:p>
    <w:p>
      <w:pPr>
        <w:spacing w:after="0" w:line="73" w:lineRule="exact"/>
        <w:rPr>
          <w:sz w:val="20"/>
          <w:szCs w:val="20"/>
          <w:color w:val="auto"/>
        </w:rPr>
      </w:pPr>
    </w:p>
    <w:p>
      <w:pPr>
        <w:ind w:right="20"/>
        <w:spacing w:after="0" w:line="246" w:lineRule="auto"/>
        <w:rPr>
          <w:sz w:val="20"/>
          <w:szCs w:val="20"/>
          <w:color w:val="auto"/>
        </w:rPr>
      </w:pPr>
      <w:r>
        <w:rPr>
          <w:rFonts w:ascii="Arial" w:cs="Arial" w:eastAsia="Arial" w:hAnsi="Arial"/>
          <w:sz w:val="19"/>
          <w:szCs w:val="19"/>
          <w:color w:val="auto"/>
        </w:rPr>
        <w:t>In March 2022, the FDA released a final guidance entitled “Expansion Cohorts: Use in First-In-Human Clinical Trials to Expedite Development of Oncology Drugs and Biologics,” which outlines how developers can utilize an adaptive trial design commonly referred to as a seamless trial design in early stages of oncology biological product development (i.e., the first-in-human clinical trial) to compress the traditional three phases of trials into one continuous trial called an expansion cohort trial. Information to support the design of individual expansion cohorts are included in IND applications and assessed by FDA. Expansion cohort trials can potentially bring efficiency to biological product development and reduce developmental costs and time.</w:t>
      </w:r>
    </w:p>
    <w:p>
      <w:pPr>
        <w:spacing w:after="0" w:line="82" w:lineRule="exact"/>
        <w:rPr>
          <w:sz w:val="20"/>
          <w:szCs w:val="20"/>
          <w:color w:val="auto"/>
        </w:rPr>
      </w:pPr>
    </w:p>
    <w:p>
      <w:pPr>
        <w:ind w:right="100"/>
        <w:spacing w:after="0" w:line="253" w:lineRule="auto"/>
        <w:rPr>
          <w:sz w:val="20"/>
          <w:szCs w:val="20"/>
          <w:color w:val="auto"/>
        </w:rPr>
      </w:pPr>
      <w:r>
        <w:rPr>
          <w:rFonts w:ascii="Arial" w:cs="Arial" w:eastAsia="Arial" w:hAnsi="Arial"/>
          <w:sz w:val="19"/>
          <w:szCs w:val="19"/>
          <w:color w:val="auto"/>
        </w:rPr>
        <w:t>In some cases, the FDA may require, or companies may voluntarily pursue, additional clinical trials after a product is approved to gain more information about the product. These post-approval clinical trials, sometimes referred to as phase 4 clinical trials, may also be made a condition to approval of the BLA. Failure to exhibit due diligence with regard to conducting required phase 4 clinical trials could result in withdrawal of approval for products.</w:t>
      </w:r>
    </w:p>
    <w:p>
      <w:pPr>
        <w:spacing w:after="0" w:line="73" w:lineRule="exact"/>
        <w:rPr>
          <w:sz w:val="20"/>
          <w:szCs w:val="20"/>
          <w:color w:val="auto"/>
        </w:rPr>
      </w:pPr>
    </w:p>
    <w:p>
      <w:pPr>
        <w:ind w:right="100"/>
        <w:spacing w:after="0" w:line="244" w:lineRule="auto"/>
        <w:rPr>
          <w:sz w:val="20"/>
          <w:szCs w:val="20"/>
          <w:color w:val="auto"/>
        </w:rPr>
      </w:pPr>
      <w:r>
        <w:rPr>
          <w:rFonts w:ascii="Arial" w:cs="Arial" w:eastAsia="Arial" w:hAnsi="Arial"/>
          <w:sz w:val="19"/>
          <w:szCs w:val="19"/>
          <w:color w:val="auto"/>
        </w:rPr>
        <w:t>Concurrent with clinical trials, companies usually complete additional animal studies and also develop additional information about the chemistry and physical characteristics of the biological product as well as finalize a process for manufacturing the product in commercial quantities in accordance with cGMP requirements. To help reduce the risk of the introduction of adventitious agents with use of biological products, the Public Health Service Act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84" w:lineRule="exact"/>
        <w:rPr>
          <w:sz w:val="20"/>
          <w:szCs w:val="20"/>
          <w:color w:val="auto"/>
        </w:rPr>
      </w:pPr>
    </w:p>
    <w:p>
      <w:pPr>
        <w:ind w:right="100"/>
        <w:spacing w:after="0" w:line="246" w:lineRule="auto"/>
        <w:rPr>
          <w:sz w:val="20"/>
          <w:szCs w:val="20"/>
          <w:color w:val="auto"/>
        </w:rPr>
      </w:pPr>
      <w:r>
        <w:rPr>
          <w:rFonts w:ascii="Arial" w:cs="Arial" w:eastAsia="Arial" w:hAnsi="Arial"/>
          <w:sz w:val="19"/>
          <w:szCs w:val="19"/>
          <w:color w:val="auto"/>
        </w:rPr>
        <w:t>Both the FDA and the EMA provide expedited pathways for the development of biological product candidates for the treatment of rare diseases, particularly life-threatening diseases with high unmet medical need. Such biological product candidates may be eligible to proceed to registration following an early phase single clinical trial in a limited patient population which may be deemed a pivotal or registrational trial following review of the trial’s design, primary endpoints and results by the applicable regulatory agencies. Determination of the requirements to be deemed a pivotal or registrational trial is subject to the applicable regulatory authority’s scientific judgement and these requirements may differ in the United States and the European Union.</w:t>
      </w:r>
    </w:p>
    <w:p>
      <w:pPr>
        <w:spacing w:after="0" w:line="82" w:lineRule="exact"/>
        <w:rPr>
          <w:sz w:val="20"/>
          <w:szCs w:val="20"/>
          <w:color w:val="auto"/>
        </w:rPr>
      </w:pPr>
    </w:p>
    <w:p>
      <w:pPr>
        <w:spacing w:after="0" w:line="244" w:lineRule="auto"/>
        <w:rPr>
          <w:sz w:val="20"/>
          <w:szCs w:val="20"/>
          <w:color w:val="auto"/>
        </w:rPr>
      </w:pPr>
      <w:r>
        <w:rPr>
          <w:rFonts w:ascii="Arial" w:cs="Arial" w:eastAsia="Arial" w:hAnsi="Arial"/>
          <w:sz w:val="19"/>
          <w:szCs w:val="19"/>
          <w:color w:val="auto"/>
        </w:rPr>
        <w:t>During all phases of clinical development, regulatory agencies require a sponsor assure extensive monitoring and auditing of all clinical activities, clinical data, and clinical trial investigators. Annual progress reports detailing the results of the clinical trials, particularly the safety information, must be submitted to the FDA. Written IND safety reports must be promptly submitted to the FDA and the investigators for serious and unexpected adverse events associated with the use of the study drug, and in some cases, any findings from other studies of the same drug, tests in laboratory animals or in vitro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w:t>
      </w:r>
    </w:p>
    <w:p>
      <w:pPr>
        <w:spacing w:after="0" w:line="84" w:lineRule="exact"/>
        <w:rPr>
          <w:sz w:val="20"/>
          <w:szCs w:val="20"/>
          <w:color w:val="auto"/>
        </w:rPr>
      </w:pPr>
    </w:p>
    <w:p>
      <w:pPr>
        <w:ind w:right="20"/>
        <w:spacing w:after="0" w:line="248" w:lineRule="auto"/>
        <w:rPr>
          <w:sz w:val="20"/>
          <w:szCs w:val="20"/>
          <w:color w:val="auto"/>
        </w:rPr>
      </w:pPr>
      <w:r>
        <w:rPr>
          <w:rFonts w:ascii="Arial" w:cs="Arial" w:eastAsia="Arial" w:hAnsi="Arial"/>
          <w:sz w:val="19"/>
          <w:szCs w:val="19"/>
          <w:color w:val="auto"/>
        </w:rPr>
        <w:t>Regulatory authorities, the IRB or the sponsor may suspend a clinical trial at any time on various grounds, including a finding that the subjects are being exposed to an unacceptable health risk or that the trial is unlikely to meet its stated objectives. Some trials also include oversight by an independent group of qualified experts organized by the clinical trial sponsor, known as a data safety monitoring board, which provides authorization for whether or not a trial may move forward at designated check points based on access to certain data from the trial and may halt the clinical trial if it determines that there is an unacceptable safety risk for subjects or other grounds, such as no demonstration of efficacy.</w:t>
      </w:r>
    </w:p>
    <w:p>
      <w:pPr>
        <w:spacing w:after="0" w:line="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U.S. Review and Approval Processes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27</w:t>
      </w:r>
    </w:p>
    <w:p>
      <w:pPr>
        <w:sectPr>
          <w:pgSz w:w="12240" w:h="15840" w:orient="portrait"/>
          <w:cols w:equalWidth="0" w:num="1">
            <w:col w:w="10080"/>
          </w:cols>
          <w:pgMar w:left="1080" w:top="1062" w:right="1080" w:bottom="173" w:gutter="0" w:footer="0" w:header="0"/>
        </w:sectPr>
      </w:pPr>
    </w:p>
    <w:bookmarkStart w:id="31" w:name="page32"/>
    <w:bookmarkEnd w:id="31"/>
    <w:p>
      <w:pPr>
        <w:ind w:right="200"/>
        <w:spacing w:after="0" w:line="246" w:lineRule="auto"/>
        <w:rPr>
          <w:sz w:val="20"/>
          <w:szCs w:val="20"/>
          <w:color w:val="auto"/>
        </w:rPr>
      </w:pPr>
      <w:r>
        <w:rPr>
          <w:rFonts w:ascii="Arial" w:cs="Arial" w:eastAsia="Arial" w:hAnsi="Arial"/>
          <w:sz w:val="19"/>
          <w:szCs w:val="19"/>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results of product development, laboratory and animal studies, human clinical trials, information on the manufacture and composition of the product, proposed labeling and other relevant information. The testing and approval processes require substantial time and effort and there can be no assurance that the FDA will accept the BLA for filing and, even if filed, that any approval will be granted on a timely basis, if at all.</w:t>
      </w:r>
    </w:p>
    <w:p>
      <w:pPr>
        <w:spacing w:after="0" w:line="82" w:lineRule="exact"/>
        <w:rPr>
          <w:sz w:val="20"/>
          <w:szCs w:val="20"/>
          <w:color w:val="auto"/>
        </w:rPr>
      </w:pPr>
    </w:p>
    <w:p>
      <w:pPr>
        <w:spacing w:after="0" w:line="242" w:lineRule="auto"/>
        <w:rPr>
          <w:sz w:val="20"/>
          <w:szCs w:val="20"/>
          <w:color w:val="auto"/>
        </w:rPr>
      </w:pPr>
      <w:r>
        <w:rPr>
          <w:rFonts w:ascii="Arial" w:cs="Arial" w:eastAsia="Arial" w:hAnsi="Arial"/>
          <w:sz w:val="19"/>
          <w:szCs w:val="19"/>
          <w:color w:val="auto"/>
        </w:rPr>
        <w:t>Within 60 days following submission of the application, the FDA reviews the BLA submission to determine if it is substantially complete before the FDA accepts it for filing and full review. The FDA may refuse to file any BLA that it deems incomplete or not properly reviewable at the time of submission and may request additional information in a Complete Response letter. In this event, the BLA must be resubmitted with the additional information. The resubmitted application also is subject to review to determine if it is substantially complete before the FDA accepts it for filing. In most cases, the submission of a BLA is subject to a substantial application user fee, although the fee may be waived under certain circumstances. Under the performance goals and policies implemented by the FDA under the Prescription Drug User Fee Act (PDUFA) for original BLAs, the FDA targets ten months from the filing date in which to complete its initial review of a standard application and respond to the applicant, and six months from the filing date for an application with priority review. The FDA does not always meet its PDUFA goal dates, and the review process is often significantly extended by FDA requests for additional information or clarification and in some cases, convening of an Advisory Committee. This review typically takes twelve months from the date the BLA is submitted to the FDA because the FDA has approximately two months to make a “filing” decision. The review process and the PDUFA goal date may be extended by three months if the FDA requests or the BLA sponsor otherwise provides additional information or clarification regarding information already provided in the submission within the last three months before the PDUFA goal date.</w:t>
      </w:r>
    </w:p>
    <w:p>
      <w:pPr>
        <w:spacing w:after="0" w:line="91" w:lineRule="exact"/>
        <w:rPr>
          <w:sz w:val="20"/>
          <w:szCs w:val="20"/>
          <w:color w:val="auto"/>
        </w:rPr>
      </w:pPr>
    </w:p>
    <w:p>
      <w:pPr>
        <w:ind w:right="20"/>
        <w:spacing w:after="0" w:line="244" w:lineRule="auto"/>
        <w:rPr>
          <w:sz w:val="20"/>
          <w:szCs w:val="20"/>
          <w:color w:val="auto"/>
        </w:rPr>
      </w:pPr>
      <w:r>
        <w:rPr>
          <w:rFonts w:ascii="Arial" w:cs="Arial" w:eastAsia="Arial" w:hAnsi="Arial"/>
          <w:sz w:val="19"/>
          <w:szCs w:val="19"/>
          <w:color w:val="auto"/>
        </w:rPr>
        <w:t>Once the submission is accepted for filing, the FDA begins an in-depth substantive review of the BLA. The FDA reviews the BLA to determine, among other things, whether the proposed product is safe, pure and potent for its intended use and whether the product is being manufactured in accordance with cGMP to ensure its continued safety, purity and purity. The FDA may refer applications for novel biological products or biological products that present difficult or novel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Risk Evaluation and Mitigation Strategy (REMS) is necessary to assure the safe use of the biological product. If the FDA concludes a REMS is needed, the sponsor of the BLA must submit a proposed REMS; the FDA will not approve the BLA without a REMS, if required.</w:t>
      </w:r>
    </w:p>
    <w:p>
      <w:pPr>
        <w:spacing w:after="0" w:line="80" w:lineRule="exact"/>
        <w:rPr>
          <w:sz w:val="20"/>
          <w:szCs w:val="20"/>
          <w:color w:val="auto"/>
        </w:rPr>
      </w:pPr>
    </w:p>
    <w:p>
      <w:pPr>
        <w:ind w:right="160"/>
        <w:spacing w:after="0" w:line="246" w:lineRule="auto"/>
        <w:rPr>
          <w:sz w:val="20"/>
          <w:szCs w:val="20"/>
          <w:color w:val="auto"/>
        </w:rPr>
      </w:pPr>
      <w:r>
        <w:rPr>
          <w:rFonts w:ascii="Arial" w:cs="Arial" w:eastAsia="Arial" w:hAnsi="Arial"/>
          <w:sz w:val="19"/>
          <w:szCs w:val="19"/>
          <w:color w:val="auto"/>
        </w:rPr>
        <w:t>Before approving a BLA, the FDA typically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that the clinical trials were conducted in compliance with IND trial requirements and GCP requirements. To assure cGMP and GCP compliance, an applicant must incur significant expenditure of time, money and effort in the areas of training, record keeping, production and quality control.</w:t>
      </w:r>
    </w:p>
    <w:p>
      <w:pPr>
        <w:spacing w:after="0" w:line="82" w:lineRule="exact"/>
        <w:rPr>
          <w:sz w:val="20"/>
          <w:szCs w:val="20"/>
          <w:color w:val="auto"/>
        </w:rPr>
      </w:pPr>
    </w:p>
    <w:p>
      <w:pPr>
        <w:ind w:right="100"/>
        <w:spacing w:after="0" w:line="248" w:lineRule="auto"/>
        <w:rPr>
          <w:sz w:val="20"/>
          <w:szCs w:val="20"/>
          <w:color w:val="auto"/>
        </w:rPr>
      </w:pPr>
      <w:r>
        <w:rPr>
          <w:rFonts w:ascii="Arial" w:cs="Arial" w:eastAsia="Arial" w:hAnsi="Arial"/>
          <w:sz w:val="19"/>
          <w:szCs w:val="19"/>
          <w:color w:val="auto"/>
        </w:rPr>
        <w:t>Under the Pediatric Research Equity Act (PREA) a BLA or supplement to a BLA for a novel product (e.g., new active ingredient, new indication, etc.) must contain data to assess the safety and effectiveness of the biological product for the claimed indications in all relevant pediatric subpopulations and to support dosing and administration for each pediatric subpopulation for which the product is safe and effective. The FDA may grant deferrals for submission of data or full or partial waivers. Unless otherwise required by regulation, PREA does not apply to any biological product for an indication for which orphan designation has been granted.</w:t>
      </w:r>
    </w:p>
    <w:p>
      <w:pPr>
        <w:spacing w:after="0" w:line="76" w:lineRule="exact"/>
        <w:rPr>
          <w:sz w:val="20"/>
          <w:szCs w:val="20"/>
          <w:color w:val="auto"/>
        </w:rPr>
      </w:pPr>
    </w:p>
    <w:p>
      <w:pPr>
        <w:ind w:right="100"/>
        <w:spacing w:after="0" w:line="244" w:lineRule="auto"/>
        <w:rPr>
          <w:sz w:val="20"/>
          <w:szCs w:val="20"/>
          <w:color w:val="auto"/>
        </w:rPr>
      </w:pPr>
      <w:r>
        <w:rPr>
          <w:rFonts w:ascii="Arial" w:cs="Arial" w:eastAsia="Arial" w:hAnsi="Arial"/>
          <w:sz w:val="19"/>
          <w:szCs w:val="19"/>
          <w:color w:val="auto"/>
        </w:rPr>
        <w:t>After the FDA evaluates a BLA and conducts inspections of manufacturing facilities where the investigational product and/or its drug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28</w:t>
      </w:r>
    </w:p>
    <w:p>
      <w:pPr>
        <w:sectPr>
          <w:pgSz w:w="12240" w:h="15840" w:orient="portrait"/>
          <w:cols w:equalWidth="0" w:num="1">
            <w:col w:w="10060"/>
          </w:cols>
          <w:pgMar w:left="1080" w:top="1062" w:right="1100" w:bottom="173" w:gutter="0" w:footer="0" w:header="0"/>
        </w:sectPr>
      </w:pPr>
    </w:p>
    <w:bookmarkStart w:id="32" w:name="page33"/>
    <w:bookmarkEnd w:id="32"/>
    <w:p>
      <w:pPr>
        <w:spacing w:after="0" w:line="243" w:lineRule="auto"/>
        <w:rPr>
          <w:sz w:val="20"/>
          <w:szCs w:val="20"/>
          <w:color w:val="auto"/>
        </w:rPr>
      </w:pPr>
      <w:r>
        <w:rPr>
          <w:rFonts w:ascii="Arial" w:cs="Arial" w:eastAsia="Arial" w:hAnsi="Arial"/>
          <w:sz w:val="19"/>
          <w:szCs w:val="19"/>
          <w:color w:val="auto"/>
        </w:rPr>
        <w:t>If a product receives regulatory approval, the approval may be significantly limited to specific diseases and dosages or the indications for use may otherwise be limited, including to subpopulations of patients, which could restrict the commercial value of the product. Further, the FDA may require that certain contraindications, warnings, precautions or interactions be included in the product labeling. The FDA may impose restrictions and conditions on product distribution, prescribing, or dispensing in the form of a REMS, or otherwise limit the scope of any approval.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trials and surveillance to further assess and monitor the product’s safety and effectiveness after commercialization, and may limit further marketing of the product based on the results of these post-marketing trials. In addition, new government requirements, including those resulting from new legislation, may be established, or the FDA’s policies may change, which could impact the timeline for regulatory approval or otherwise impact ongoing development programs.</w:t>
      </w:r>
    </w:p>
    <w:p>
      <w:pPr>
        <w:spacing w:after="0" w:line="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Orphan Product Designation</w:t>
      </w:r>
    </w:p>
    <w:p>
      <w:pPr>
        <w:spacing w:after="0" w:line="124" w:lineRule="exact"/>
        <w:rPr>
          <w:sz w:val="20"/>
          <w:szCs w:val="20"/>
          <w:color w:val="auto"/>
        </w:rPr>
      </w:pPr>
    </w:p>
    <w:p>
      <w:pPr>
        <w:spacing w:after="0" w:line="245" w:lineRule="auto"/>
        <w:rPr>
          <w:sz w:val="20"/>
          <w:szCs w:val="20"/>
          <w:color w:val="auto"/>
        </w:rPr>
      </w:pPr>
      <w:r>
        <w:rPr>
          <w:rFonts w:ascii="Arial" w:cs="Arial" w:eastAsia="Arial" w:hAnsi="Arial"/>
          <w:sz w:val="19"/>
          <w:szCs w:val="19"/>
          <w:color w:val="auto"/>
        </w:rPr>
        <w:t>Under the Orphan Drug Act, the FDA may grant orphan designation to a biological product intended to treat a rare disease or condition, which is generally a disease or condition that affects fewer than 200,000 individuals in the United States, or 200,000 or more individuals in the United States and for which there is no reasonable expectation that the cost of developing and making a biological product available in the United States for this type of disease or condition will be recovered from sales of the product. Orphan product designation must be requested before submitting a BLA.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84" w:lineRule="exact"/>
        <w:rPr>
          <w:sz w:val="20"/>
          <w:szCs w:val="20"/>
          <w:color w:val="auto"/>
        </w:rPr>
      </w:pPr>
    </w:p>
    <w:p>
      <w:pPr>
        <w:spacing w:after="0" w:line="242" w:lineRule="auto"/>
        <w:rPr>
          <w:sz w:val="20"/>
          <w:szCs w:val="20"/>
          <w:color w:val="auto"/>
        </w:rPr>
      </w:pPr>
      <w:r>
        <w:rPr>
          <w:rFonts w:ascii="Arial" w:cs="Arial" w:eastAsia="Arial" w:hAnsi="Arial"/>
          <w:sz w:val="19"/>
          <w:szCs w:val="19"/>
          <w:color w:val="auto"/>
        </w:rPr>
        <w:t>Orphan product designation entitles a party to financial incentives such as opportunities for grant funding towards clinical trial costs, tax advantages and user-fee waivers. If a product that has orphan product designation subsequently receives the first FDA approval for a particular active ingredient for the disease or condition for which it has such designation, the product is entitled to orphan product exclusivity, which means that the FDA may not approve any other applications, including a full BLA, to market the same biologic for the same indication for seven years, except in limited circumstances, such as a showing of clinical superiority to the product with orphan product exclusivity.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biological product as defined by the FDA or if a product candidate is determined to be contained within the competitor’s product for the same indication or disease. If a biological product designated as an orphan product receives marketing approval for an indication broader than what is designated, it may not be entitled to orphan product exclusivity. In addition, orphan drug exclusive marketing rights in the United States may be lost if the FDA later determines that the request for designation was materially defective or, as noted above, if the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 Orphan drug status in the European Union (EU) has similar, but not identical, benefits.</w:t>
      </w:r>
    </w:p>
    <w:p>
      <w:pPr>
        <w:spacing w:after="0" w:line="8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Expedited Development and Review Programs</w:t>
      </w:r>
    </w:p>
    <w:p>
      <w:pPr>
        <w:spacing w:after="0" w:line="124" w:lineRule="exact"/>
        <w:rPr>
          <w:sz w:val="20"/>
          <w:szCs w:val="20"/>
          <w:color w:val="auto"/>
        </w:rPr>
      </w:pPr>
    </w:p>
    <w:p>
      <w:pPr>
        <w:spacing w:after="0" w:line="243" w:lineRule="auto"/>
        <w:rPr>
          <w:sz w:val="20"/>
          <w:szCs w:val="20"/>
          <w:color w:val="auto"/>
        </w:rPr>
      </w:pPr>
      <w:r>
        <w:rPr>
          <w:rFonts w:ascii="Arial" w:cs="Arial" w:eastAsia="Arial" w:hAnsi="Arial"/>
          <w:sz w:val="19"/>
          <w:szCs w:val="19"/>
          <w:color w:val="auto"/>
        </w:rPr>
        <w:t>The FDA has various programs, including fast track designation, breakthrough therapy designation, accelerated approval and priority review, that are intended to expedite or simplify the process for the development and FDA review of drugs and biologics that are intended for the treatment of serious or life-threatening diseases or conditions. To be eligible for fast track designation, new drugs and biological product candidates must be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new drug or biologic may request the FDA to designate the drug or biologic as a fast track product at any time during the clinical development of the product. One benefit of fast track designation, for example, is that the FDA may consider for review sections of the marketing application on a rolling basis before the complete application is submitted if certain conditions are satisfied, including an agreement with the FDA on the proposed schedule for submission of portions of the application and the payment of applicable user fees before the FDA may initiate a review.</w:t>
      </w:r>
    </w:p>
    <w:p>
      <w:pPr>
        <w:spacing w:after="0" w:line="87" w:lineRule="exact"/>
        <w:rPr>
          <w:sz w:val="20"/>
          <w:szCs w:val="20"/>
          <w:color w:val="auto"/>
        </w:rPr>
      </w:pPr>
    </w:p>
    <w:p>
      <w:pPr>
        <w:ind w:right="20"/>
        <w:spacing w:after="0" w:line="248" w:lineRule="auto"/>
        <w:rPr>
          <w:sz w:val="20"/>
          <w:szCs w:val="20"/>
          <w:color w:val="auto"/>
        </w:rPr>
      </w:pPr>
      <w:r>
        <w:rPr>
          <w:rFonts w:ascii="Arial" w:cs="Arial" w:eastAsia="Arial" w:hAnsi="Arial"/>
          <w:sz w:val="19"/>
          <w:szCs w:val="19"/>
          <w:color w:val="auto"/>
        </w:rPr>
        <w:t>Under the FDA’s breakthrough therapy program, a sponsor may seek FDA designation of its product candidate as a breakthrough therapy if the product candidate is intended, alone or in combination with one or more other drugs or biologics, to treat a serious or life-threatening disease or condition and preliminary clinical evidence indicates that it may demonstrate substantial improvement over existing therapies on one or more clinically significant endpoints, such as substantial treatment effects observed early in clinical development. Breakthrough therapy designation comes with all of the benefits of fast track designation. The FDA may take other actions appropriate to expedite the development and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29</w:t>
      </w:r>
    </w:p>
    <w:p>
      <w:pPr>
        <w:sectPr>
          <w:pgSz w:w="12240" w:h="15840" w:orient="portrait"/>
          <w:cols w:equalWidth="0" w:num="1">
            <w:col w:w="10080"/>
          </w:cols>
          <w:pgMar w:left="1080" w:top="1062" w:right="1080" w:bottom="173" w:gutter="0" w:footer="0" w:header="0"/>
        </w:sectPr>
      </w:pPr>
    </w:p>
    <w:bookmarkStart w:id="33" w:name="page34"/>
    <w:bookmarkEnd w:id="33"/>
    <w:p>
      <w:pPr>
        <w:ind w:right="680"/>
        <w:spacing w:after="0" w:line="281" w:lineRule="auto"/>
        <w:rPr>
          <w:sz w:val="20"/>
          <w:szCs w:val="20"/>
          <w:color w:val="auto"/>
        </w:rPr>
      </w:pPr>
      <w:r>
        <w:rPr>
          <w:rFonts w:ascii="Arial" w:cs="Arial" w:eastAsia="Arial" w:hAnsi="Arial"/>
          <w:sz w:val="19"/>
          <w:szCs w:val="19"/>
          <w:color w:val="auto"/>
        </w:rPr>
        <w:t>review of the product candidate, including holding meetings with the sponsor and providing timely advice to, and interactive communication with, the sponsor regarding the development program.</w:t>
      </w:r>
    </w:p>
    <w:p>
      <w:pPr>
        <w:spacing w:after="0" w:line="45" w:lineRule="exact"/>
        <w:rPr>
          <w:sz w:val="20"/>
          <w:szCs w:val="20"/>
          <w:color w:val="auto"/>
        </w:rPr>
      </w:pPr>
    </w:p>
    <w:p>
      <w:pPr>
        <w:ind w:right="140"/>
        <w:spacing w:after="0" w:line="246" w:lineRule="auto"/>
        <w:rPr>
          <w:sz w:val="20"/>
          <w:szCs w:val="20"/>
          <w:color w:val="auto"/>
        </w:rPr>
      </w:pPr>
      <w:r>
        <w:rPr>
          <w:rFonts w:ascii="Arial" w:cs="Arial" w:eastAsia="Arial" w:hAnsi="Arial"/>
          <w:sz w:val="19"/>
          <w:szCs w:val="19"/>
          <w:color w:val="auto"/>
        </w:rPr>
        <w:t>A product candidate is eligible for priority review if it treats a serious or life-threatening disease or condition and, if approved, would provide a significant improvement in the safety or effectiveness of the treatment, diagnosis or prevention of a serious disease or condition. The FDA will attempt to direct additional resources to the evaluation of an application for a new drug or biological product designated for priority review in an effort to facilitate the review. Under priority review, the FDA’s goal is to review an application in six months once it is filed, compared to ten months for a standard review. Priority review designation does not change the scientific/medical standard for approval or the quality of evidence necessary to support approval.</w:t>
      </w:r>
    </w:p>
    <w:p>
      <w:pPr>
        <w:spacing w:after="0" w:line="82" w:lineRule="exact"/>
        <w:rPr>
          <w:sz w:val="20"/>
          <w:szCs w:val="20"/>
          <w:color w:val="auto"/>
        </w:rPr>
      </w:pPr>
    </w:p>
    <w:p>
      <w:pPr>
        <w:ind w:right="60"/>
        <w:spacing w:after="0" w:line="243" w:lineRule="auto"/>
        <w:rPr>
          <w:sz w:val="20"/>
          <w:szCs w:val="20"/>
          <w:color w:val="auto"/>
        </w:rPr>
      </w:pPr>
      <w:r>
        <w:rPr>
          <w:rFonts w:ascii="Arial" w:cs="Arial" w:eastAsia="Arial" w:hAnsi="Arial"/>
          <w:sz w:val="19"/>
          <w:szCs w:val="19"/>
          <w:color w:val="auto"/>
        </w:rPr>
        <w:t>With respect to oncology products, the FDA may review applications under Real-Time Oncology Review (RTOR) established by the FDA’s Oncology Center of Excellence. RTOR, which allows an applicant to pre-submit components of the application to allow the FDA to review clinical data before the complete filing is submitted, aims to explore a more efficient review process to ensure that safe and effective treatments are available to patients as early as possible, while maintaining and improving review quality. Drugs considered for review under RTOR must, among other things, be likely to demonstrate substantial improvements on a clinically relevant endpoint(s) over available therapy, and must have easily interpreted endpoints. In addition, no aspect of the application should be likely to require a longer review time, such as, for example, a requirement for a new REMS. To determine eligibility for RTOR, the FDA requires top-line efficacy and safety results from an applicant’s pivotal clinical trial(s), as well as completion of database lock for the clinical trial(s). The FDA will generally make a decision regarding acceptance into RTOR within twenty (20) business days of receipt of the request from the applicant. If an applicant is not accepted into RTOR, the applicant will follow routine application submission procedures.</w:t>
      </w:r>
    </w:p>
    <w:p>
      <w:pPr>
        <w:spacing w:after="0" w:line="87" w:lineRule="exact"/>
        <w:rPr>
          <w:sz w:val="20"/>
          <w:szCs w:val="20"/>
          <w:color w:val="auto"/>
        </w:rPr>
      </w:pPr>
    </w:p>
    <w:p>
      <w:pPr>
        <w:spacing w:after="0" w:line="242" w:lineRule="auto"/>
        <w:rPr>
          <w:sz w:val="20"/>
          <w:szCs w:val="20"/>
          <w:color w:val="auto"/>
        </w:rPr>
      </w:pPr>
      <w:r>
        <w:rPr>
          <w:rFonts w:ascii="Arial" w:cs="Arial" w:eastAsia="Arial" w:hAnsi="Arial"/>
          <w:sz w:val="19"/>
          <w:szCs w:val="19"/>
          <w:color w:val="auto"/>
        </w:rPr>
        <w:t>Additionally, a product candidate may be eligible for accelerated approval. Drug or biological products studied for their safety and effectiveness in treating serious or life-threatening illnesses and that provide meaningful therapeutic benefit over existing treatments may receive accelerated approval, which means that they may be approved on the basis of adequate and well-controlled clinical trials establishing that the product has an effect on a surrogate endpoint that is reasonably likely to predict a clinical benefit, or on the basis of an effect on an intermediate clinical endpoint other than survival or irreversible morbidity or mortality, that is reasonably likely to predict irreversible morbidity or mortality or other clinical benefit, taking into account the severity, rarity, or prevalence of the condition and the availability or lack of alternative treatments. As a condition of approval, the FDA generally requires that a sponsor of a drug or biological product receiving accelerated approval perform adequate and well-controlled post-marketing clinical trials, which must be conducted with due diligence, to verify the clinical benefit in relationship to the surrogate endpoint or ultimate outcome in relationship to the clinical benefit and, under the Food and Drug Omnibus Reform Act of 2022 (FDORA), the FDA may require, as appropriate, that such trials be underway prior to approval or within a specific time period after the date accelerated approval was granted. In addition, for products being considered for accelerated approval, the FDA generally requires, unless otherwise informed by the agency, that all advertising and promotional materials, intended for dissemination or publication be submitted to the agency for review. Under FDORA, the FDA has increased authority for expedited procedures to withdraw approval of a drug or indication approved under accelerated approval if, for example, the confirmatory trial fails to verify the predicted clinical benefit of the product.</w:t>
      </w:r>
    </w:p>
    <w:p>
      <w:pPr>
        <w:spacing w:after="0" w:line="8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Post-Approval Requirements</w:t>
      </w:r>
    </w:p>
    <w:p>
      <w:pPr>
        <w:spacing w:after="0" w:line="124" w:lineRule="exact"/>
        <w:rPr>
          <w:sz w:val="20"/>
          <w:szCs w:val="20"/>
          <w:color w:val="auto"/>
        </w:rPr>
      </w:pPr>
    </w:p>
    <w:p>
      <w:pPr>
        <w:ind w:right="20"/>
        <w:spacing w:after="0" w:line="242" w:lineRule="auto"/>
        <w:rPr>
          <w:sz w:val="20"/>
          <w:szCs w:val="20"/>
          <w:color w:val="auto"/>
        </w:rPr>
      </w:pPr>
      <w:r>
        <w:rPr>
          <w:rFonts w:ascii="Arial" w:cs="Arial" w:eastAsia="Arial" w:hAnsi="Arial"/>
          <w:sz w:val="19"/>
          <w:szCs w:val="19"/>
          <w:color w:val="auto"/>
        </w:rPr>
        <w:t>Rigorous and extensive FDA regulation of biological products continues after approval, particularly with respect to cGMP requirements, as well as requirements relating to record keeping, reporting of adverse experiences, periodic reporting, product sampling and distribution, and advertising and promotion of the product. Manufacturers of products are required to comply with applicable requirements in the cGMP regulations, including quality control and quality assurance and maintenance of records and documentation. Other post-approval requirements applicable to biological products, include reporting of cGMP deviations that may affect the identity, potency, purity and overall safety of a distributed product, record keeping requirements, reporting of adverse effects, reporting updated safety and efficacy information, and complying with electronic record and signature requirements. 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conducts laboratory research related to the regulatory standards on the safety, purity, potency, and effectiveness of biological products.</w:t>
      </w:r>
    </w:p>
    <w:p>
      <w:pPr>
        <w:spacing w:after="0" w:line="93" w:lineRule="exact"/>
        <w:rPr>
          <w:sz w:val="20"/>
          <w:szCs w:val="20"/>
          <w:color w:val="auto"/>
        </w:rPr>
      </w:pPr>
    </w:p>
    <w:p>
      <w:pPr>
        <w:jc w:val="both"/>
        <w:ind w:right="120"/>
        <w:spacing w:after="0" w:line="253" w:lineRule="auto"/>
        <w:rPr>
          <w:sz w:val="20"/>
          <w:szCs w:val="20"/>
          <w:color w:val="auto"/>
        </w:rPr>
      </w:pPr>
      <w:r>
        <w:rPr>
          <w:rFonts w:ascii="Arial" w:cs="Arial" w:eastAsia="Arial" w:hAnsi="Arial"/>
          <w:sz w:val="19"/>
          <w:szCs w:val="19"/>
          <w:color w:val="auto"/>
        </w:rPr>
        <w:t>Manufacturers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Discovery of previously unknown problems or the failure to comply with the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30</w:t>
      </w:r>
    </w:p>
    <w:p>
      <w:pPr>
        <w:sectPr>
          <w:pgSz w:w="12240" w:h="15840" w:orient="portrait"/>
          <w:cols w:equalWidth="0" w:num="1">
            <w:col w:w="10080"/>
          </w:cols>
          <w:pgMar w:left="1080" w:top="1062" w:right="1080" w:bottom="173" w:gutter="0" w:footer="0" w:header="0"/>
        </w:sectPr>
      </w:pPr>
    </w:p>
    <w:bookmarkStart w:id="34" w:name="page35"/>
    <w:bookmarkEnd w:id="34"/>
    <w:p>
      <w:pPr>
        <w:ind w:right="120"/>
        <w:spacing w:after="0" w:line="244" w:lineRule="auto"/>
        <w:rPr>
          <w:sz w:val="20"/>
          <w:szCs w:val="20"/>
          <w:color w:val="auto"/>
        </w:rPr>
      </w:pPr>
      <w:r>
        <w:rPr>
          <w:rFonts w:ascii="Arial" w:cs="Arial" w:eastAsia="Arial" w:hAnsi="Arial"/>
          <w:sz w:val="19"/>
          <w:szCs w:val="19"/>
          <w:color w:val="auto"/>
        </w:rPr>
        <w:t>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clinical holds, warning or untitled letters, product recalls, product seizures, total or partial suspension of production or distribution, product detentions or refusal to permit the import or export of the product, restrictions on the marketing or manufacturing of the product, injunctions, fines, refusals of government contracts, mandated corrective advertising or communications with doctors or other stakeholders, debarment, restitution, disgorgement of profits, or civil or criminal penalties. Any agency or judicial enforcement action could have a material adverse effect on us.</w:t>
      </w:r>
    </w:p>
    <w:p>
      <w:pPr>
        <w:spacing w:after="0" w:line="84"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ongoing regulatory requirements, including cGMPs, which impose certain procedural and documentation requirements on sponsors and their contract development and manufacturing organizations (CDMOs). Manufacturers and other parties involved in the drug supply chain for prescription drug and biological products must also comply with product tracking and tracing requirements and for notifying the FDA of counterfeit, diverted, stolen and intentionally adulterated products or products that are otherwise unfit for distribution in the United States. Accordingly, manufacturers must continue to expend time, money, and effort in the area of production and quality control to maintain cGMP compliance. Discovery of problems with a product after approval may result in restrictions on a product, manufacturer, or holder of an approved BLA, including 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U.S. Patent Term Restoration and Marketing Exclusivity</w:t>
      </w:r>
    </w:p>
    <w:p>
      <w:pPr>
        <w:spacing w:after="0" w:line="124" w:lineRule="exact"/>
        <w:rPr>
          <w:sz w:val="20"/>
          <w:szCs w:val="20"/>
          <w:color w:val="auto"/>
        </w:rPr>
      </w:pPr>
    </w:p>
    <w:p>
      <w:pPr>
        <w:spacing w:after="0" w:line="243" w:lineRule="auto"/>
        <w:rPr>
          <w:sz w:val="20"/>
          <w:szCs w:val="20"/>
          <w:color w:val="auto"/>
        </w:rPr>
      </w:pPr>
      <w:r>
        <w:rPr>
          <w:rFonts w:ascii="Arial" w:cs="Arial" w:eastAsia="Arial" w:hAnsi="Arial"/>
          <w:sz w:val="19"/>
          <w:szCs w:val="19"/>
          <w:color w:val="auto"/>
        </w:rPr>
        <w:t>Depending upon the timing, duration and specifics of the FDA approval of a biological product, some of a sponsor’s U.S. patents may be eligible for limited patent term extension under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plus the time between the submission date of a BLA and the approval of that application. Only one patent applicable to an approved biological product is eligible for the extension and the application for the extension must be submitted prior to the expiration of the patent. In addition, a patent can only be extended once and only for a single product. The United States Patent and trademark Office (USPTO) in consultation with the FDA, reviews and approves the application for any patent term extension or restoration. In the future, we may intend to apply for restoration of patent term for one of our patents, if and as applicable, to add patent life beyond its current expiration date, depending on the expected length of the clinical trials and other factors involved in the filing of the relevant BLA.</w:t>
      </w:r>
    </w:p>
    <w:p>
      <w:pPr>
        <w:spacing w:after="0" w:line="84" w:lineRule="exact"/>
        <w:rPr>
          <w:sz w:val="20"/>
          <w:szCs w:val="20"/>
          <w:color w:val="auto"/>
        </w:rPr>
      </w:pPr>
    </w:p>
    <w:p>
      <w:pPr>
        <w:ind w:right="140"/>
        <w:spacing w:after="0" w:line="250" w:lineRule="auto"/>
        <w:rPr>
          <w:sz w:val="20"/>
          <w:szCs w:val="20"/>
          <w:color w:val="auto"/>
        </w:rPr>
      </w:pPr>
      <w:r>
        <w:rPr>
          <w:rFonts w:ascii="Arial" w:cs="Arial" w:eastAsia="Arial" w:hAnsi="Arial"/>
          <w:sz w:val="19"/>
          <w:szCs w:val="19"/>
          <w:color w:val="auto"/>
        </w:rPr>
        <w:t>A biological product can obtain pediatric market exclusivity in the U.S. Pediatric exclusivity, if granted, adds six months to existing exclusivity periods for all formulations, dosage forms, and indications of the biologic. This six-month exclusivity, which runs from the end of other exclusivity protection, may be granted based on the voluntary completion of a pediatric study in accordance with an FDA-issued “Written Request” for such a study, provided that at the time pediatric exclusivity is granted there is not less than nine months of term remaining.</w:t>
      </w:r>
    </w:p>
    <w:p>
      <w:pPr>
        <w:spacing w:after="0" w:line="74" w:lineRule="exact"/>
        <w:rPr>
          <w:sz w:val="20"/>
          <w:szCs w:val="20"/>
          <w:color w:val="auto"/>
        </w:rPr>
      </w:pPr>
    </w:p>
    <w:p>
      <w:pPr>
        <w:spacing w:after="0" w:line="243" w:lineRule="auto"/>
        <w:rPr>
          <w:sz w:val="20"/>
          <w:szCs w:val="20"/>
          <w:color w:val="auto"/>
        </w:rPr>
      </w:pPr>
      <w:r>
        <w:rPr>
          <w:rFonts w:ascii="Arial" w:cs="Arial" w:eastAsia="Arial" w:hAnsi="Arial"/>
          <w:sz w:val="19"/>
          <w:szCs w:val="19"/>
          <w:color w:val="auto"/>
        </w:rPr>
        <w:t>The ACA includes a subtitle called the Biologics Price Competition and Innovation Act of 2009 (BPCIA) which created an abbreviated approval pathway for biological products shown to be biosimilar to, or interchangeable with, an FDA-licensed reference biological product. This amendment to the PHS Act attempts to minimize duplicative testing. Biosimilarity, which requires that there be no clinically meaningful differences between the biological product and the reference product in terms of safety, purity, and potency, can be shown through analytical studies, animal studies, and a clinical trial or trials. Interchangeability requires that a product is biosimilar to the reference product and the product must demonstrate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However, complexities associated with the larger, and often more complex, structure of biological products, as well as the process by which such products are manufactured, pose significant hurdles to implementation that are still being worked out by the FDA.</w:t>
      </w:r>
    </w:p>
    <w:p>
      <w:pPr>
        <w:spacing w:after="0" w:line="87" w:lineRule="exact"/>
        <w:rPr>
          <w:sz w:val="20"/>
          <w:szCs w:val="20"/>
          <w:color w:val="auto"/>
        </w:rPr>
      </w:pPr>
    </w:p>
    <w:p>
      <w:pPr>
        <w:ind w:right="80"/>
        <w:spacing w:after="0" w:line="253" w:lineRule="auto"/>
        <w:rPr>
          <w:sz w:val="20"/>
          <w:szCs w:val="20"/>
          <w:color w:val="auto"/>
        </w:rPr>
      </w:pPr>
      <w:r>
        <w:rPr>
          <w:rFonts w:ascii="Arial" w:cs="Arial" w:eastAsia="Arial" w:hAnsi="Arial"/>
          <w:sz w:val="19"/>
          <w:szCs w:val="19"/>
          <w:color w:val="auto"/>
        </w:rPr>
        <w:t>FDA will not accept an application for a biosimilar or interchangeable product based on the reference biological product until four years after the date of first licensure of the reference product, and FDA will not approve an application for a biosimilar or interchangeable product based on the reference biological product until 12 years after the date of first licensure of the reference product. “First licensure” typically means the initial date the particular product at issue was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31</w:t>
      </w:r>
    </w:p>
    <w:p>
      <w:pPr>
        <w:sectPr>
          <w:pgSz w:w="12240" w:h="15840" w:orient="portrait"/>
          <w:cols w:equalWidth="0" w:num="1">
            <w:col w:w="10080"/>
          </w:cols>
          <w:pgMar w:left="1080" w:top="1062" w:right="1080" w:bottom="173" w:gutter="0" w:footer="0" w:header="0"/>
        </w:sectPr>
      </w:pPr>
    </w:p>
    <w:bookmarkStart w:id="35" w:name="page36"/>
    <w:bookmarkEnd w:id="35"/>
    <w:p>
      <w:pPr>
        <w:spacing w:after="0" w:line="244" w:lineRule="auto"/>
        <w:rPr>
          <w:sz w:val="20"/>
          <w:szCs w:val="20"/>
          <w:color w:val="auto"/>
        </w:rPr>
      </w:pPr>
      <w:r>
        <w:rPr>
          <w:rFonts w:ascii="Arial" w:cs="Arial" w:eastAsia="Arial" w:hAnsi="Arial"/>
          <w:sz w:val="19"/>
          <w:szCs w:val="19"/>
          <w:color w:val="auto"/>
        </w:rPr>
        <w:t>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implementation and impact of the BPCIA is subject to significant uncertainty.</w:t>
      </w:r>
    </w:p>
    <w:p>
      <w:pPr>
        <w:spacing w:after="0" w:line="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United States Regulation of Companion Diagnostics</w:t>
      </w:r>
    </w:p>
    <w:p>
      <w:pPr>
        <w:spacing w:after="0" w:line="124" w:lineRule="exact"/>
        <w:rPr>
          <w:sz w:val="20"/>
          <w:szCs w:val="20"/>
          <w:color w:val="auto"/>
        </w:rPr>
      </w:pPr>
    </w:p>
    <w:p>
      <w:pPr>
        <w:ind w:right="240"/>
        <w:spacing w:after="0" w:line="245" w:lineRule="auto"/>
        <w:rPr>
          <w:sz w:val="20"/>
          <w:szCs w:val="20"/>
          <w:color w:val="auto"/>
        </w:rPr>
      </w:pPr>
      <w:r>
        <w:rPr>
          <w:rFonts w:ascii="Arial" w:cs="Arial" w:eastAsia="Arial" w:hAnsi="Arial"/>
          <w:sz w:val="19"/>
          <w:szCs w:val="19"/>
          <w:color w:val="auto"/>
        </w:rPr>
        <w:t>Our product candidates may require use of an in vitro diagnostic to identify appropriate patient populations. These diagnostics, often referred to as companion diagnostics, are regulated as medical devices. In the United States, the FD&amp;C Act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companion diagnostic tests require marketing clearance or approval from the FDA prior to commercial distribution. The two primary types of FDA marketing authorization applicable to a medical device are premarket notification, also called 510(k) clearance, and premarket approval (PMA approval).</w:t>
      </w:r>
    </w:p>
    <w:p>
      <w:pPr>
        <w:spacing w:after="0" w:line="79" w:lineRule="exact"/>
        <w:rPr>
          <w:sz w:val="20"/>
          <w:szCs w:val="20"/>
          <w:color w:val="auto"/>
        </w:rPr>
      </w:pPr>
    </w:p>
    <w:p>
      <w:pPr>
        <w:ind w:right="40"/>
        <w:spacing w:after="0" w:line="242" w:lineRule="auto"/>
        <w:rPr>
          <w:sz w:val="20"/>
          <w:szCs w:val="20"/>
          <w:color w:val="auto"/>
        </w:rPr>
      </w:pPr>
      <w:r>
        <w:rPr>
          <w:rFonts w:ascii="Arial" w:cs="Arial" w:eastAsia="Arial" w:hAnsi="Arial"/>
          <w:sz w:val="19"/>
          <w:szCs w:val="19"/>
          <w:color w:val="auto"/>
        </w:rPr>
        <w:t>If use of companion diagnostic is essential to safe and effective use of a drug or biological product, then the FDA generally will require approval or clearance of the diagnostic contemporaneously with the approval of the therapeutic product. On August 6, 2014, the FDA issued a final guidance document addressing the development and approval process for “In Vitro Companion Diagnostic Devices.” According to the guidance, for novel candidates such as our product candidates, a companion diagnostic device and its corresponding drug or biological candidate should be approved or cleared contemporaneously by FDA for the use indicated in the therapeutic product labeling. The guidance also explains that a companion diagnostic device used to make treatment decisions in clinical trials of a biologic product candidate generally will be considered an investigational device, unless it is employed for an intended use for which the device is already approved or cleared. If used to make critical treatment decisions, such as patient selection, the diagnostic device generally will be considered a significant risk device under the FDA’s Investigational Device Exemption (IDE) regulations. Thus, the sponsor of the diagnostic device will be required to comply with the IDE regulations. According to the guidance, if a diagnostic device and a drug are to be studied together to support their respective approvals, both products can be studied in the same investigational study, if the study meets both the requirements of the IDE regulations and the IND regulations. The guidance provides that depending on the details of the study plan and subjects, a sponsor may seek to submit an IND alone, or both an IND and an IDE. In July 2016, the FDA issued a draft guidance document intended to further assist sponsors of therapeutic products and sponsors of in vitro companion diagnostic devices on issues related to co-development of these products.</w:t>
      </w:r>
    </w:p>
    <w:p>
      <w:pPr>
        <w:spacing w:after="0" w:line="89" w:lineRule="exact"/>
        <w:rPr>
          <w:sz w:val="20"/>
          <w:szCs w:val="20"/>
          <w:color w:val="auto"/>
        </w:rPr>
      </w:pPr>
    </w:p>
    <w:p>
      <w:pPr>
        <w:ind w:right="20"/>
        <w:spacing w:after="0" w:line="245" w:lineRule="auto"/>
        <w:rPr>
          <w:sz w:val="20"/>
          <w:szCs w:val="20"/>
          <w:color w:val="auto"/>
        </w:rPr>
      </w:pPr>
      <w:r>
        <w:rPr>
          <w:rFonts w:ascii="Arial" w:cs="Arial" w:eastAsia="Arial" w:hAnsi="Arial"/>
          <w:sz w:val="19"/>
          <w:szCs w:val="19"/>
          <w:color w:val="auto"/>
        </w:rPr>
        <w:t>The FDA generally requires companion diagnostics intended to select the patients who will respond to cancer treatment to obtain approval of a PMA for that diagnostic contemporaneously with approval of the therapeutic. The review of these in vitro companion diagnostics in conjunction with the review of therapeutic candidates such as those we are developing involves coordination of review by the FDA’s Center for Biologics Evaluation and Research and by the FDA’s Center for Devices and Radiological Health. 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also subject to an application fee.</w:t>
      </w:r>
    </w:p>
    <w:p>
      <w:pPr>
        <w:spacing w:after="0" w:line="79" w:lineRule="exact"/>
        <w:rPr>
          <w:sz w:val="20"/>
          <w:szCs w:val="20"/>
          <w:color w:val="auto"/>
        </w:rPr>
      </w:pPr>
    </w:p>
    <w:p>
      <w:pPr>
        <w:spacing w:after="0" w:line="248" w:lineRule="auto"/>
        <w:rPr>
          <w:sz w:val="20"/>
          <w:szCs w:val="20"/>
          <w:color w:val="auto"/>
        </w:rPr>
      </w:pPr>
      <w:r>
        <w:rPr>
          <w:rFonts w:ascii="Arial" w:cs="Arial" w:eastAsia="Arial" w:hAnsi="Arial"/>
          <w:sz w:val="19"/>
          <w:szCs w:val="19"/>
          <w:color w:val="auto"/>
        </w:rPr>
        <w:t>PMAs for certain devices must generally include the results from extensive pre-clinical and adequate and well-controlled clinical trials to establish the safety and effectiveness of the device for each indication for which FDA approval is sought. In particular, for a diagnostic, the applicant must demonstrate that the diagnostic produces reproducible results when the same sample is tested multiple times by multiple users at multiple laboratories. In addition, as part of the PMA review, the FDA will typically inspect the manufacturer’s facilities for compliance with the Quality System Regulation (QSR) which imposes elaborate testing, control, documentation and other quality assurance requirements.</w:t>
      </w:r>
    </w:p>
    <w:p>
      <w:pPr>
        <w:spacing w:after="0" w:line="76" w:lineRule="exact"/>
        <w:rPr>
          <w:sz w:val="20"/>
          <w:szCs w:val="20"/>
          <w:color w:val="auto"/>
        </w:rPr>
      </w:pPr>
    </w:p>
    <w:p>
      <w:pPr>
        <w:ind w:right="280"/>
        <w:spacing w:after="0" w:line="248" w:lineRule="auto"/>
        <w:rPr>
          <w:sz w:val="20"/>
          <w:szCs w:val="20"/>
          <w:color w:val="auto"/>
        </w:rPr>
      </w:pPr>
      <w:r>
        <w:rPr>
          <w:rFonts w:ascii="Arial" w:cs="Arial" w:eastAsia="Arial" w:hAnsi="Arial"/>
          <w:sz w:val="19"/>
          <w:szCs w:val="19"/>
          <w:color w:val="auto"/>
        </w:rPr>
        <w:t>If the FDA evaluations of both the PMA application and the manufacturing facilities are favorable, the FDA will either issue an approval letter or a not-approvable letter, which usually contains a number of conditions that must be met in order to secure the final approval of the PMA, such as changes in labeling, or specific additional information, such as submission of final labeling, in order to secure final approval of the PMA. If the FDA concludes that the applicable criteria have been met, the FDA will issue a PMA for the approved indications, which can be more limited than those originally sought by the applicant. The PMA can include post-approval conditions that the FDA believes necessary to</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32</w:t>
      </w:r>
    </w:p>
    <w:p>
      <w:pPr>
        <w:sectPr>
          <w:pgSz w:w="12240" w:h="15840" w:orient="portrait"/>
          <w:cols w:equalWidth="0" w:num="1">
            <w:col w:w="10080"/>
          </w:cols>
          <w:pgMar w:left="1080" w:top="1062" w:right="1080" w:bottom="173" w:gutter="0" w:footer="0" w:header="0"/>
        </w:sectPr>
      </w:pPr>
    </w:p>
    <w:bookmarkStart w:id="36" w:name="page37"/>
    <w:bookmarkEnd w:id="36"/>
    <w:p>
      <w:pPr>
        <w:ind w:right="380"/>
        <w:spacing w:after="0" w:line="281" w:lineRule="auto"/>
        <w:rPr>
          <w:sz w:val="20"/>
          <w:szCs w:val="20"/>
          <w:color w:val="auto"/>
        </w:rPr>
      </w:pPr>
      <w:r>
        <w:rPr>
          <w:rFonts w:ascii="Arial" w:cs="Arial" w:eastAsia="Arial" w:hAnsi="Arial"/>
          <w:sz w:val="19"/>
          <w:szCs w:val="19"/>
          <w:color w:val="auto"/>
        </w:rPr>
        <w:t>ensure the safety and effectiveness of the device, including, among other things, restrictions on labeling, promotion, sale and distribution.</w:t>
      </w:r>
    </w:p>
    <w:p>
      <w:pPr>
        <w:spacing w:after="0" w:line="45" w:lineRule="exact"/>
        <w:rPr>
          <w:sz w:val="20"/>
          <w:szCs w:val="20"/>
          <w:color w:val="auto"/>
        </w:rPr>
      </w:pPr>
    </w:p>
    <w:p>
      <w:pPr>
        <w:ind w:right="460"/>
        <w:spacing w:after="0" w:line="244" w:lineRule="auto"/>
        <w:rPr>
          <w:sz w:val="20"/>
          <w:szCs w:val="20"/>
          <w:color w:val="auto"/>
        </w:rPr>
      </w:pPr>
      <w:r>
        <w:rPr>
          <w:rFonts w:ascii="Arial" w:cs="Arial" w:eastAsia="Arial" w:hAnsi="Arial"/>
          <w:sz w:val="19"/>
          <w:szCs w:val="19"/>
          <w:color w:val="auto"/>
        </w:rPr>
        <w:t>If the FDA’s evaluation of the PMA or manufacturing facilities is not favorable, the FDA will issue an order denying approval of the PMA or issue a not approvable order.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submitted in an amendment to the PMA. Once granted, PMA approval may be withdrawn by the FDA if compliance with post approval requirements, conditions of approval or other regulatory standards is not maintained or problems are identified following initial marketing. PMA approval is not guaranteed, and the FDA may ultimately respond to a PMA submission with a not approvable determination based on deficiencies in the application and require additional clinical trial or other data that may be expensive and time-consuming to generate and that can substantially delay approval.</w:t>
      </w:r>
    </w:p>
    <w:p>
      <w:pPr>
        <w:spacing w:after="0" w:line="84" w:lineRule="exact"/>
        <w:rPr>
          <w:sz w:val="20"/>
          <w:szCs w:val="20"/>
          <w:color w:val="auto"/>
        </w:rPr>
      </w:pPr>
    </w:p>
    <w:p>
      <w:pPr>
        <w:ind w:right="60"/>
        <w:spacing w:after="0" w:line="246" w:lineRule="auto"/>
        <w:rPr>
          <w:sz w:val="20"/>
          <w:szCs w:val="20"/>
          <w:color w:val="auto"/>
        </w:rPr>
      </w:pPr>
      <w:r>
        <w:rPr>
          <w:rFonts w:ascii="Arial" w:cs="Arial" w:eastAsia="Arial" w:hAnsi="Arial"/>
          <w:sz w:val="19"/>
          <w:szCs w:val="19"/>
          <w:color w:val="auto"/>
        </w:rPr>
        <w:t>In January 2024, the FDA announced its intention to initiate the reclassification process for most in vitro diagnostics, including companion diagnostics. Further, the FDA indicated that in addition to the reclassification process, the FDA will continue taking a risk-based approach in the initial classification of individual in vitro diagnostics to determine whether a new test may be classified into Class II through the de novo classification process. In so doing, the FDA indicated that it may regulate most future companion diagnostics as Class II devices, which would likely entail less onerous development, approval, and postmarket regulatory requirements than what is required for Class III medical devices and in vitro diagnostics that are subject to the PMA pathway.</w:t>
      </w:r>
    </w:p>
    <w:p>
      <w:pPr>
        <w:spacing w:after="0" w:line="82" w:lineRule="exact"/>
        <w:rPr>
          <w:sz w:val="20"/>
          <w:szCs w:val="20"/>
          <w:color w:val="auto"/>
        </w:rPr>
      </w:pPr>
    </w:p>
    <w:p>
      <w:pPr>
        <w:spacing w:after="0" w:line="246" w:lineRule="auto"/>
        <w:rPr>
          <w:sz w:val="20"/>
          <w:szCs w:val="20"/>
          <w:color w:val="auto"/>
        </w:rPr>
      </w:pPr>
      <w:r>
        <w:rPr>
          <w:rFonts w:ascii="Arial" w:cs="Arial" w:eastAsia="Arial" w:hAnsi="Arial"/>
          <w:sz w:val="19"/>
          <w:szCs w:val="19"/>
          <w:color w:val="auto"/>
        </w:rPr>
        <w:t>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QSR, which cover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Additional Regulation</w:t>
      </w:r>
    </w:p>
    <w:p>
      <w:pPr>
        <w:spacing w:after="0" w:line="124" w:lineRule="exact"/>
        <w:rPr>
          <w:sz w:val="20"/>
          <w:szCs w:val="20"/>
          <w:color w:val="auto"/>
        </w:rPr>
      </w:pPr>
    </w:p>
    <w:p>
      <w:pPr>
        <w:ind w:right="340"/>
        <w:spacing w:after="0" w:line="248" w:lineRule="auto"/>
        <w:rPr>
          <w:sz w:val="20"/>
          <w:szCs w:val="20"/>
          <w:color w:val="auto"/>
        </w:rPr>
      </w:pPr>
      <w:r>
        <w:rPr>
          <w:rFonts w:ascii="Arial" w:cs="Arial" w:eastAsia="Arial" w:hAnsi="Arial"/>
          <w:sz w:val="19"/>
          <w:szCs w:val="19"/>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w:t>
      </w:r>
    </w:p>
    <w:p>
      <w:pPr>
        <w:spacing w:after="0" w:line="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Government Regulation Outside of The United States</w:t>
      </w:r>
    </w:p>
    <w:p>
      <w:pPr>
        <w:spacing w:after="0" w:line="124" w:lineRule="exact"/>
        <w:rPr>
          <w:sz w:val="20"/>
          <w:szCs w:val="20"/>
          <w:color w:val="auto"/>
        </w:rPr>
      </w:pPr>
    </w:p>
    <w:p>
      <w:pPr>
        <w:ind w:right="120"/>
        <w:spacing w:after="0" w:line="250" w:lineRule="auto"/>
        <w:rPr>
          <w:sz w:val="20"/>
          <w:szCs w:val="20"/>
          <w:color w:val="auto"/>
        </w:rPr>
      </w:pPr>
      <w:r>
        <w:rPr>
          <w:rFonts w:ascii="Arial" w:cs="Arial" w:eastAsia="Arial" w:hAnsi="Arial"/>
          <w:sz w:val="19"/>
          <w:szCs w:val="19"/>
          <w:color w:val="auto"/>
        </w:rPr>
        <w:t>In addition to regulations in the United States, we are subject to a variety of regulations in other jurisdictions governing, among other things, research and development, clinical trials, testing, manufacturing, safety, efficacy, labeling, packaging, storage, record keeping, distribution, reporting, advertising and other promotional practices involving biological products as well as authorization and approval of our products. Because biologically sourced raw materials are subject to unique contamination risks, their use may be restricted in some countries.</w:t>
      </w:r>
    </w:p>
    <w:p>
      <w:pPr>
        <w:spacing w:after="0" w:line="74" w:lineRule="exact"/>
        <w:rPr>
          <w:sz w:val="20"/>
          <w:szCs w:val="20"/>
          <w:color w:val="auto"/>
        </w:rPr>
      </w:pPr>
    </w:p>
    <w:p>
      <w:pPr>
        <w:ind w:right="280"/>
        <w:spacing w:after="0" w:line="248" w:lineRule="auto"/>
        <w:rPr>
          <w:sz w:val="20"/>
          <w:szCs w:val="20"/>
          <w:color w:val="auto"/>
        </w:rPr>
      </w:pPr>
      <w:r>
        <w:rPr>
          <w:rFonts w:ascii="Arial" w:cs="Arial" w:eastAsia="Arial" w:hAnsi="Arial"/>
          <w:sz w:val="19"/>
          <w:szCs w:val="19"/>
          <w:color w:val="auto"/>
        </w:rPr>
        <w:t>The requirements and process governing the conduct of clinical trials, product licensing, pricing and reimbursement vary from country to country. In all cases, the clinical trials must be conducted in accordance with GCP and the applicable regulatory requirements and the ethical principles that have their origin in the Declaration of Helsinki. If we fail to comply with applicable foreign regulatory requirements, we may be subject to, among other things, fines, suspension of clinical trials, suspension or withdrawal of regulatory approvals, product recalls, seizure of products, operating restrictions and criminal prosecution.</w:t>
      </w:r>
    </w:p>
    <w:p>
      <w:pPr>
        <w:spacing w:after="0" w:line="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Clinical Trials Regulation</w:t>
      </w:r>
    </w:p>
    <w:p>
      <w:pPr>
        <w:spacing w:after="0" w:line="124" w:lineRule="exact"/>
        <w:rPr>
          <w:sz w:val="20"/>
          <w:szCs w:val="20"/>
          <w:color w:val="auto"/>
        </w:rPr>
      </w:pPr>
    </w:p>
    <w:p>
      <w:pPr>
        <w:ind w:right="20"/>
        <w:spacing w:after="0" w:line="245" w:lineRule="auto"/>
        <w:rPr>
          <w:sz w:val="20"/>
          <w:szCs w:val="20"/>
          <w:color w:val="auto"/>
        </w:rPr>
      </w:pPr>
      <w:r>
        <w:rPr>
          <w:rFonts w:ascii="Arial" w:cs="Arial" w:eastAsia="Arial" w:hAnsi="Arial"/>
          <w:sz w:val="19"/>
          <w:szCs w:val="19"/>
          <w:color w:val="auto"/>
        </w:rPr>
        <w:t>Whether or not we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 for example, an application must be submitted for each clinical trial to each country’s national competent authority (NCA), and at least one independent ethics committee, much like the FDA and an IRB, respectively. Under the Clinical Trials Regulation (EU) No. 536/2014, which replaced the Clinical Trials Directive 2001/20/EC on January 31, 2022, a single application is now made through the Clinical Trials Information System (CTIS) for clinical trial authorization in up to 30 EU/EEA countries at the same time and with a single set of documentation.</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33</w:t>
      </w:r>
    </w:p>
    <w:p>
      <w:pPr>
        <w:sectPr>
          <w:pgSz w:w="12240" w:h="15840" w:orient="portrait"/>
          <w:cols w:equalWidth="0" w:num="1">
            <w:col w:w="10080"/>
          </w:cols>
          <w:pgMar w:left="1080" w:top="1062" w:right="1080" w:bottom="173" w:gutter="0" w:footer="0" w:header="0"/>
        </w:sectPr>
      </w:pPr>
    </w:p>
    <w:bookmarkStart w:id="37" w:name="page38"/>
    <w:bookmarkEnd w:id="37"/>
    <w:p>
      <w:pPr>
        <w:ind w:right="20"/>
        <w:spacing w:after="0" w:line="245" w:lineRule="auto"/>
        <w:rPr>
          <w:sz w:val="20"/>
          <w:szCs w:val="20"/>
          <w:color w:val="auto"/>
        </w:rPr>
      </w:pPr>
      <w:r>
        <w:rPr>
          <w:rFonts w:ascii="Arial" w:cs="Arial" w:eastAsia="Arial" w:hAnsi="Arial"/>
          <w:sz w:val="19"/>
          <w:szCs w:val="19"/>
          <w:color w:val="auto"/>
        </w:rPr>
        <w:t>The assessment of applications for clinical trials is divided into two parts (Part I contains scientific and medicinal product documentation and Part II contains the national and patient-level documentation). Part I is assessed by a coordinated review by the competent authorities of all EU Member States in which an application for authorization of a clinical trial has been submitted (Member States concerned) of a draft report prepared by a Reference Member State. Part II is assessed separately by each Member State concerned. The role of the relevant ethics committees in the assessment procedure continues to be governed by the national law of the concerned EU Member State, however overall related timelines are defined by the Clinical Trials Regulation. The Clinical Trials Regulation also provides for simplified reporting procedures for clinical trial sponsors.</w:t>
      </w:r>
    </w:p>
    <w:p>
      <w:pPr>
        <w:spacing w:after="0" w:line="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European Union Drug Review and Approval</w:t>
      </w:r>
    </w:p>
    <w:p>
      <w:pPr>
        <w:spacing w:after="0" w:line="124" w:lineRule="exact"/>
        <w:rPr>
          <w:sz w:val="20"/>
          <w:szCs w:val="20"/>
          <w:color w:val="auto"/>
        </w:rPr>
      </w:pPr>
    </w:p>
    <w:p>
      <w:pPr>
        <w:spacing w:after="0" w:line="243" w:lineRule="auto"/>
        <w:rPr>
          <w:sz w:val="20"/>
          <w:szCs w:val="20"/>
          <w:color w:val="auto"/>
        </w:rPr>
      </w:pPr>
      <w:r>
        <w:rPr>
          <w:rFonts w:ascii="Arial" w:cs="Arial" w:eastAsia="Arial" w:hAnsi="Arial"/>
          <w:sz w:val="19"/>
          <w:szCs w:val="19"/>
          <w:color w:val="auto"/>
        </w:rPr>
        <w:t>In the EU, medicinal products can only be commercialized after obtaining a marketing authorization. To obtain regulatory approval of a medicinal product in the EU, we must submit a marketing authorization application (MAA). A centralized marketing authorization is issued by the European Commission through the centralized procedure, based on the opinion of the Committee for Medicinal Products for Human Use (CHMP) of the EMA, and is valid throughout the EU and the additional Member States of the European Economic Area (Iceland, Liechtenstein and Norway) (the EEA). The centralized procedure is mandatory for certain types of products, such as biotechnology medicinal products, orphan medicinal products, advanced-therapy medicinal products (i.e. gene therapy, somatic cell 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EU, or for products that constitute a significant therapeutic, scientific or technical innovation or which are in the interest of public health in the EU.</w:t>
      </w:r>
    </w:p>
    <w:p>
      <w:pPr>
        <w:spacing w:after="0" w:line="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Under the centralized procedure the maximum timeframe for the evaluation of an MAA by the EMA is 210 days, excluding clock stops, when additional written or oral information is to be provided by the applicant in response to questions asked by the CHMP. Clock stops may extend the timeframe of evaluation of an MAA considerably beyond 210 days. Where the CHMP gives a positive opinion, it provides the opinion together with supporting documentation to the European Commission, who makes the final decision to grant a marketing authorization, which is issued within 67 days of receipt of the EMA’s recommendation. Accelerated assessment might be granted by the CHMP in exceptional cases, when a medicinal product is expected to be of major public health interest, particularly from the point of view of therapeutic innovation. The timeframe for the evaluation of an MAA under the accelerated assessment procedure is 150 days, excluding clock stops, but it is possible that the CHMP may revert to the standard time limit for the centralized procedure if it determines that the application is no longer appropriate to conduct an accelerated assessment.</w:t>
      </w:r>
    </w:p>
    <w:p>
      <w:pPr>
        <w:spacing w:after="0" w:line="71" w:lineRule="exact"/>
        <w:rPr>
          <w:sz w:val="20"/>
          <w:szCs w:val="20"/>
          <w:color w:val="auto"/>
        </w:rPr>
      </w:pPr>
    </w:p>
    <w:p>
      <w:pPr>
        <w:ind w:right="160"/>
        <w:spacing w:after="0" w:line="260" w:lineRule="auto"/>
        <w:rPr>
          <w:sz w:val="20"/>
          <w:szCs w:val="20"/>
          <w:color w:val="auto"/>
        </w:rPr>
      </w:pPr>
      <w:r>
        <w:rPr>
          <w:rFonts w:ascii="Arial" w:cs="Arial" w:eastAsia="Arial" w:hAnsi="Arial"/>
          <w:sz w:val="19"/>
          <w:szCs w:val="19"/>
          <w:color w:val="auto"/>
        </w:rPr>
        <w:t>The application used to submit the BLA in the United States is similar to that required in the European Union, although there may be certain specific requirements, for example those set out in Regulation (EC) No 1394/2007 on advanced therapy medicinal products, covering gene therapy, somatic cell therapy and tissue-engineered medicinal products.</w:t>
      </w:r>
    </w:p>
    <w:p>
      <w:pPr>
        <w:spacing w:after="0" w:line="65" w:lineRule="exact"/>
        <w:rPr>
          <w:sz w:val="20"/>
          <w:szCs w:val="20"/>
          <w:color w:val="auto"/>
        </w:rPr>
      </w:pPr>
    </w:p>
    <w:p>
      <w:pPr>
        <w:ind w:right="540"/>
        <w:spacing w:after="0" w:line="248" w:lineRule="auto"/>
        <w:rPr>
          <w:sz w:val="20"/>
          <w:szCs w:val="20"/>
          <w:color w:val="auto"/>
        </w:rPr>
      </w:pPr>
      <w:r>
        <w:rPr>
          <w:rFonts w:ascii="Arial" w:cs="Arial" w:eastAsia="Arial" w:hAnsi="Arial"/>
          <w:sz w:val="19"/>
          <w:szCs w:val="19"/>
          <w:color w:val="auto"/>
        </w:rPr>
        <w:t>Now that the UK (which comprises Great Britain and Northern Ireland) has left the EU, Great Britain is no longer covered by centralized marketing authorizations (under the Northern Ireland Protocol, centralized marketing authorizations currently continue to be recognized in Northern Ireland). On January 1, 2024, an international recognition framework was put in place by the MHRA, under which the MHRA will have regard to decisions on the approval of marketing authorizations made by the European Medicines Agency and certain other regulators when determining an application for a new Great Britain marketing authorization.</w:t>
      </w:r>
    </w:p>
    <w:p>
      <w:pPr>
        <w:spacing w:after="0" w:line="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Data and Market Exclusivity</w:t>
      </w:r>
    </w:p>
    <w:p>
      <w:pPr>
        <w:spacing w:after="0" w:line="124" w:lineRule="exact"/>
        <w:rPr>
          <w:sz w:val="20"/>
          <w:szCs w:val="20"/>
          <w:color w:val="auto"/>
        </w:rPr>
      </w:pPr>
    </w:p>
    <w:p>
      <w:pPr>
        <w:spacing w:after="0" w:line="242" w:lineRule="auto"/>
        <w:rPr>
          <w:sz w:val="20"/>
          <w:szCs w:val="20"/>
          <w:color w:val="auto"/>
        </w:rPr>
      </w:pPr>
      <w:r>
        <w:rPr>
          <w:rFonts w:ascii="Arial" w:cs="Arial" w:eastAsia="Arial" w:hAnsi="Arial"/>
          <w:sz w:val="19"/>
          <w:szCs w:val="19"/>
          <w:color w:val="auto"/>
        </w:rPr>
        <w:t>In the EU, upon receiving a marketing authorization, innovative medicinal products approved on the basis of a complete and independent data package qualify for eight years of data exclusivity and an additional two years of market exclusivity. If granted, data exclusivity prevents generic or biosimilar applicants from referencing the innovator’s pre-clinical and clinical trial data contained in the dossier of the reference product when applying for a generic or biosimilar marketing authorization in the EU, during a period of eight years from the date on which the reference product was first authorized in the EU. During the additional two-year period of market exclusivity, a generic or biosimilar MAA can be submitted and authorized, and the innovator’s data may be referenced, but no generic or biosimilar product can be placed on the EU market until the expiration of the market exclusivity. The overall ten-year period will be extended to a maximum of eleven years if, during the first eight years of those ten years, the marketing authorization holder obtains an authorization for one or more new therapeutic indications which, during the scientific evaluation prior to authorization, are held to bring a significant clinical benefit in comparison with existing therapies. There is no guarantee that a product will be considered by the EMA to be an innovative medicinal product, and products may not qualify for data exclusivity. Even if a product is considered to be an innovative medicinal product so that the innovator gains the prescribed period of data exclusivity, another company may market another version of the product if such company obtained a marketing authorization based on an MAA with a complete and independent data package of pharmaceutical tests, preclinical tests and clinical trials.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34</w:t>
      </w:r>
    </w:p>
    <w:p>
      <w:pPr>
        <w:sectPr>
          <w:pgSz w:w="12240" w:h="15840" w:orient="portrait"/>
          <w:cols w:equalWidth="0" w:num="1">
            <w:col w:w="10080"/>
          </w:cols>
          <w:pgMar w:left="1080" w:top="1062" w:right="1080" w:bottom="173" w:gutter="0" w:footer="0" w:header="0"/>
        </w:sectPr>
      </w:pPr>
    </w:p>
    <w:bookmarkStart w:id="38" w:name="page39"/>
    <w:bookmarkEnd w:id="38"/>
    <w:p>
      <w:pPr>
        <w:spacing w:after="0"/>
        <w:rPr>
          <w:sz w:val="20"/>
          <w:szCs w:val="20"/>
          <w:color w:val="auto"/>
        </w:rPr>
      </w:pPr>
      <w:r>
        <w:rPr>
          <w:rFonts w:ascii="Arial" w:cs="Arial" w:eastAsia="Arial" w:hAnsi="Arial"/>
          <w:sz w:val="19"/>
          <w:szCs w:val="19"/>
          <w:b w:val="1"/>
          <w:bCs w:val="1"/>
          <w:color w:val="auto"/>
        </w:rPr>
        <w:t>Orphan Designation and Exclusivity</w:t>
      </w:r>
    </w:p>
    <w:p>
      <w:pPr>
        <w:spacing w:after="0" w:line="124" w:lineRule="exact"/>
        <w:rPr>
          <w:sz w:val="20"/>
          <w:szCs w:val="20"/>
          <w:color w:val="auto"/>
        </w:rPr>
      </w:pPr>
    </w:p>
    <w:p>
      <w:pPr>
        <w:ind w:right="20"/>
        <w:spacing w:after="0" w:line="246" w:lineRule="auto"/>
        <w:rPr>
          <w:sz w:val="20"/>
          <w:szCs w:val="20"/>
          <w:color w:val="auto"/>
        </w:rPr>
      </w:pPr>
      <w:r>
        <w:rPr>
          <w:rFonts w:ascii="Arial" w:cs="Arial" w:eastAsia="Arial" w:hAnsi="Arial"/>
          <w:sz w:val="19"/>
          <w:szCs w:val="19"/>
          <w:color w:val="auto"/>
        </w:rPr>
        <w:t>Products receiving orphan designation in the EU can receive ten years of market exclusivity, during which time no “similar medicinal product” may be placed on the market. A “similar medicinal product” is defined as a medicinal product containing a similar active substance or substances as contained in an authorized orphan medicinal product, and which is intended for the same therapeutic indication. An orphan medicinal product can also obtain an additional two years of market exclusivity in the EU where an agreed pediatric investigation plan (PIP) for pediatric studies has been complied with. No extension to any supplementary protection certificate (SPC) can be granted on the basis of pediatric studies for orphan indications.</w:t>
      </w:r>
    </w:p>
    <w:p>
      <w:pPr>
        <w:spacing w:after="0" w:line="82" w:lineRule="exact"/>
        <w:rPr>
          <w:sz w:val="20"/>
          <w:szCs w:val="20"/>
          <w:color w:val="auto"/>
        </w:rPr>
      </w:pPr>
    </w:p>
    <w:p>
      <w:pPr>
        <w:spacing w:after="0" w:line="243" w:lineRule="auto"/>
        <w:rPr>
          <w:sz w:val="20"/>
          <w:szCs w:val="20"/>
          <w:color w:val="auto"/>
        </w:rPr>
      </w:pPr>
      <w:r>
        <w:rPr>
          <w:rFonts w:ascii="Arial" w:cs="Arial" w:eastAsia="Arial" w:hAnsi="Arial"/>
          <w:sz w:val="19"/>
          <w:szCs w:val="19"/>
          <w:color w:val="auto"/>
        </w:rPr>
        <w:t>The criteria for designating an “orphan medicinal product” in the EU are similar in principle to those in the United States. Under Article 3 of Regulation (EC) 141/2000, a product may be designated as an orphan medicinal product if it meets the following criteria: (1) it is intended for the diagnosis, prevention or treatment of a life-threatening or chronically debilitating condition; (2) either (a) such condition affects no more than five (5) in ten thousand (10,000) persons in the EU when the application is made, or (b) it is unlikely that the product, without the benefits derived from orphan status, would generate sufficient return in the EU to justify the necessary investment in its development; and (3) there exists no satisfactory method of diagnosis, prevention or treatment of such condition authorized for marketing in the EU, or if such a method exists, the product would be of significant benefit to those affected by that condition, as defined in Regulation (EC) 847/2000. Orphan medicinal products are eligible for financial incentives such as reduction of fees or fee waivers and are, upon the grant of a marketing authorization, entitled to ten years of market exclusivity for the approved therapeutic indication. The application for orphan designation must be submitted before the application for a marketing authorization. The applicant will receive a fee reduction for the MAA if the orphan designation has been granted, but not if the designation is still pending at the time the marketing authorization is submitted. Orphan designation does not convey any advantage in, or shorten the duration of, the regulatory review and approval process.</w:t>
      </w:r>
    </w:p>
    <w:p>
      <w:pPr>
        <w:spacing w:after="0" w:line="82" w:lineRule="exact"/>
        <w:rPr>
          <w:sz w:val="20"/>
          <w:szCs w:val="20"/>
          <w:color w:val="auto"/>
        </w:rPr>
      </w:pPr>
    </w:p>
    <w:p>
      <w:pPr>
        <w:ind w:right="180"/>
        <w:spacing w:after="0" w:line="253" w:lineRule="auto"/>
        <w:rPr>
          <w:sz w:val="20"/>
          <w:szCs w:val="20"/>
          <w:color w:val="auto"/>
        </w:rPr>
      </w:pPr>
      <w:r>
        <w:rPr>
          <w:rFonts w:ascii="Arial" w:cs="Arial" w:eastAsia="Arial" w:hAnsi="Arial"/>
          <w:sz w:val="19"/>
          <w:szCs w:val="19"/>
          <w:color w:val="auto"/>
        </w:rPr>
        <w:t>The 10-year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a marketing authorization may be granted to a similar medicinal product for the same indication as an authorized orphan product at any time if:</w:t>
      </w:r>
    </w:p>
    <w:p>
      <w:pPr>
        <w:spacing w:after="0" w:line="85" w:lineRule="exact"/>
        <w:rPr>
          <w:sz w:val="20"/>
          <w:szCs w:val="20"/>
          <w:color w:val="auto"/>
        </w:rPr>
      </w:pPr>
    </w:p>
    <w:p>
      <w:pPr>
        <w:ind w:left="720" w:right="160" w:hanging="360"/>
        <w:spacing w:after="0" w:line="281" w:lineRule="auto"/>
        <w:tabs>
          <w:tab w:leader="none" w:pos="720"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 second applicant can establish that its product, although similar to the authorized orphan product, is safer, more effective or otherwise clinically superior;</w:t>
      </w:r>
    </w:p>
    <w:p>
      <w:pPr>
        <w:spacing w:after="0" w:line="58" w:lineRule="exact"/>
        <w:rPr>
          <w:rFonts w:ascii="Arial" w:cs="Arial" w:eastAsia="Arial" w:hAnsi="Arial"/>
          <w:sz w:val="19"/>
          <w:szCs w:val="19"/>
          <w:color w:val="auto"/>
        </w:rPr>
      </w:pPr>
    </w:p>
    <w:p>
      <w:pPr>
        <w:ind w:left="720" w:right="300" w:hanging="360"/>
        <w:spacing w:after="0" w:line="281" w:lineRule="auto"/>
        <w:tabs>
          <w:tab w:leader="none" w:pos="720"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 marketing authorization holder of the authorized product consents to a second orphan medicinal product application; or</w:t>
      </w:r>
    </w:p>
    <w:p>
      <w:pPr>
        <w:spacing w:after="0" w:line="58" w:lineRule="exact"/>
        <w:rPr>
          <w:rFonts w:ascii="Arial" w:cs="Arial" w:eastAsia="Arial" w:hAnsi="Arial"/>
          <w:sz w:val="19"/>
          <w:szCs w:val="19"/>
          <w:color w:val="auto"/>
        </w:rPr>
      </w:pPr>
    </w:p>
    <w:p>
      <w:pPr>
        <w:ind w:left="720" w:hanging="360"/>
        <w:spacing w:after="0"/>
        <w:tabs>
          <w:tab w:leader="none" w:pos="720"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 marketing authorization holder of the authorized product cannot supply enough orphan medicinal product.</w:t>
      </w:r>
    </w:p>
    <w:p>
      <w:pPr>
        <w:spacing w:after="0" w:line="1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19"/>
          <w:szCs w:val="19"/>
          <w:b w:val="1"/>
          <w:bCs w:val="1"/>
          <w:color w:val="auto"/>
        </w:rPr>
        <w:t>Pediatric Development</w:t>
      </w:r>
    </w:p>
    <w:p>
      <w:pPr>
        <w:spacing w:after="0" w:line="124" w:lineRule="exact"/>
        <w:rPr>
          <w:sz w:val="20"/>
          <w:szCs w:val="20"/>
          <w:color w:val="auto"/>
        </w:rPr>
      </w:pPr>
    </w:p>
    <w:p>
      <w:pPr>
        <w:spacing w:after="0" w:line="242" w:lineRule="auto"/>
        <w:rPr>
          <w:sz w:val="20"/>
          <w:szCs w:val="20"/>
          <w:color w:val="auto"/>
        </w:rPr>
      </w:pPr>
      <w:r>
        <w:rPr>
          <w:rFonts w:ascii="Arial" w:cs="Arial" w:eastAsia="Arial" w:hAnsi="Arial"/>
          <w:sz w:val="19"/>
          <w:szCs w:val="19"/>
          <w:color w:val="auto"/>
        </w:rPr>
        <w:t>In the EU, companies developing a new medicinal product must agree upon a PIP with the EMA’s pediatric committee (PDCO) and must conduct pediatric clinical trials in accordance with that PIP, unless the EMA has granted a product-specific waiver, a class waiver, or a deferral for one or more of the measures included in the PIP. This requirement also applies when a company wants to add a new indication, pharmaceutical form or route of administration for a medicine that is already authorized. The PIP sets out the timing and measures proposed to generate data to support a pediatric indication of the product for which a marketing authorization is being sought. The MAA for the product must include the results of pediatric clinical trials conducted in accordance with the PIP, unless a waiver applies, or a deferral has been granted by the PDCO of the obligation to implement some or all of the measures of the PIP until there are sufficient data to demonstrate the efficacy and safety of the product in adults, in which case the pediatric clinical trials must be completed at a later date. Products that are granted a marketing authorization with the results of the pediatric clinical trials conducted in accordance with the PIP are eligible for a six month extension of the protection under an SPC (provided an application for such extension is made at the same time as filing the SPC application for the product, or at any point up to 2 years before the SPC expires) even where the trial results are negative. In the case of orphan medicinal products, a two-year extension of the orphan market exclusivity may be available. This pediatric reward is subject to specific conditions and is not automatically available when data in compliance with the PIP are developed and submitted.</w:t>
      </w:r>
    </w:p>
    <w:p>
      <w:pPr>
        <w:spacing w:after="0" w:line="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Post-Approval Controls</w:t>
      </w:r>
    </w:p>
    <w:p>
      <w:pPr>
        <w:spacing w:after="0" w:line="124" w:lineRule="exact"/>
        <w:rPr>
          <w:sz w:val="20"/>
          <w:szCs w:val="20"/>
          <w:color w:val="auto"/>
        </w:rPr>
      </w:pPr>
    </w:p>
    <w:p>
      <w:pPr>
        <w:ind w:right="260"/>
        <w:spacing w:after="0" w:line="310" w:lineRule="auto"/>
        <w:rPr>
          <w:sz w:val="20"/>
          <w:szCs w:val="20"/>
          <w:color w:val="auto"/>
        </w:rPr>
      </w:pPr>
      <w:r>
        <w:rPr>
          <w:rFonts w:ascii="Arial" w:cs="Arial" w:eastAsia="Arial" w:hAnsi="Arial"/>
          <w:sz w:val="18"/>
          <w:szCs w:val="18"/>
          <w:color w:val="auto"/>
        </w:rPr>
        <w:t>Following approval, the holder of the marketing authorization is required to comply with a range of requirements applicable to the manufacturing, marketing, promotion and sale of the medicinal product. These include the following:</w:t>
      </w:r>
    </w:p>
    <w:p>
      <w:pPr>
        <w:spacing w:after="0" w:line="35" w:lineRule="exact"/>
        <w:rPr>
          <w:sz w:val="20"/>
          <w:szCs w:val="20"/>
          <w:color w:val="auto"/>
        </w:rPr>
      </w:pPr>
    </w:p>
    <w:p>
      <w:pPr>
        <w:ind w:left="720" w:right="160" w:hanging="360"/>
        <w:spacing w:after="0" w:line="253" w:lineRule="auto"/>
        <w:tabs>
          <w:tab w:leader="none" w:pos="720"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holder of a marketing authorization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(PSURs).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35</w:t>
      </w:r>
    </w:p>
    <w:p>
      <w:pPr>
        <w:sectPr>
          <w:pgSz w:w="12240" w:h="15840" w:orient="portrait"/>
          <w:cols w:equalWidth="0" w:num="1">
            <w:col w:w="10080"/>
          </w:cols>
          <w:pgMar w:left="1080" w:top="1058" w:right="1080" w:bottom="173" w:gutter="0" w:footer="0" w:header="0"/>
        </w:sectPr>
      </w:pPr>
    </w:p>
    <w:bookmarkStart w:id="39" w:name="page40"/>
    <w:bookmarkEnd w:id="39"/>
    <w:p>
      <w:pPr>
        <w:ind w:left="720" w:right="20" w:hanging="360"/>
        <w:spacing w:after="0" w:line="246" w:lineRule="auto"/>
        <w:tabs>
          <w:tab w:leader="none" w:pos="720" w:val="left"/>
        </w:tabs>
        <w:numPr>
          <w:ilvl w:val="0"/>
          <w:numId w:val="30"/>
        </w:numPr>
        <w:rPr>
          <w:rFonts w:ascii="Arial" w:cs="Arial" w:eastAsia="Arial" w:hAnsi="Arial"/>
          <w:sz w:val="19"/>
          <w:szCs w:val="19"/>
          <w:color w:val="auto"/>
        </w:rPr>
      </w:pPr>
      <w:r>
        <w:rPr>
          <w:rFonts w:ascii="Arial" w:cs="Arial" w:eastAsia="Arial" w:hAnsi="Arial"/>
          <w:sz w:val="19"/>
          <w:szCs w:val="19"/>
          <w:color w:val="auto"/>
        </w:rPr>
        <w:t>All new MAAs must include a risk management plan (RMP) describing the risk management system that the company will put in place and documenting measures to prevent or minimize the risks associated with the product. The regulatory authorities may also impose specific obligations as a condition of the marketing authorization. Such risk-minimization measures or post-authorization obligations may include additional safety monitoring, more frequent submission of PSURs, or the conduct of additional clinical trials or post-authorization safety studies. RMPs and PSURs are routinely available to third parties requesting access, subject to limited redactions.</w:t>
      </w:r>
    </w:p>
    <w:p>
      <w:pPr>
        <w:spacing w:after="0" w:line="94" w:lineRule="exact"/>
        <w:rPr>
          <w:rFonts w:ascii="Arial" w:cs="Arial" w:eastAsia="Arial" w:hAnsi="Arial"/>
          <w:sz w:val="19"/>
          <w:szCs w:val="19"/>
          <w:color w:val="auto"/>
        </w:rPr>
      </w:pPr>
    </w:p>
    <w:p>
      <w:pPr>
        <w:ind w:left="720" w:hanging="360"/>
        <w:spacing w:after="0" w:line="250" w:lineRule="auto"/>
        <w:tabs>
          <w:tab w:leader="none" w:pos="720" w:val="left"/>
        </w:tabs>
        <w:numPr>
          <w:ilvl w:val="0"/>
          <w:numId w:val="30"/>
        </w:numPr>
        <w:rPr>
          <w:rFonts w:ascii="Arial" w:cs="Arial" w:eastAsia="Arial" w:hAnsi="Arial"/>
          <w:sz w:val="19"/>
          <w:szCs w:val="19"/>
          <w:color w:val="auto"/>
        </w:rPr>
      </w:pPr>
      <w:r>
        <w:rPr>
          <w:rFonts w:ascii="Arial" w:cs="Arial" w:eastAsia="Arial" w:hAnsi="Arial"/>
          <w:sz w:val="19"/>
          <w:szCs w:val="19"/>
          <w:color w:val="auto"/>
        </w:rPr>
        <w:t>All advertising and promotional activities for the product must be consistent with the approved summary of product characteristics (SmPC) and therefore all off-label promotion is prohibited. Direct-to-consumer advertising of prescription medicines is also prohibited in the EU. Although general requirements for advertising and promotion of medicinal products are established under EU directives, the details are governed by regulations in each EU Member State and can differ from one country to another.</w:t>
      </w:r>
    </w:p>
    <w:p>
      <w:pPr>
        <w:spacing w:after="0" w:line="74" w:lineRule="exact"/>
        <w:rPr>
          <w:sz w:val="20"/>
          <w:szCs w:val="20"/>
          <w:color w:val="auto"/>
        </w:rPr>
      </w:pPr>
    </w:p>
    <w:p>
      <w:pPr>
        <w:spacing w:after="0"/>
        <w:rPr>
          <w:sz w:val="20"/>
          <w:szCs w:val="20"/>
          <w:color w:val="auto"/>
        </w:rPr>
      </w:pPr>
      <w:r>
        <w:rPr>
          <w:rFonts w:ascii="Arial" w:cs="Arial" w:eastAsia="Arial" w:hAnsi="Arial"/>
          <w:sz w:val="19"/>
          <w:szCs w:val="19"/>
          <w:color w:val="auto"/>
        </w:rPr>
        <w:t>The aforementioned EU rules are generally applicable in the EEA.</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Reform of the Regulatory Framework in the European Union</w:t>
      </w:r>
    </w:p>
    <w:p>
      <w:pPr>
        <w:spacing w:after="0" w:line="124" w:lineRule="exact"/>
        <w:rPr>
          <w:sz w:val="20"/>
          <w:szCs w:val="20"/>
          <w:color w:val="auto"/>
        </w:rPr>
      </w:pPr>
    </w:p>
    <w:p>
      <w:pPr>
        <w:ind w:right="160"/>
        <w:spacing w:after="0" w:line="248" w:lineRule="auto"/>
        <w:rPr>
          <w:sz w:val="20"/>
          <w:szCs w:val="20"/>
          <w:color w:val="auto"/>
        </w:rPr>
      </w:pPr>
      <w:r>
        <w:rPr>
          <w:rFonts w:ascii="Arial" w:cs="Arial" w:eastAsia="Arial" w:hAnsi="Arial"/>
          <w:sz w:val="19"/>
          <w:szCs w:val="19"/>
          <w:color w:val="auto"/>
        </w:rPr>
        <w:t>The European Commission introduced legislative proposals in April 2023 that, if implemented, will replace the current regulatory framework in the EU for all medicines (including those for rare diseases and for children). The European Commission has provided the legislative proposals to the European Parliament and the European Council for their review and approval. In October 2023, the European Parliament published draft reports proposing amendments to the legislative proposals, which will be debated by the European Parliament. Once the European Commission’s legislative proposals are approved (with or without amendment), they will be adopted into EU law.</w:t>
      </w:r>
    </w:p>
    <w:p>
      <w:pPr>
        <w:spacing w:after="0" w:line="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Brexit and the Regulatory Framework in the United Kingdom</w:t>
      </w:r>
    </w:p>
    <w:p>
      <w:pPr>
        <w:spacing w:after="0" w:line="124" w:lineRule="exact"/>
        <w:rPr>
          <w:sz w:val="20"/>
          <w:szCs w:val="20"/>
          <w:color w:val="auto"/>
        </w:rPr>
      </w:pPr>
    </w:p>
    <w:p>
      <w:pPr>
        <w:spacing w:after="0" w:line="242" w:lineRule="auto"/>
        <w:rPr>
          <w:sz w:val="20"/>
          <w:szCs w:val="20"/>
          <w:color w:val="auto"/>
        </w:rPr>
      </w:pPr>
      <w:r>
        <w:rPr>
          <w:rFonts w:ascii="Arial" w:cs="Arial" w:eastAsia="Arial" w:hAnsi="Arial"/>
          <w:sz w:val="19"/>
          <w:szCs w:val="19"/>
          <w:color w:val="auto"/>
        </w:rPr>
        <w:t>The UK formally left the EU on January 31, 2020, and the UK and the EU have concluded a trade and cooperation agreement or TCA, which was provisionally applicable since January 1, 2021 and has been formally applicable since May 1, 2021. The TCA includes specific provisions concerning pharmaceuticals, which include the mutual recognition of GMP, inspections of manufacturing facilities for medicinal products and GMP documents issued, but does not provide for wholesale mutual recognition of UK and EU pharmaceutical regulations. At present, Great Britain has implemented EU legislation on the marketing, promotion and sale of medicinal products through the Human Medicines Regulations 2012 (as amended) (under the Northern Ireland Protocol, the EU regulatory framework currently continues to apply in Northern Ireland). Except in respect of the EU Clinical Trials Regulation, the regulatory regime in Great Britain therefore largely aligns with current EU medicines regulations, however it is possible that these regimes will diverge more significantly in future now that Great Britain’s regulatory system is independent from the EU and the TCA does not provide for mutual recognition of UK and EU pharmaceutical legislation. However, notwithstanding that there is no wholesale recognition of EU pharmaceutical legislation under the TCA, under a new international recognition framework mentioned above which was put in place by the MHRA on January 1, 2024, the MHRA may take into account decisions on the approval of marketing authorizations from the EMA (and certain other regulators) when considering an application for a Great Britain marketing authorization.</w:t>
      </w:r>
    </w:p>
    <w:p>
      <w:pPr>
        <w:spacing w:after="0" w:line="93" w:lineRule="exact"/>
        <w:rPr>
          <w:sz w:val="20"/>
          <w:szCs w:val="20"/>
          <w:color w:val="auto"/>
        </w:rPr>
      </w:pPr>
    </w:p>
    <w:p>
      <w:pPr>
        <w:ind w:right="20"/>
        <w:spacing w:after="0" w:line="244" w:lineRule="auto"/>
        <w:rPr>
          <w:sz w:val="20"/>
          <w:szCs w:val="20"/>
          <w:color w:val="auto"/>
        </w:rPr>
      </w:pPr>
      <w:r>
        <w:rPr>
          <w:rFonts w:ascii="Arial" w:cs="Arial" w:eastAsia="Arial" w:hAnsi="Arial"/>
          <w:sz w:val="19"/>
          <w:szCs w:val="19"/>
          <w:color w:val="auto"/>
        </w:rPr>
        <w:t>On February 27, 2023, the UK government and the European Commission announced a political agreement in principle to replace the Northern Ireland Protocol with a new set of arrangements, known as the “Windsor Framework”. This new framework fundamentally changes the existing system under the Northern Ireland Protocol, including with respect to the regulation of medicinal products in the UK. In particular, the MHRA will be responsible for approving all medicinal products destined for the UK market (i.e., Great Britain and Northern Ireland), and the EMA will no longer have any role in approving medicinal products destined for Northern Ireland. A single UK-wide marketing authorization will be granted by the MHRA for all medicinal products to be sold in the UK, enabling products to be sold in a single pack and under a single authorization throughout the UK. The Windsor Framework was approved by the EU-UK Joint Committee on March 24, 2023, so the UK government and the EU will enact legislative measures to bring it into law. On June 9, 2023, the MHRA announced that the medicines aspects of the Windsor Framework will apply from January 1, 2025.</w:t>
      </w:r>
    </w:p>
    <w:p>
      <w:pPr>
        <w:spacing w:after="0" w:line="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Health Reform</w:t>
      </w:r>
    </w:p>
    <w:p>
      <w:pPr>
        <w:spacing w:after="0" w:line="124" w:lineRule="exact"/>
        <w:rPr>
          <w:sz w:val="20"/>
          <w:szCs w:val="20"/>
          <w:color w:val="auto"/>
        </w:rPr>
      </w:pPr>
    </w:p>
    <w:p>
      <w:pPr>
        <w:spacing w:after="0" w:line="244" w:lineRule="auto"/>
        <w:rPr>
          <w:sz w:val="20"/>
          <w:szCs w:val="20"/>
          <w:color w:val="auto"/>
        </w:rPr>
      </w:pPr>
      <w:r>
        <w:rPr>
          <w:rFonts w:ascii="Arial" w:cs="Arial" w:eastAsia="Arial" w:hAnsi="Arial"/>
          <w:sz w:val="19"/>
          <w:szCs w:val="19"/>
          <w:color w:val="auto"/>
        </w:rPr>
        <w:t>In the United States, there have been and continue to be a number of legislative initiatives to contain healthcare costs. For example, in 2010, the ACA was passed, which substantially changed the way healthcare is financed by both governmental and private insurers, and continues to significantly impact the U.S. pharmaceutical industry. The ACA, among other things, subjects biological products to potential competition by lower-cost biosimilars, increases the minimum Medicaid rebates owed by manufacturers under the Medicaid Drug Rebate Program extends the rebate program to individuals enrolled in Medicaid managed care organizations, establishes annual fees and taxes on manufacturers of certain branded prescription drugs, and creates a new Medicare Part D coverage gap discount program, in which manufacturers must agree to offer 70% point-of-sale discounts off negotiated prices of applicable brand drugs to eligible beneficiaries during their coverage gap period, as a condition to coverage under Medicare Part D for the manufacturer’s outpatient drugs.</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36</w:t>
      </w:r>
    </w:p>
    <w:p>
      <w:pPr>
        <w:sectPr>
          <w:pgSz w:w="12240" w:h="15840" w:orient="portrait"/>
          <w:cols w:equalWidth="0" w:num="1">
            <w:col w:w="10060"/>
          </w:cols>
          <w:pgMar w:left="1080" w:top="1075" w:right="1100" w:bottom="173" w:gutter="0" w:footer="0" w:header="0"/>
        </w:sectPr>
      </w:pPr>
    </w:p>
    <w:bookmarkStart w:id="40" w:name="page41"/>
    <w:bookmarkEnd w:id="40"/>
    <w:p>
      <w:pPr>
        <w:spacing w:after="0"/>
        <w:rPr>
          <w:sz w:val="20"/>
          <w:szCs w:val="20"/>
          <w:color w:val="auto"/>
        </w:rPr>
      </w:pPr>
      <w:r>
        <w:rPr>
          <w:rFonts w:ascii="Arial" w:cs="Arial" w:eastAsia="Arial" w:hAnsi="Arial"/>
          <w:sz w:val="19"/>
          <w:szCs w:val="19"/>
          <w:color w:val="auto"/>
        </w:rPr>
        <w:t>Other legislative changes have been proposed and adopted in the United States since the ACA was enacted:</w:t>
      </w:r>
    </w:p>
    <w:p>
      <w:pPr>
        <w:spacing w:after="0" w:line="133" w:lineRule="exact"/>
        <w:rPr>
          <w:sz w:val="20"/>
          <w:szCs w:val="20"/>
          <w:color w:val="auto"/>
        </w:rPr>
      </w:pPr>
    </w:p>
    <w:p>
      <w:pPr>
        <w:ind w:left="720" w:right="140" w:hanging="360"/>
        <w:spacing w:after="0" w:line="260" w:lineRule="auto"/>
        <w:tabs>
          <w:tab w:leader="none" w:pos="720"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Budget Control Act of 2011, among other things, created measures for spending reductions by Congress. This includes aggregate reductions of Medicare payments to providers of 2% per fiscal year. Subsequent legislation extended the 2% payment reduction which remains in effect through 2031.</w:t>
      </w:r>
    </w:p>
    <w:p>
      <w:pPr>
        <w:spacing w:after="0" w:line="78" w:lineRule="exact"/>
        <w:rPr>
          <w:rFonts w:ascii="Arial" w:cs="Arial" w:eastAsia="Arial" w:hAnsi="Arial"/>
          <w:sz w:val="19"/>
          <w:szCs w:val="19"/>
          <w:color w:val="auto"/>
        </w:rPr>
      </w:pPr>
    </w:p>
    <w:p>
      <w:pPr>
        <w:ind w:left="720" w:right="160" w:hanging="360"/>
        <w:spacing w:after="0" w:line="250" w:lineRule="auto"/>
        <w:tabs>
          <w:tab w:leader="none" w:pos="720"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American Taxpayer Relief Act further reduced Medicare payments to several types of providers and increased the statute of limitations period for the government to recover overpayments to providers from three to five years. Due to the Statutory Pay-As-You-Go Act of 2010, estimated budget deficit increases resulting from the American Rescue Plan Act of 2021, and subsequent legislation, Medicare payments to providers will be further reduced starting in 2025 absent further legislation.</w:t>
      </w:r>
    </w:p>
    <w:p>
      <w:pPr>
        <w:spacing w:after="0" w:line="87" w:lineRule="exact"/>
        <w:rPr>
          <w:rFonts w:ascii="Arial" w:cs="Arial" w:eastAsia="Arial" w:hAnsi="Arial"/>
          <w:sz w:val="19"/>
          <w:szCs w:val="19"/>
          <w:color w:val="auto"/>
        </w:rPr>
      </w:pPr>
    </w:p>
    <w:p>
      <w:pPr>
        <w:ind w:left="720" w:right="80" w:hanging="360"/>
        <w:spacing w:after="0" w:line="253" w:lineRule="auto"/>
        <w:tabs>
          <w:tab w:leader="none" w:pos="720" w:val="left"/>
        </w:tabs>
        <w:numPr>
          <w:ilvl w:val="0"/>
          <w:numId w:val="31"/>
        </w:numPr>
        <w:rPr>
          <w:rFonts w:ascii="Arial" w:cs="Arial" w:eastAsia="Arial" w:hAnsi="Arial"/>
          <w:sz w:val="19"/>
          <w:szCs w:val="19"/>
          <w:color w:val="auto"/>
        </w:rPr>
      </w:pPr>
      <w:r>
        <w:rPr>
          <w:rFonts w:ascii="Arial" w:cs="Arial" w:eastAsia="Arial" w:hAnsi="Arial"/>
          <w:sz w:val="19"/>
          <w:szCs w:val="19"/>
          <w:color w:val="auto"/>
        </w:rPr>
        <w:t>On April 13, 2017, the Centers for Medicare &amp; Medicaid Services (CMS) published a final rule that gives states greater flexibility in setting benchmarks for insurers in the individual and small group marketplaces, which may have the effect of relaxing the essential health benefits required under the ACA for plans sold through such marketplaces.</w:t>
      </w:r>
    </w:p>
    <w:p>
      <w:pPr>
        <w:spacing w:after="0" w:line="85" w:lineRule="exact"/>
        <w:rPr>
          <w:rFonts w:ascii="Arial" w:cs="Arial" w:eastAsia="Arial" w:hAnsi="Arial"/>
          <w:sz w:val="19"/>
          <w:szCs w:val="19"/>
          <w:color w:val="auto"/>
        </w:rPr>
      </w:pPr>
    </w:p>
    <w:p>
      <w:pPr>
        <w:ind w:left="720" w:right="20" w:hanging="360"/>
        <w:spacing w:after="0" w:line="248" w:lineRule="auto"/>
        <w:tabs>
          <w:tab w:leader="none" w:pos="720" w:val="left"/>
        </w:tabs>
        <w:numPr>
          <w:ilvl w:val="0"/>
          <w:numId w:val="31"/>
        </w:numPr>
        <w:rPr>
          <w:rFonts w:ascii="Arial" w:cs="Arial" w:eastAsia="Arial" w:hAnsi="Arial"/>
          <w:sz w:val="19"/>
          <w:szCs w:val="19"/>
          <w:color w:val="auto"/>
        </w:rPr>
      </w:pPr>
      <w:r>
        <w:rPr>
          <w:rFonts w:ascii="Arial" w:cs="Arial" w:eastAsia="Arial" w:hAnsi="Arial"/>
          <w:sz w:val="19"/>
          <w:szCs w:val="19"/>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89" w:lineRule="exact"/>
        <w:rPr>
          <w:rFonts w:ascii="Arial" w:cs="Arial" w:eastAsia="Arial" w:hAnsi="Arial"/>
          <w:sz w:val="19"/>
          <w:szCs w:val="19"/>
          <w:color w:val="auto"/>
        </w:rPr>
      </w:pPr>
    </w:p>
    <w:p>
      <w:pPr>
        <w:ind w:left="720" w:right="560" w:hanging="360"/>
        <w:spacing w:after="0" w:line="281" w:lineRule="auto"/>
        <w:tabs>
          <w:tab w:leader="none" w:pos="720" w:val="left"/>
        </w:tabs>
        <w:numPr>
          <w:ilvl w:val="0"/>
          <w:numId w:val="31"/>
        </w:numPr>
        <w:rPr>
          <w:rFonts w:ascii="Arial" w:cs="Arial" w:eastAsia="Arial" w:hAnsi="Arial"/>
          <w:sz w:val="19"/>
          <w:szCs w:val="19"/>
          <w:color w:val="auto"/>
        </w:rPr>
      </w:pPr>
      <w:r>
        <w:rPr>
          <w:rFonts w:ascii="Arial" w:cs="Arial" w:eastAsia="Arial" w:hAnsi="Arial"/>
          <w:sz w:val="19"/>
          <w:szCs w:val="19"/>
          <w:color w:val="auto"/>
        </w:rPr>
        <w:t>On May 23, 2019, CMS published a final rule to allow Medicare Advantage Plans the option of using step therapy for Part B drugs beginning January 1, 2020.</w:t>
      </w:r>
    </w:p>
    <w:p>
      <w:pPr>
        <w:spacing w:after="0" w:line="45" w:lineRule="exact"/>
        <w:rPr>
          <w:sz w:val="20"/>
          <w:szCs w:val="20"/>
          <w:color w:val="auto"/>
        </w:rPr>
      </w:pPr>
    </w:p>
    <w:p>
      <w:pPr>
        <w:ind w:right="20"/>
        <w:spacing w:after="0" w:line="243" w:lineRule="auto"/>
        <w:rPr>
          <w:sz w:val="20"/>
          <w:szCs w:val="20"/>
          <w:color w:val="auto"/>
        </w:rPr>
      </w:pPr>
      <w:r>
        <w:rPr>
          <w:rFonts w:ascii="Arial" w:cs="Arial" w:eastAsia="Arial" w:hAnsi="Arial"/>
          <w:sz w:val="19"/>
          <w:szCs w:val="19"/>
          <w:color w:val="auto"/>
        </w:rPr>
        <w:t>Moreover, payment methodologies may be subject to changes in healthcare legislation and regulatory initiatives which could limit the amounts that federal and state governments will pay for healthcare products and services and result in reduced demand for certain pharmaceutical products or additional pricing pressures. The Inflation Reduction Act of 2022, or IRA, includes several provisions that may impact our business to varying degrees, including provisions that reduce the out-of-pocket cap for Medicare Part D beneficiaries to $2,000 starting in 2025; impose new manufacturer financial liability on certain drugs under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the rebate rule that would limit the fees that pharmacy benefit managers can charge. Further, under the IRA, orphan drugs are exempted from the Medicare drug price negotiation program, but only if they have one orphan designation and for which the only approved indication is for that disease or condition. If a product receives multiple orphan designations or has multiple approved indications, it may not qualify for the orphan drug exemption. The implementation of the IRA is currently subject to ongoing litigation challenging the constitutionality of the IRA’s Medicare drug price negotiation program. The effects of the IRA on our business and the healthcare industry in general is not yet known.</w:t>
      </w:r>
    </w:p>
    <w:p>
      <w:pPr>
        <w:spacing w:after="0" w:line="82" w:lineRule="exact"/>
        <w:rPr>
          <w:sz w:val="20"/>
          <w:szCs w:val="20"/>
          <w:color w:val="auto"/>
        </w:rPr>
      </w:pPr>
    </w:p>
    <w:p>
      <w:pPr>
        <w:spacing w:after="0" w:line="248" w:lineRule="auto"/>
        <w:rPr>
          <w:sz w:val="20"/>
          <w:szCs w:val="20"/>
          <w:color w:val="auto"/>
        </w:rPr>
      </w:pPr>
      <w:r>
        <w:rPr>
          <w:rFonts w:ascii="Arial" w:cs="Arial" w:eastAsia="Arial" w:hAnsi="Arial"/>
          <w:sz w:val="19"/>
          <w:szCs w:val="19"/>
          <w:color w:val="auto"/>
        </w:rPr>
        <w:t>Additionally, there has been increasing legislative and enforcement interest in the United States with respect to specialty drug pricing practices. Specifically, there have been several recent U.S. presidential executive orders,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76" w:lineRule="exact"/>
        <w:rPr>
          <w:sz w:val="20"/>
          <w:szCs w:val="20"/>
          <w:color w:val="auto"/>
        </w:rPr>
      </w:pPr>
    </w:p>
    <w:p>
      <w:pPr>
        <w:ind w:right="140"/>
        <w:spacing w:after="0" w:line="245" w:lineRule="auto"/>
        <w:rPr>
          <w:sz w:val="20"/>
          <w:szCs w:val="20"/>
          <w:color w:val="auto"/>
        </w:rPr>
      </w:pPr>
      <w:r>
        <w:rPr>
          <w:rFonts w:ascii="Arial" w:cs="Arial" w:eastAsia="Arial" w:hAnsi="Arial"/>
          <w:sz w:val="19"/>
          <w:szCs w:val="19"/>
          <w:color w:val="auto"/>
        </w:rPr>
        <w:t>President Biden has also issued multiple executive orders that have sought to reduce prescription drug costs. In February 2023, HHS also issued a proposal in response to an October 2022 executive order from President Biden that includes a proposed prescription drug pricing model that will test whether targeted Medicare payment adjustments will sufficiently incentivize manufacturers to complete confirmatory trials for drugs approved through FDA’s accelerated approval pathway.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spacing w:after="0" w:line="84" w:lineRule="exact"/>
        <w:rPr>
          <w:sz w:val="20"/>
          <w:szCs w:val="20"/>
          <w:color w:val="auto"/>
        </w:rPr>
      </w:pPr>
    </w:p>
    <w:p>
      <w:pPr>
        <w:ind w:right="40"/>
        <w:spacing w:after="0" w:line="248" w:lineRule="auto"/>
        <w:rPr>
          <w:sz w:val="20"/>
          <w:szCs w:val="20"/>
          <w:color w:val="auto"/>
        </w:rPr>
      </w:pPr>
      <w:r>
        <w:rPr>
          <w:rFonts w:ascii="Arial" w:cs="Arial" w:eastAsia="Arial" w:hAnsi="Arial"/>
          <w:sz w:val="19"/>
          <w:szCs w:val="19"/>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37</w:t>
      </w:r>
    </w:p>
    <w:p>
      <w:pPr>
        <w:sectPr>
          <w:pgSz w:w="12240" w:h="15840" w:orient="portrait"/>
          <w:cols w:equalWidth="0" w:num="1">
            <w:col w:w="10080"/>
          </w:cols>
          <w:pgMar w:left="1080" w:top="1062" w:right="1080" w:bottom="173" w:gutter="0" w:footer="0" w:header="0"/>
        </w:sectPr>
      </w:pPr>
    </w:p>
    <w:bookmarkStart w:id="41" w:name="page42"/>
    <w:bookmarkEnd w:id="41"/>
    <w:p>
      <w:pPr>
        <w:ind w:right="500"/>
        <w:spacing w:after="0" w:line="281" w:lineRule="auto"/>
        <w:rPr>
          <w:sz w:val="20"/>
          <w:szCs w:val="20"/>
          <w:color w:val="auto"/>
        </w:rPr>
      </w:pPr>
      <w:r>
        <w:rPr>
          <w:rFonts w:ascii="Arial" w:cs="Arial" w:eastAsia="Arial" w:hAnsi="Arial"/>
          <w:sz w:val="19"/>
          <w:szCs w:val="19"/>
          <w:color w:val="auto"/>
        </w:rPr>
        <w:t>drugs or put pressure on our drug pricing, which could negatively affect our business, financial condition, results of operations and prospects.</w:t>
      </w:r>
    </w:p>
    <w:p>
      <w:pPr>
        <w:spacing w:after="0" w:line="45" w:lineRule="exact"/>
        <w:rPr>
          <w:sz w:val="20"/>
          <w:szCs w:val="20"/>
          <w:color w:val="auto"/>
        </w:rPr>
      </w:pPr>
    </w:p>
    <w:p>
      <w:pPr>
        <w:ind w:right="340"/>
        <w:spacing w:after="0" w:line="248" w:lineRule="auto"/>
        <w:rPr>
          <w:sz w:val="20"/>
          <w:szCs w:val="20"/>
          <w:color w:val="auto"/>
        </w:rPr>
      </w:pPr>
      <w:r>
        <w:rPr>
          <w:rFonts w:ascii="Arial" w:cs="Arial" w:eastAsia="Arial" w:hAnsi="Arial"/>
          <w:sz w:val="19"/>
          <w:szCs w:val="19"/>
          <w:color w:val="auto"/>
        </w:rPr>
        <w:t>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or put pressure on our drug pricing, which could negatively affect our business, financial condition, results of operations and prospects.</w:t>
      </w:r>
    </w:p>
    <w:p>
      <w:pPr>
        <w:spacing w:after="0" w:line="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Coverage and Reimbursement</w:t>
      </w:r>
    </w:p>
    <w:p>
      <w:pPr>
        <w:spacing w:after="0" w:line="124" w:lineRule="exact"/>
        <w:rPr>
          <w:sz w:val="20"/>
          <w:szCs w:val="20"/>
          <w:color w:val="auto"/>
        </w:rPr>
      </w:pPr>
    </w:p>
    <w:p>
      <w:pPr>
        <w:spacing w:after="0" w:line="242" w:lineRule="auto"/>
        <w:rPr>
          <w:sz w:val="20"/>
          <w:szCs w:val="20"/>
          <w:color w:val="auto"/>
        </w:rPr>
      </w:pPr>
      <w:r>
        <w:rPr>
          <w:rFonts w:ascii="Arial" w:cs="Arial" w:eastAsia="Arial" w:hAnsi="Arial"/>
          <w:sz w:val="19"/>
          <w:szCs w:val="19"/>
          <w:color w:val="auto"/>
        </w:rPr>
        <w:t>In the United States and markets in other countries, patients who are prescribed treatments for their conditions and providers performing the prescribed services generally rely on third-party payors to reimburse all or part of the associated healthcare costs.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In the United States, the principal decisions about reimbursement for new medicines are typically made by CMS, an agency within HHS. CMS decides whether and to what extent a new medicine will be covered and reimbursed under Medicare and private payors tend to follow CMS to a substantial degree. No uniform policy of coverage and reimbursement for drug products exists among third-party payors. Therefore, coverage and reimbursement for drug products can differ significantly from payor to payor. The process for determining whether a third-party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reviewing the cost-effectiveness of medical products and services and imposing controls to manage costs. Coverage and reimbursement by a third-party payor may depend upon several factors, including the third-party payor’s determination that use of a product is:</w:t>
      </w:r>
    </w:p>
    <w:p>
      <w:pPr>
        <w:spacing w:after="0" w:line="105" w:lineRule="exact"/>
        <w:rPr>
          <w:sz w:val="20"/>
          <w:szCs w:val="20"/>
          <w:color w:val="auto"/>
        </w:rPr>
      </w:pPr>
    </w:p>
    <w:p>
      <w:pPr>
        <w:ind w:left="720" w:hanging="360"/>
        <w:spacing w:after="0"/>
        <w:tabs>
          <w:tab w:leader="none" w:pos="720" w:val="left"/>
        </w:tabs>
        <w:numPr>
          <w:ilvl w:val="0"/>
          <w:numId w:val="32"/>
        </w:numPr>
        <w:rPr>
          <w:rFonts w:ascii="Arial" w:cs="Arial" w:eastAsia="Arial" w:hAnsi="Arial"/>
          <w:sz w:val="19"/>
          <w:szCs w:val="19"/>
          <w:color w:val="auto"/>
        </w:rPr>
      </w:pPr>
      <w:r>
        <w:rPr>
          <w:rFonts w:ascii="Arial" w:cs="Arial" w:eastAsia="Arial" w:hAnsi="Arial"/>
          <w:sz w:val="19"/>
          <w:szCs w:val="19"/>
          <w:color w:val="auto"/>
        </w:rPr>
        <w:t>a covered benefit under its health plan;</w:t>
      </w:r>
    </w:p>
    <w:p>
      <w:pPr>
        <w:spacing w:after="0" w:line="132" w:lineRule="exact"/>
        <w:rPr>
          <w:rFonts w:ascii="Arial" w:cs="Arial" w:eastAsia="Arial" w:hAnsi="Arial"/>
          <w:sz w:val="19"/>
          <w:szCs w:val="19"/>
          <w:color w:val="auto"/>
        </w:rPr>
      </w:pPr>
    </w:p>
    <w:p>
      <w:pPr>
        <w:ind w:left="720" w:hanging="360"/>
        <w:spacing w:after="0"/>
        <w:tabs>
          <w:tab w:leader="none" w:pos="720" w:val="left"/>
        </w:tabs>
        <w:numPr>
          <w:ilvl w:val="0"/>
          <w:numId w:val="32"/>
        </w:numPr>
        <w:rPr>
          <w:rFonts w:ascii="Arial" w:cs="Arial" w:eastAsia="Arial" w:hAnsi="Arial"/>
          <w:sz w:val="19"/>
          <w:szCs w:val="19"/>
          <w:color w:val="auto"/>
        </w:rPr>
      </w:pPr>
      <w:r>
        <w:rPr>
          <w:rFonts w:ascii="Arial" w:cs="Arial" w:eastAsia="Arial" w:hAnsi="Arial"/>
          <w:sz w:val="19"/>
          <w:szCs w:val="19"/>
          <w:color w:val="auto"/>
        </w:rPr>
        <w:t>safe, effective and medically necessary;</w:t>
      </w:r>
    </w:p>
    <w:p>
      <w:pPr>
        <w:spacing w:after="0" w:line="132" w:lineRule="exact"/>
        <w:rPr>
          <w:rFonts w:ascii="Arial" w:cs="Arial" w:eastAsia="Arial" w:hAnsi="Arial"/>
          <w:sz w:val="19"/>
          <w:szCs w:val="19"/>
          <w:color w:val="auto"/>
        </w:rPr>
      </w:pPr>
    </w:p>
    <w:p>
      <w:pPr>
        <w:ind w:left="720" w:hanging="360"/>
        <w:spacing w:after="0"/>
        <w:tabs>
          <w:tab w:leader="none" w:pos="720" w:val="left"/>
        </w:tabs>
        <w:numPr>
          <w:ilvl w:val="0"/>
          <w:numId w:val="32"/>
        </w:numPr>
        <w:rPr>
          <w:rFonts w:ascii="Arial" w:cs="Arial" w:eastAsia="Arial" w:hAnsi="Arial"/>
          <w:sz w:val="19"/>
          <w:szCs w:val="19"/>
          <w:color w:val="auto"/>
        </w:rPr>
      </w:pPr>
      <w:r>
        <w:rPr>
          <w:rFonts w:ascii="Arial" w:cs="Arial" w:eastAsia="Arial" w:hAnsi="Arial"/>
          <w:sz w:val="19"/>
          <w:szCs w:val="19"/>
          <w:color w:val="auto"/>
        </w:rPr>
        <w:t>appropriate for the specific patient;</w:t>
      </w:r>
    </w:p>
    <w:p>
      <w:pPr>
        <w:spacing w:after="0" w:line="132" w:lineRule="exact"/>
        <w:rPr>
          <w:rFonts w:ascii="Arial" w:cs="Arial" w:eastAsia="Arial" w:hAnsi="Arial"/>
          <w:sz w:val="19"/>
          <w:szCs w:val="19"/>
          <w:color w:val="auto"/>
        </w:rPr>
      </w:pPr>
    </w:p>
    <w:p>
      <w:pPr>
        <w:ind w:left="720" w:hanging="360"/>
        <w:spacing w:after="0"/>
        <w:tabs>
          <w:tab w:leader="none" w:pos="720" w:val="left"/>
        </w:tabs>
        <w:numPr>
          <w:ilvl w:val="0"/>
          <w:numId w:val="32"/>
        </w:numPr>
        <w:rPr>
          <w:rFonts w:ascii="Arial" w:cs="Arial" w:eastAsia="Arial" w:hAnsi="Arial"/>
          <w:sz w:val="19"/>
          <w:szCs w:val="19"/>
          <w:color w:val="auto"/>
        </w:rPr>
      </w:pPr>
      <w:r>
        <w:rPr>
          <w:rFonts w:ascii="Arial" w:cs="Arial" w:eastAsia="Arial" w:hAnsi="Arial"/>
          <w:sz w:val="19"/>
          <w:szCs w:val="19"/>
          <w:color w:val="auto"/>
        </w:rPr>
        <w:t>cost-effective; and</w:t>
      </w:r>
    </w:p>
    <w:p>
      <w:pPr>
        <w:spacing w:after="0" w:line="132" w:lineRule="exact"/>
        <w:rPr>
          <w:rFonts w:ascii="Arial" w:cs="Arial" w:eastAsia="Arial" w:hAnsi="Arial"/>
          <w:sz w:val="19"/>
          <w:szCs w:val="19"/>
          <w:color w:val="auto"/>
        </w:rPr>
      </w:pPr>
    </w:p>
    <w:p>
      <w:pPr>
        <w:ind w:left="720" w:hanging="360"/>
        <w:spacing w:after="0"/>
        <w:tabs>
          <w:tab w:leader="none" w:pos="720" w:val="left"/>
        </w:tabs>
        <w:numPr>
          <w:ilvl w:val="0"/>
          <w:numId w:val="32"/>
        </w:numPr>
        <w:rPr>
          <w:rFonts w:ascii="Arial" w:cs="Arial" w:eastAsia="Arial" w:hAnsi="Arial"/>
          <w:sz w:val="19"/>
          <w:szCs w:val="19"/>
          <w:color w:val="auto"/>
        </w:rPr>
      </w:pPr>
      <w:r>
        <w:rPr>
          <w:rFonts w:ascii="Arial" w:cs="Arial" w:eastAsia="Arial" w:hAnsi="Arial"/>
          <w:sz w:val="19"/>
          <w:szCs w:val="19"/>
          <w:color w:val="auto"/>
        </w:rPr>
        <w:t>neither experimental nor investigational.</w:t>
      </w:r>
    </w:p>
    <w:p>
      <w:pPr>
        <w:spacing w:after="0" w:line="120" w:lineRule="exact"/>
        <w:rPr>
          <w:sz w:val="20"/>
          <w:szCs w:val="20"/>
          <w:color w:val="auto"/>
        </w:rPr>
      </w:pPr>
    </w:p>
    <w:p>
      <w:pPr>
        <w:spacing w:after="0" w:line="244" w:lineRule="auto"/>
        <w:rPr>
          <w:sz w:val="20"/>
          <w:szCs w:val="20"/>
          <w:color w:val="auto"/>
        </w:rPr>
      </w:pPr>
      <w:r>
        <w:rPr>
          <w:rFonts w:ascii="Arial" w:cs="Arial" w:eastAsia="Arial" w:hAnsi="Arial"/>
          <w:sz w:val="19"/>
          <w:szCs w:val="19"/>
          <w:color w:val="auto"/>
        </w:rPr>
        <w:t>Third-party payors may limit coverage to specific products on an approved list, also known as a formulary, which might not include all of the approved products for a particular indication.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We cannot be sure that reimbursement will be available for any product candidate that we commercialize and, if reimbursement is available, the level of reimbursement.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Payment methodologies may be subject to changes in healthcare legislation and regulatory initiatives.</w:t>
      </w:r>
    </w:p>
    <w:p>
      <w:pPr>
        <w:spacing w:after="0" w:line="84" w:lineRule="exact"/>
        <w:rPr>
          <w:sz w:val="20"/>
          <w:szCs w:val="20"/>
          <w:color w:val="auto"/>
        </w:rPr>
      </w:pPr>
    </w:p>
    <w:p>
      <w:pPr>
        <w:ind w:right="100"/>
        <w:spacing w:after="0" w:line="244" w:lineRule="auto"/>
        <w:rPr>
          <w:sz w:val="20"/>
          <w:szCs w:val="20"/>
          <w:color w:val="auto"/>
        </w:rPr>
      </w:pPr>
      <w:r>
        <w:rPr>
          <w:rFonts w:ascii="Arial" w:cs="Arial" w:eastAsia="Arial" w:hAnsi="Arial"/>
          <w:sz w:val="19"/>
          <w:szCs w:val="19"/>
          <w:color w:val="auto"/>
        </w:rPr>
        <w:t>In order to secure coverage and reimbursement for any product that might be approved for sale, a company may need to conduct expensive pharmacoeconomic studies in order to demonstrate the medical necessity and cost-effectiveness of the product, which will require additional expenditure above and beyond the costs required to obtain FDA or other comparable regulatory approvals. Additionally, companies may also need to provide discounts to purchasers, private health plans or government healthcare programs. Nonetheless, product candidates may not be considered medically necessary or cost effective. A decision by a third-party payor not to cover a product could reduce physician utilization once the product is approved and have a material adverse effect on sales, our operations and financial condition. Additionally, a third-party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80" w:lineRule="exact"/>
        <w:rPr>
          <w:sz w:val="20"/>
          <w:szCs w:val="20"/>
          <w:color w:val="auto"/>
        </w:rPr>
      </w:pPr>
    </w:p>
    <w:p>
      <w:pPr>
        <w:ind w:right="20"/>
        <w:spacing w:after="0" w:line="250" w:lineRule="auto"/>
        <w:rPr>
          <w:sz w:val="20"/>
          <w:szCs w:val="20"/>
          <w:color w:val="auto"/>
        </w:rPr>
      </w:pPr>
      <w:r>
        <w:rPr>
          <w:rFonts w:ascii="Arial" w:cs="Arial" w:eastAsia="Arial" w:hAnsi="Arial"/>
          <w:sz w:val="19"/>
          <w:szCs w:val="19"/>
          <w:color w:val="auto"/>
        </w:rPr>
        <w:t>The containment of healthcare costs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38</w:t>
      </w:r>
    </w:p>
    <w:p>
      <w:pPr>
        <w:sectPr>
          <w:pgSz w:w="12240" w:h="15840" w:orient="portrait"/>
          <w:cols w:equalWidth="0" w:num="1">
            <w:col w:w="10080"/>
          </w:cols>
          <w:pgMar w:left="1080" w:top="1062" w:right="1080" w:bottom="173" w:gutter="0" w:footer="0" w:header="0"/>
        </w:sectPr>
      </w:pPr>
    </w:p>
    <w:bookmarkStart w:id="42" w:name="page43"/>
    <w:bookmarkEnd w:id="42"/>
    <w:p>
      <w:pPr>
        <w:ind w:right="180"/>
        <w:spacing w:after="0" w:line="253" w:lineRule="auto"/>
        <w:rPr>
          <w:sz w:val="20"/>
          <w:szCs w:val="20"/>
          <w:color w:val="auto"/>
        </w:rPr>
      </w:pPr>
      <w:r>
        <w:rPr>
          <w:rFonts w:ascii="Arial" w:cs="Arial" w:eastAsia="Arial" w:hAnsi="Arial"/>
          <w:sz w:val="19"/>
          <w:szCs w:val="19"/>
          <w:color w:val="auto"/>
        </w:rPr>
        <w:t>any approved products. Coverage policies and third-party payor reimbursement rates may change at any time. Even if favorable coverage and reimbursement status is attained for one or more products for which a company or its collaborators receive regulatory approval, less favorable coverage policies and reimbursement rates may be implemented in the future.</w:t>
      </w:r>
    </w:p>
    <w:p>
      <w:pPr>
        <w:spacing w:after="0" w:line="73" w:lineRule="exact"/>
        <w:rPr>
          <w:sz w:val="20"/>
          <w:szCs w:val="20"/>
          <w:color w:val="auto"/>
        </w:rPr>
      </w:pPr>
    </w:p>
    <w:p>
      <w:pPr>
        <w:ind w:right="40"/>
        <w:spacing w:after="0" w:line="244" w:lineRule="auto"/>
        <w:rPr>
          <w:sz w:val="20"/>
          <w:szCs w:val="20"/>
          <w:color w:val="auto"/>
        </w:rPr>
      </w:pPr>
      <w:r>
        <w:rPr>
          <w:rFonts w:ascii="Arial" w:cs="Arial" w:eastAsia="Arial" w:hAnsi="Arial"/>
          <w:sz w:val="19"/>
          <w:szCs w:val="19"/>
          <w:color w:val="auto"/>
        </w:rPr>
        <w:t>In addition,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 candidates. Historically, products launched in the European Union do not follow price structures of the United States and generally prices tend to be significantly lower.</w:t>
      </w:r>
    </w:p>
    <w:p>
      <w:pPr>
        <w:spacing w:after="0" w:line="7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Other Healthcare Laws and Compliance Requirements</w:t>
      </w:r>
    </w:p>
    <w:p>
      <w:pPr>
        <w:spacing w:after="0" w:line="124" w:lineRule="exact"/>
        <w:rPr>
          <w:sz w:val="20"/>
          <w:szCs w:val="20"/>
          <w:color w:val="auto"/>
        </w:rPr>
      </w:pPr>
    </w:p>
    <w:p>
      <w:pPr>
        <w:ind w:right="60"/>
        <w:spacing w:after="0" w:line="245" w:lineRule="auto"/>
        <w:rPr>
          <w:sz w:val="20"/>
          <w:szCs w:val="20"/>
          <w:color w:val="auto"/>
        </w:rPr>
      </w:pPr>
      <w:r>
        <w:rPr>
          <w:rFonts w:ascii="Arial" w:cs="Arial" w:eastAsia="Arial" w:hAnsi="Arial"/>
          <w:sz w:val="19"/>
          <w:szCs w:val="19"/>
          <w:color w:val="auto"/>
        </w:rPr>
        <w:t>Healthcare providers, physicians, and third-party payors will play a primary role in the recommendation and prescription of any products for which we obtain marketing approval. Our business operations and any current or future arrangements with third-party payors, healthcare providers and physicians may expose us to broadly applicable fraud and abuse and other healthcare laws and regulations that may constrain the business or financial arrangements and relationships through which we develop, market, sell and distribute any drugs for which we obtain marketing approval. In the United States, these laws include, without limitation, state and federal anti-kickback, false claims, physician transparency, and patient data privacy and security laws and regulations, including but not limited to those described below.</w:t>
      </w:r>
    </w:p>
    <w:p>
      <w:pPr>
        <w:spacing w:after="0" w:line="84" w:lineRule="exact"/>
        <w:rPr>
          <w:sz w:val="20"/>
          <w:szCs w:val="20"/>
          <w:color w:val="auto"/>
        </w:rPr>
      </w:pPr>
    </w:p>
    <w:p>
      <w:pPr>
        <w:spacing w:after="0" w:line="244" w:lineRule="auto"/>
        <w:rPr>
          <w:sz w:val="20"/>
          <w:szCs w:val="20"/>
          <w:color w:val="auto"/>
        </w:rPr>
      </w:pPr>
      <w:r>
        <w:rPr>
          <w:rFonts w:ascii="Arial" w:cs="Arial" w:eastAsia="Arial" w:hAnsi="Arial"/>
          <w:sz w:val="19"/>
          <w:szCs w:val="19"/>
          <w:color w:val="auto"/>
        </w:rPr>
        <w:t>The federal Anti-Kickback Statute prohibits, among other things, persons and entities from knowingly and willfully soliciting, offering, paying, receiving or providing any remuneration (including any kickback, bribe, or certain rebate), directly or indirectly, overtly or covertly, in cash or in kind, to induce or reward, or in return for, either the referral of an individual for, or the purchase, order or recommendation of, any good or service, for which payment may be made, in whole or in part, under a federal healthcare program such as Medicare and Medicaid. A person or entity need not have actual knowledge of the federal Anti-Kickback Statute or specific intent to violate it in order to have committed a violation. Violations are subject to civil and criminal fines and penalties for each violation, plus up to three times the remuneration involved, imprisonment, and exclusion from government healthcare programs. In addition, the government may assert that a claim that includes items or services resulting from a violation of the federal Anti-Kickback Statute constitutes a false or fraudulent claim for purposes of the civil False Claims Act.</w:t>
      </w:r>
    </w:p>
    <w:p>
      <w:pPr>
        <w:spacing w:after="0" w:line="84" w:lineRule="exact"/>
        <w:rPr>
          <w:sz w:val="20"/>
          <w:szCs w:val="20"/>
          <w:color w:val="auto"/>
        </w:rPr>
      </w:pPr>
    </w:p>
    <w:p>
      <w:pPr>
        <w:ind w:right="60"/>
        <w:spacing w:after="0" w:line="244" w:lineRule="auto"/>
        <w:rPr>
          <w:sz w:val="20"/>
          <w:szCs w:val="20"/>
          <w:color w:val="auto"/>
        </w:rPr>
      </w:pPr>
      <w:r>
        <w:rPr>
          <w:rFonts w:ascii="Arial" w:cs="Arial" w:eastAsia="Arial" w:hAnsi="Arial"/>
          <w:sz w:val="19"/>
          <w:szCs w:val="19"/>
          <w:color w:val="auto"/>
        </w:rPr>
        <w:t>The federal civil and criminal false claims laws, including the civil False Claims Act (FCA) prohibit individuals or entities from, among other things, knowingly presenting, or causing to be presented, to the federal government, claims for payment or approval that are false, fictitious or fraudulent; knowingly making, using, or causing to be made or used, a false statement or record material to a false or fraudulent claim or obligation to pay or transmit money or property to the federal government; or knowingly concealing or knowingly and improperly avoiding or decreasing an obligation to pay money to the federal government.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When an entity is determined to have violated the federal civil False Claims Act, the government may impose civil fines and penalties for each false claim, plus treble damages, and exclude the entity from participation in Medicare, Medicaid and other federal healthcare programs.</w:t>
      </w:r>
    </w:p>
    <w:p>
      <w:pPr>
        <w:spacing w:after="0" w:line="80" w:lineRule="exact"/>
        <w:rPr>
          <w:sz w:val="20"/>
          <w:szCs w:val="20"/>
          <w:color w:val="auto"/>
        </w:rPr>
      </w:pPr>
    </w:p>
    <w:p>
      <w:pPr>
        <w:ind w:right="300"/>
        <w:spacing w:after="0" w:line="253" w:lineRule="auto"/>
        <w:rPr>
          <w:sz w:val="20"/>
          <w:szCs w:val="20"/>
          <w:color w:val="auto"/>
        </w:rPr>
      </w:pPr>
      <w:r>
        <w:rPr>
          <w:rFonts w:ascii="Arial" w:cs="Arial" w:eastAsia="Arial" w:hAnsi="Arial"/>
          <w:sz w:val="19"/>
          <w:szCs w:val="19"/>
          <w:color w:val="auto"/>
        </w:rPr>
        <w:t>The federal civil monetary penalties laws impose civil fines for, among other things, the offering or transfer or remuneration to a Medicare or state healthcare program beneficiary, if the person knows or should know it is likely to influence the beneficiary’s selection of a particular provider, practitioner, or supplier of services reimbursable by Medicare or a state health care program, unless an exception applies.</w:t>
      </w:r>
    </w:p>
    <w:p>
      <w:pPr>
        <w:spacing w:after="0" w:line="73" w:lineRule="exact"/>
        <w:rPr>
          <w:sz w:val="20"/>
          <w:szCs w:val="20"/>
          <w:color w:val="auto"/>
        </w:rPr>
      </w:pPr>
    </w:p>
    <w:p>
      <w:pPr>
        <w:ind w:right="20"/>
        <w:spacing w:after="0" w:line="246" w:lineRule="auto"/>
        <w:rPr>
          <w:sz w:val="20"/>
          <w:szCs w:val="20"/>
          <w:color w:val="auto"/>
        </w:rPr>
      </w:pPr>
      <w:r>
        <w:rPr>
          <w:rFonts w:ascii="Arial" w:cs="Arial" w:eastAsia="Arial" w:hAnsi="Arial"/>
          <w:sz w:val="19"/>
          <w:szCs w:val="19"/>
          <w:color w:val="auto"/>
        </w:rPr>
        <w:t>The Health Insurance Portability and Accountability Act of 1996 (HIPAA) imposes criminal and civil liability for knowingly and willfully executing a scheme, or attempting to execute a scheme, to defraud any healthcare benefit program, including private payors, knowingly and willfully embezzling or stealing from a healthcare benefit program, willfully obstructing a criminal investigation of a healthcare offense, or falsifying, concealing or covering up a material fact or making any materially false statements in connection with the delivery of or payment for healthcare benefits, items or services. Similar to the federal Anti-Kickback Statute, a person or entity may be found guilty of violating HIPAA without actual knowledge of the statute or specific intent to violate it.</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39</w:t>
      </w:r>
    </w:p>
    <w:p>
      <w:pPr>
        <w:sectPr>
          <w:pgSz w:w="12240" w:h="15840" w:orient="portrait"/>
          <w:cols w:equalWidth="0" w:num="1">
            <w:col w:w="10080"/>
          </w:cols>
          <w:pgMar w:left="1080" w:top="1062" w:right="1080" w:bottom="173" w:gutter="0" w:footer="0" w:header="0"/>
        </w:sectPr>
      </w:pPr>
    </w:p>
    <w:bookmarkStart w:id="43" w:name="page44"/>
    <w:bookmarkEnd w:id="43"/>
    <w:p>
      <w:pPr>
        <w:ind w:right="20"/>
        <w:spacing w:after="0" w:line="245" w:lineRule="auto"/>
        <w:rPr>
          <w:sz w:val="20"/>
          <w:szCs w:val="20"/>
          <w:color w:val="auto"/>
        </w:rPr>
      </w:pPr>
      <w:r>
        <w:rPr>
          <w:rFonts w:ascii="Arial" w:cs="Arial" w:eastAsia="Arial" w:hAnsi="Arial"/>
          <w:sz w:val="19"/>
          <w:szCs w:val="19"/>
          <w:color w:val="auto"/>
        </w:rPr>
        <w:t>HIPAA, as amended by the Health Information Technology for Economic and Clinical Health Act of 2009 (HITECH), and their respective implementing regulations, impose, among other things, specified requirements on covered entities and their respective business associates relating to the privacy and security of individually identifiable health information including mandatory contractual terms and required implementation of technical safeguards of such information. HITECH also created new tiers of civil monetary penalties, amended HIPAA to make civil and criminal penalties directly applicable to business associates in some cases, and gave state attorneys general new authority to file civil actions for damages or injunctions in federal courts to enforce the federal HIPAA laws and seek attorneys’ fees and costs associated with pursuing federal civil actions.</w:t>
      </w:r>
    </w:p>
    <w:p>
      <w:pPr>
        <w:spacing w:after="0" w:line="84" w:lineRule="exact"/>
        <w:rPr>
          <w:sz w:val="20"/>
          <w:szCs w:val="20"/>
          <w:color w:val="auto"/>
        </w:rPr>
      </w:pPr>
    </w:p>
    <w:p>
      <w:pPr>
        <w:ind w:right="20"/>
        <w:spacing w:after="0" w:line="248" w:lineRule="auto"/>
        <w:rPr>
          <w:sz w:val="20"/>
          <w:szCs w:val="20"/>
          <w:color w:val="auto"/>
        </w:rPr>
      </w:pPr>
      <w:r>
        <w:rPr>
          <w:rFonts w:ascii="Arial" w:cs="Arial" w:eastAsia="Arial" w:hAnsi="Arial"/>
          <w:sz w:val="19"/>
          <w:szCs w:val="19"/>
          <w:color w:val="auto"/>
        </w:rPr>
        <w:t>The Physician Payments Sunshine Act, enacted as part of the ACA, imposed new annual reporting requirements for certain manufacturers of drugs, devices, biologics, and medical supplies for which payment is available under Medicare, Medicaid, or the Children’s Health Insurance Program, for certain payments and “transfers of value” provided to physicians (currently defined to include doctors, dentists, optometrists, podiatrists and chiropractors), certain other licensed health care practitioners and teaching hospitals, as well as ownership and investment interests held by physicians and their immediate family members.</w:t>
      </w:r>
    </w:p>
    <w:p>
      <w:pPr>
        <w:spacing w:after="0" w:line="76" w:lineRule="exact"/>
        <w:rPr>
          <w:sz w:val="20"/>
          <w:szCs w:val="20"/>
          <w:color w:val="auto"/>
        </w:rPr>
      </w:pPr>
    </w:p>
    <w:p>
      <w:pPr>
        <w:ind w:right="80"/>
        <w:spacing w:after="0" w:line="243" w:lineRule="auto"/>
        <w:rPr>
          <w:sz w:val="20"/>
          <w:szCs w:val="20"/>
          <w:color w:val="auto"/>
        </w:rPr>
      </w:pPr>
      <w:r>
        <w:rPr>
          <w:rFonts w:ascii="Arial" w:cs="Arial" w:eastAsia="Arial" w:hAnsi="Arial"/>
          <w:sz w:val="19"/>
          <w:szCs w:val="19"/>
          <w:color w:val="auto"/>
        </w:rPr>
        <w:t>Additionally, we are subject to state and foreign equivalents of each of the healthcare laws and regulations described above, among others, some of which may be broader in scope and may apply regardless of the payor. Many U.S.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There are ambiguities as to what is required to comply with these state requirements and if we fail to comply with an applicable state law requirement we could be subject to penalties.</w:t>
      </w:r>
    </w:p>
    <w:p>
      <w:pPr>
        <w:spacing w:after="0" w:line="83" w:lineRule="exact"/>
        <w:rPr>
          <w:sz w:val="20"/>
          <w:szCs w:val="20"/>
          <w:color w:val="auto"/>
        </w:rPr>
      </w:pPr>
    </w:p>
    <w:p>
      <w:pPr>
        <w:ind w:right="680"/>
        <w:spacing w:after="0" w:line="296" w:lineRule="auto"/>
        <w:rPr>
          <w:sz w:val="20"/>
          <w:szCs w:val="20"/>
          <w:color w:val="auto"/>
        </w:rPr>
      </w:pPr>
      <w:r>
        <w:rPr>
          <w:rFonts w:ascii="Arial" w:cs="Arial" w:eastAsia="Arial" w:hAnsi="Arial"/>
          <w:sz w:val="19"/>
          <w:szCs w:val="19"/>
          <w:b w:val="1"/>
          <w:bCs w:val="1"/>
          <w:color w:val="auto"/>
        </w:rPr>
        <w:t>Federal Consumer Protection and Unfair Competition Laws Broadly Regulate Marketplace Activities and Activities That Potentially Harm Consumers.</w:t>
      </w:r>
    </w:p>
    <w:p>
      <w:pPr>
        <w:spacing w:after="0" w:line="22" w:lineRule="exact"/>
        <w:rPr>
          <w:sz w:val="20"/>
          <w:szCs w:val="20"/>
          <w:color w:val="auto"/>
        </w:rPr>
      </w:pPr>
    </w:p>
    <w:p>
      <w:pPr>
        <w:spacing w:after="0" w:line="245" w:lineRule="auto"/>
        <w:rPr>
          <w:sz w:val="20"/>
          <w:szCs w:val="20"/>
          <w:color w:val="auto"/>
        </w:rPr>
      </w:pPr>
      <w:r>
        <w:rPr>
          <w:rFonts w:ascii="Arial" w:cs="Arial" w:eastAsia="Arial" w:hAnsi="Arial"/>
          <w:sz w:val="19"/>
          <w:szCs w:val="19"/>
          <w:color w:val="auto"/>
        </w:rPr>
        <w:t>Analogous state and foreign laws and regulations, including, but not limited to, state anti-kickback and false claims laws, may be broader in scope than the provisions described above and may apply regardless of payor. Some state laws require pharmaceutical companies to comply with the pharmaceutical industry’s voluntary compliance guidelines and relevant federal government compliance guidance; require drug manufacturers to report information related to payments and other transfers of value to physicians and other healthcare providers; restrict marketing practices or require disclosure of marketing expenditures and pricing information. State and foreign laws may govern the privacy and security of health information in some circumstances. These data privacy and security laws may differ from each other in significant ways and often are not pre-empted by HIPAA, which may complicate compliance efforts.</w:t>
      </w:r>
    </w:p>
    <w:p>
      <w:pPr>
        <w:spacing w:after="0" w:line="84" w:lineRule="exact"/>
        <w:rPr>
          <w:sz w:val="20"/>
          <w:szCs w:val="20"/>
          <w:color w:val="auto"/>
        </w:rPr>
      </w:pPr>
    </w:p>
    <w:p>
      <w:pPr>
        <w:ind w:right="60"/>
        <w:spacing w:after="0" w:line="242" w:lineRule="auto"/>
        <w:rPr>
          <w:sz w:val="20"/>
          <w:szCs w:val="20"/>
          <w:color w:val="auto"/>
        </w:rPr>
      </w:pPr>
      <w:r>
        <w:rPr>
          <w:rFonts w:ascii="Arial" w:cs="Arial" w:eastAsia="Arial" w:hAnsi="Arial"/>
          <w:sz w:val="19"/>
          <w:szCs w:val="19"/>
          <w:color w:val="auto"/>
        </w:rPr>
        <w:t>The scope and enforcement of each of these laws is uncertain and subject to rapid change in the current environment of healthcare reform. Federal and state enforcement bodies have recently increased their scrutiny of interactions between healthcare companies and healthcare providers, which has led to a number of investigations, prosecutions, convictions and settlements in the healthcare industry.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related governmental regulations that may apply to us, we may be subject to significant civil, criminal and administrative penalties, damages, fines, imprisonment, disgorgement, exclusion from government funded healthcare programs, such as Medicare and Medicaid, reputational harm, additional oversight and reporting obligations if we become subject to a corporate integrity agreement or similar settlement to resolve allegations of non-compliance with these laws and the curtailment or restructuring of our operations. If any of the physicians or other healthcare providers or entities with whom we expect to do business are found to not be in compliance with applicable laws, they may be subject to similar actions, penalties and sanctions. Ensuring business arrangements comply with applicable healthcare laws, as well as responding to possible investigations by government authorities, can be time- and resource-consuming and can divert a company’s attention from its business.</w:t>
      </w:r>
    </w:p>
    <w:p>
      <w:pPr>
        <w:spacing w:after="0" w:line="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Employees and Human Capital Resources</w:t>
      </w:r>
    </w:p>
    <w:p>
      <w:pPr>
        <w:spacing w:after="0" w:line="124" w:lineRule="exact"/>
        <w:rPr>
          <w:sz w:val="20"/>
          <w:szCs w:val="20"/>
          <w:color w:val="auto"/>
        </w:rPr>
      </w:pPr>
    </w:p>
    <w:p>
      <w:pPr>
        <w:ind w:right="100"/>
        <w:spacing w:after="0" w:line="260" w:lineRule="auto"/>
        <w:rPr>
          <w:sz w:val="20"/>
          <w:szCs w:val="20"/>
          <w:color w:val="auto"/>
        </w:rPr>
      </w:pPr>
      <w:r>
        <w:rPr>
          <w:rFonts w:ascii="Arial" w:cs="Arial" w:eastAsia="Arial" w:hAnsi="Arial"/>
          <w:sz w:val="19"/>
          <w:szCs w:val="19"/>
          <w:color w:val="auto"/>
        </w:rPr>
        <w:t>As of December 31, 2023, we had 42 employees. Of these employees, 31 perform research and development functions. None of our employees are represented by a labor union and we believe we maintain good relations with our employees.</w:t>
      </w:r>
    </w:p>
    <w:p>
      <w:pPr>
        <w:spacing w:after="0" w:line="65" w:lineRule="exact"/>
        <w:rPr>
          <w:sz w:val="20"/>
          <w:szCs w:val="20"/>
          <w:color w:val="auto"/>
        </w:rPr>
      </w:pPr>
    </w:p>
    <w:p>
      <w:pPr>
        <w:ind w:right="280"/>
        <w:spacing w:after="0" w:line="310"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new employees, advisors and consultants. The principal purposes of our equity and cash</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40</w:t>
      </w:r>
    </w:p>
    <w:p>
      <w:pPr>
        <w:sectPr>
          <w:pgSz w:w="12240" w:h="15840" w:orient="portrait"/>
          <w:cols w:equalWidth="0" w:num="1">
            <w:col w:w="10080"/>
          </w:cols>
          <w:pgMar w:left="1080" w:top="1062" w:right="1080" w:bottom="173" w:gutter="0" w:footer="0" w:header="0"/>
        </w:sectPr>
      </w:pPr>
    </w:p>
    <w:bookmarkStart w:id="44" w:name="page45"/>
    <w:bookmarkEnd w:id="44"/>
    <w:p>
      <w:pPr>
        <w:ind w:right="560"/>
        <w:spacing w:after="0" w:line="260" w:lineRule="auto"/>
        <w:rPr>
          <w:sz w:val="20"/>
          <w:szCs w:val="20"/>
          <w:color w:val="auto"/>
        </w:rPr>
      </w:pPr>
      <w:r>
        <w:rPr>
          <w:rFonts w:ascii="Arial" w:cs="Arial" w:eastAsia="Arial" w:hAnsi="Arial"/>
          <w:sz w:val="19"/>
          <w:szCs w:val="19"/>
          <w:color w:val="auto"/>
        </w:rPr>
        <w:t>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6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Legal Proceedings</w:t>
      </w:r>
    </w:p>
    <w:p>
      <w:pPr>
        <w:spacing w:after="0" w:line="124" w:lineRule="exact"/>
        <w:rPr>
          <w:sz w:val="20"/>
          <w:szCs w:val="20"/>
          <w:color w:val="auto"/>
        </w:rPr>
      </w:pPr>
    </w:p>
    <w:p>
      <w:pPr>
        <w:spacing w:after="0" w:line="244" w:lineRule="auto"/>
        <w:rPr>
          <w:sz w:val="20"/>
          <w:szCs w:val="20"/>
          <w:color w:val="auto"/>
        </w:rPr>
      </w:pPr>
      <w:r>
        <w:rPr>
          <w:rFonts w:ascii="Arial" w:cs="Arial" w:eastAsia="Arial" w:hAnsi="Arial"/>
          <w:sz w:val="19"/>
          <w:szCs w:val="19"/>
          <w:color w:val="auto"/>
        </w:rPr>
        <w:t>From time to time, we may become involved in litigation or other legal proceedings. On December 15, 2022, Periphagen notified us by letter of its claim that we have failed to use commercially reasonable efforts to complete a human proof of concept clinical trial of an NT-3 Asset under an Exclusive License Agreement dated December 9, 2019 between us and Periphagen (the Periphagen License Agreement). On January 13, 2023, we filed a demand for arbitration against Periphagen with the American Arbitration Association, seeking a declaration that Periphagen’s December 15 letter failed to comply with the dispute and escalation provisions in the Periphagen License Agreement. On March 10, 2023, Periphagen filed its answer and counterclaims to our demand for arbitration. In its counterclaims, Periphagen sought a declaration that we have not used commercially reasonable efforts to complete a human proof of concept clinical trial of the NT-3 Asset and a declaration that any further extension of time would not be scientifically or commercially reasonable. We denied Periphagen’s counterclaims.</w:t>
      </w:r>
    </w:p>
    <w:p>
      <w:pPr>
        <w:spacing w:after="0" w:line="84" w:lineRule="exact"/>
        <w:rPr>
          <w:sz w:val="20"/>
          <w:szCs w:val="20"/>
          <w:color w:val="auto"/>
        </w:rPr>
      </w:pPr>
    </w:p>
    <w:p>
      <w:pPr>
        <w:ind w:right="100"/>
        <w:spacing w:after="0" w:line="281" w:lineRule="auto"/>
        <w:rPr>
          <w:sz w:val="20"/>
          <w:szCs w:val="20"/>
          <w:color w:val="auto"/>
        </w:rPr>
      </w:pPr>
      <w:r>
        <w:rPr>
          <w:rFonts w:ascii="Arial" w:cs="Arial" w:eastAsia="Arial" w:hAnsi="Arial"/>
          <w:sz w:val="19"/>
          <w:szCs w:val="19"/>
          <w:color w:val="auto"/>
        </w:rPr>
        <w:t>On June 7, 2023, the parties entered into an amendment to the Exclusive License Agreement that resolved the dispute and resulted in termination of the arbitration.</w:t>
      </w:r>
    </w:p>
    <w:p>
      <w:pPr>
        <w:spacing w:after="0" w:line="144" w:lineRule="exact"/>
        <w:rPr>
          <w:sz w:val="20"/>
          <w:szCs w:val="20"/>
          <w:color w:val="auto"/>
        </w:rPr>
      </w:pPr>
    </w:p>
    <w:p>
      <w:pPr>
        <w:ind w:right="20"/>
        <w:spacing w:after="0" w:line="253" w:lineRule="auto"/>
        <w:rPr>
          <w:sz w:val="20"/>
          <w:szCs w:val="20"/>
          <w:color w:val="auto"/>
        </w:rPr>
      </w:pPr>
      <w:r>
        <w:rPr>
          <w:rFonts w:ascii="Arial" w:cs="Arial" w:eastAsia="Arial" w:hAnsi="Arial"/>
          <w:sz w:val="19"/>
          <w:szCs w:val="19"/>
          <w:color w:val="auto"/>
        </w:rPr>
        <w:t>Aside from the proceeding with Periphagen,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Corporate Information</w:t>
      </w:r>
    </w:p>
    <w:p>
      <w:pPr>
        <w:spacing w:after="0" w:line="124" w:lineRule="exact"/>
        <w:rPr>
          <w:sz w:val="20"/>
          <w:szCs w:val="20"/>
          <w:color w:val="auto"/>
        </w:rPr>
      </w:pPr>
    </w:p>
    <w:p>
      <w:pPr>
        <w:spacing w:after="0" w:line="243" w:lineRule="auto"/>
        <w:rPr>
          <w:sz w:val="20"/>
          <w:szCs w:val="20"/>
          <w:color w:val="auto"/>
        </w:rPr>
      </w:pPr>
      <w:r>
        <w:rPr>
          <w:rFonts w:ascii="Arial" w:cs="Arial" w:eastAsia="Arial" w:hAnsi="Arial"/>
          <w:sz w:val="19"/>
          <w:szCs w:val="19"/>
          <w:color w:val="auto"/>
        </w:rPr>
        <w:t>We were incorporated in Delaware in June 2003. On November 30, 2020, the Company changed its name to Candel Therapeutics, Inc. Our principal executive offices are located at 117 Kendrick Street, Suite 450, Needham, Massachusetts 02494. Our telephone number is (617) 916-5445 and our e-mail address is investors@candeltx.com. Our Internet website address is www.candeltx.com. Our Annual Reports on Form 10-K, Quarterly Reports on Form 10-Q, Current Reports on Form 8-K, including exhibits, proxy and information statements and amendments to those reports filed or furnished pursuant to Sections 13(a), 14, and 15(d) of the Securities Exchange Act of 1934, as amended (the Exchange Act), are available through the “Investors” portion of our website free of charge as soon as reasonably practicable after we electronically file such material with, or furnish it to, the Securities and Exchange Commission (SEC). Information on our website is not part of this Annual Report on Form 10-K or any of our other securities filings unless specifically incorporated herein by reference. In addition, our filings with the SEC may be accessed through the SEC’s Interactive Data Electronic Applications system at www.sec.gov.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spacing w:after="0" w:line="82" w:lineRule="exact"/>
        <w:rPr>
          <w:sz w:val="20"/>
          <w:szCs w:val="20"/>
          <w:color w:val="auto"/>
        </w:rPr>
      </w:pPr>
    </w:p>
    <w:p>
      <w:pPr>
        <w:ind w:right="200"/>
        <w:spacing w:after="0" w:line="260" w:lineRule="auto"/>
        <w:rPr>
          <w:sz w:val="20"/>
          <w:szCs w:val="20"/>
          <w:color w:val="auto"/>
        </w:rPr>
      </w:pPr>
      <w:r>
        <w:rPr>
          <w:rFonts w:ascii="Arial" w:cs="Arial" w:eastAsia="Arial" w:hAnsi="Arial"/>
          <w:sz w:val="19"/>
          <w:szCs w:val="19"/>
          <w:color w:val="auto"/>
        </w:rPr>
        <w:t>Our code of conduct, corporate governance guidelines and the charters of our Audit Committee, Compensation Committee and Nominating and Corporate Governance Committee are available through the “Corporate Governance” portion of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41</w:t>
      </w:r>
    </w:p>
    <w:p>
      <w:pPr>
        <w:sectPr>
          <w:pgSz w:w="12240" w:h="15840" w:orient="portrait"/>
          <w:cols w:equalWidth="0" w:num="1">
            <w:col w:w="10080"/>
          </w:cols>
          <w:pgMar w:left="1080" w:top="1062" w:right="1080" w:bottom="173" w:gutter="0" w:footer="0" w:header="0"/>
        </w:sectPr>
      </w:pPr>
    </w:p>
    <w:bookmarkStart w:id="45" w:name="page46"/>
    <w:bookmarkEnd w:id="45"/>
    <w:p>
      <w:pPr>
        <w:spacing w:after="0"/>
        <w:rPr>
          <w:sz w:val="20"/>
          <w:szCs w:val="20"/>
          <w:color w:val="auto"/>
        </w:rPr>
      </w:pPr>
      <w:r>
        <w:rPr>
          <w:rFonts w:ascii="Arial" w:cs="Arial" w:eastAsia="Arial" w:hAnsi="Arial"/>
          <w:sz w:val="19"/>
          <w:szCs w:val="19"/>
          <w:b w:val="1"/>
          <w:bCs w:val="1"/>
          <w:color w:val="auto"/>
        </w:rPr>
        <w:t>Item 1A. Risk Factors.</w:t>
      </w:r>
    </w:p>
    <w:p>
      <w:pPr>
        <w:spacing w:after="0" w:line="132" w:lineRule="exact"/>
        <w:rPr>
          <w:sz w:val="20"/>
          <w:szCs w:val="20"/>
          <w:color w:val="auto"/>
        </w:rPr>
      </w:pPr>
    </w:p>
    <w:p>
      <w:pPr>
        <w:ind w:right="40"/>
        <w:spacing w:after="0" w:line="243" w:lineRule="auto"/>
        <w:rPr>
          <w:sz w:val="20"/>
          <w:szCs w:val="20"/>
          <w:color w:val="auto"/>
        </w:rPr>
      </w:pPr>
      <w:r>
        <w:rPr>
          <w:rFonts w:ascii="Arial" w:cs="Arial" w:eastAsia="Arial" w:hAnsi="Arial"/>
          <w:sz w:val="19"/>
          <w:szCs w:val="19"/>
          <w:i w:val="1"/>
          <w:iCs w:val="1"/>
          <w:color w:val="auto"/>
        </w:rPr>
        <w:t>Our future operating results could differ materially from the results described in this Annual Report on Form 10-K due to the risks and uncertainties described below. You should consider carefully the following information about risks below in evaluating our business. If any of the following risks actually occur, our business, financial conditions, results of operations and future growth prospects would likely be materially and adversely affected. Additional risks and uncertainties not presently known to us or that we currently deem immaterial also may impair our business operations. In these circumstances, the market price of our common stock would likely decline. In addition, we cannot assure investors that our assumptions and expectations will prove to be correct. Important factors could cause our actual results to differ materially from those indicated or implied by forward-looking statements. See “Forward-Looking Statements” for a discussion of some of the forward-looking statements that are qualified by these risk factors. Factors that could cause or contribute to such differences include those factors discussed below.</w:t>
      </w:r>
    </w:p>
    <w:p>
      <w:pPr>
        <w:spacing w:after="0" w:line="7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Our Business, Financial Position and Capital Requirements</w:t>
      </w:r>
    </w:p>
    <w:p>
      <w:pPr>
        <w:spacing w:after="0" w:line="126" w:lineRule="exact"/>
        <w:rPr>
          <w:sz w:val="20"/>
          <w:szCs w:val="20"/>
          <w:color w:val="auto"/>
        </w:rPr>
      </w:pPr>
    </w:p>
    <w:p>
      <w:pPr>
        <w:ind w:right="240"/>
        <w:spacing w:after="0" w:line="287" w:lineRule="auto"/>
        <w:rPr>
          <w:sz w:val="20"/>
          <w:szCs w:val="20"/>
          <w:color w:val="auto"/>
        </w:rPr>
      </w:pPr>
      <w:r>
        <w:rPr>
          <w:rFonts w:ascii="Arial" w:cs="Arial" w:eastAsia="Arial" w:hAnsi="Arial"/>
          <w:sz w:val="19"/>
          <w:szCs w:val="19"/>
          <w:b w:val="1"/>
          <w:bCs w:val="1"/>
          <w:i w:val="1"/>
          <w:iCs w:val="1"/>
          <w:color w:val="auto"/>
        </w:rPr>
        <w:t>We are a biopharmaceutical company with a limited operating history and have not generated any revenue to date from product sales.</w:t>
      </w:r>
    </w:p>
    <w:p>
      <w:pPr>
        <w:spacing w:after="0" w:line="30" w:lineRule="exact"/>
        <w:rPr>
          <w:sz w:val="20"/>
          <w:szCs w:val="20"/>
          <w:color w:val="auto"/>
        </w:rPr>
      </w:pPr>
    </w:p>
    <w:p>
      <w:pPr>
        <w:ind w:right="20"/>
        <w:spacing w:after="0" w:line="243" w:lineRule="auto"/>
        <w:rPr>
          <w:sz w:val="20"/>
          <w:szCs w:val="20"/>
          <w:color w:val="auto"/>
        </w:rPr>
      </w:pPr>
      <w:r>
        <w:rPr>
          <w:rFonts w:ascii="Arial" w:cs="Arial" w:eastAsia="Arial" w:hAnsi="Arial"/>
          <w:sz w:val="19"/>
          <w:szCs w:val="19"/>
          <w:color w:val="auto"/>
        </w:rPr>
        <w:t>Biopharmaceutical product development is a highly speculative undertaking and involves a substantial degree of risk. We were incorporated under the laws of the State of Delaware in June 2003. Since inception, we have focused substantially all of our efforts and financial resources on raising capital and developing our initial product candidates. To date, we have financed our operations primarily through the issuance and sale of our convertible preferred stock to outside investors in private equity financings and from the proceeds of the initial public offering of our common stock (the IPO). From our inception through December 31, 2023, we raised an aggregate of $145.2 million of gross proceeds from such transactions. In addition, in February 2022, we borrowed $20.0 million under the Loan Agreement with SVB. As of December 31, 2023, our cash and cash equivalents were $35.4 million. We have incurred net losses in each year since our inception, and we had an accumulated deficit of $137.0 million as of December 31, 2023. For the years ended December 31, 2023 and 2022, we reported net losses of $37.9 million and $18.8 million, respectively. We have no products approved for commercial sale and therefore have never generated any revenue from product sales, and we do not expect to do so in the foreseeable future. We have not obtained regulatory approvals for any of our product candidates, and even if our clinical development efforts result in positive data, our product candidates may not receive regulatory approval or be successfully introduced and marketed at prices that would permit us to operate profitably.</w:t>
      </w:r>
    </w:p>
    <w:p>
      <w:pPr>
        <w:spacing w:after="0" w:line="82" w:lineRule="exact"/>
        <w:rPr>
          <w:sz w:val="20"/>
          <w:szCs w:val="20"/>
          <w:color w:val="auto"/>
        </w:rPr>
      </w:pPr>
    </w:p>
    <w:p>
      <w:pPr>
        <w:ind w:right="540"/>
        <w:spacing w:after="0" w:line="260" w:lineRule="auto"/>
        <w:rPr>
          <w:sz w:val="20"/>
          <w:szCs w:val="20"/>
          <w:color w:val="auto"/>
        </w:rPr>
      </w:pPr>
      <w:r>
        <w:rPr>
          <w:rFonts w:ascii="Arial" w:cs="Arial" w:eastAsia="Arial" w:hAnsi="Arial"/>
          <w:sz w:val="19"/>
          <w:szCs w:val="19"/>
          <w:color w:val="auto"/>
        </w:rPr>
        <w:t>We expect to continue to incur significant expenses and operating losses over the next several years and for the foreseeable future. Our prior losses, combined with expected future losses, have had and will continue to have an adverse effect on our stockholders’ equity and working capital.</w:t>
      </w:r>
    </w:p>
    <w:p>
      <w:pPr>
        <w:spacing w:after="0" w:line="69" w:lineRule="exact"/>
        <w:rPr>
          <w:sz w:val="20"/>
          <w:szCs w:val="20"/>
          <w:color w:val="auto"/>
        </w:rPr>
      </w:pPr>
    </w:p>
    <w:p>
      <w:pPr>
        <w:ind w:right="260"/>
        <w:spacing w:after="0" w:line="287" w:lineRule="auto"/>
        <w:rPr>
          <w:sz w:val="20"/>
          <w:szCs w:val="20"/>
          <w:color w:val="auto"/>
        </w:rPr>
      </w:pPr>
      <w:r>
        <w:rPr>
          <w:rFonts w:ascii="Arial" w:cs="Arial" w:eastAsia="Arial" w:hAnsi="Arial"/>
          <w:sz w:val="19"/>
          <w:szCs w:val="19"/>
          <w:b w:val="1"/>
          <w:bCs w:val="1"/>
          <w:i w:val="1"/>
          <w:iCs w:val="1"/>
          <w:color w:val="auto"/>
        </w:rPr>
        <w:t>We have incurred significant operating losses since our inception and anticipate that we will incur continued losses for the foreseeable future.</w:t>
      </w:r>
    </w:p>
    <w:p>
      <w:pPr>
        <w:spacing w:after="0" w:line="30" w:lineRule="exact"/>
        <w:rPr>
          <w:sz w:val="20"/>
          <w:szCs w:val="20"/>
          <w:color w:val="auto"/>
        </w:rPr>
      </w:pPr>
    </w:p>
    <w:p>
      <w:pPr>
        <w:spacing w:after="0" w:line="245" w:lineRule="auto"/>
        <w:rPr>
          <w:sz w:val="20"/>
          <w:szCs w:val="20"/>
          <w:color w:val="auto"/>
        </w:rPr>
      </w:pPr>
      <w:r>
        <w:rPr>
          <w:rFonts w:ascii="Arial" w:cs="Arial" w:eastAsia="Arial" w:hAnsi="Arial"/>
          <w:sz w:val="19"/>
          <w:szCs w:val="19"/>
          <w:color w:val="auto"/>
        </w:rPr>
        <w:t>Substantially all of our operating losses have resulted from costs incurred in connection with our research and development programs and from general and administrative costs associated with our operations. We expect our research and development expenses to significantly increase in connection with the commencement and continuation of clinical trials of our product candidates. In addition, if we obtain marketing approval for our product candidates, we will incur significant sales, marketing and manufacturing expenses. We are incurring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79" w:lineRule="exact"/>
        <w:rPr>
          <w:sz w:val="20"/>
          <w:szCs w:val="20"/>
          <w:color w:val="auto"/>
        </w:rPr>
      </w:pPr>
    </w:p>
    <w:p>
      <w:pPr>
        <w:ind w:right="160"/>
        <w:spacing w:after="0" w:line="260" w:lineRule="auto"/>
        <w:rPr>
          <w:sz w:val="20"/>
          <w:szCs w:val="20"/>
          <w:color w:val="auto"/>
        </w:rPr>
      </w:pPr>
      <w:r>
        <w:rPr>
          <w:rFonts w:ascii="Arial" w:cs="Arial" w:eastAsia="Arial" w:hAnsi="Arial"/>
          <w:sz w:val="19"/>
          <w:szCs w:val="19"/>
          <w:color w:val="auto"/>
        </w:rPr>
        <w:t>The amount of our future losses is uncertain, and our quarterly and annual operating results may fluctuate significantly or may fall below the expectations of investors or securities analysts, each of which may cause our stock price to fluctuate or decline.</w:t>
      </w:r>
    </w:p>
    <w:p>
      <w:pPr>
        <w:spacing w:after="0" w:line="78" w:lineRule="exact"/>
        <w:rPr>
          <w:sz w:val="20"/>
          <w:szCs w:val="20"/>
          <w:color w:val="auto"/>
        </w:rPr>
      </w:pPr>
    </w:p>
    <w:p>
      <w:pPr>
        <w:ind w:left="720" w:right="280" w:hanging="360"/>
        <w:spacing w:after="0" w:line="281" w:lineRule="auto"/>
        <w:tabs>
          <w:tab w:leader="none" w:pos="720" w:val="left"/>
        </w:tabs>
        <w:numPr>
          <w:ilvl w:val="0"/>
          <w:numId w:val="33"/>
        </w:numPr>
        <w:rPr>
          <w:rFonts w:ascii="Arial" w:cs="Arial" w:eastAsia="Arial" w:hAnsi="Arial"/>
          <w:sz w:val="19"/>
          <w:szCs w:val="19"/>
          <w:color w:val="auto"/>
        </w:rPr>
      </w:pPr>
      <w:r>
        <w:rPr>
          <w:rFonts w:ascii="Arial" w:cs="Arial" w:eastAsia="Arial" w:hAnsi="Arial"/>
          <w:sz w:val="19"/>
          <w:szCs w:val="19"/>
          <w:color w:val="auto"/>
        </w:rPr>
        <w:t>Our quarterly and annual operating results may fluctuate significantly in the future due to a variety of factors, many of which are outside of our control and may be difficult to predict, including the following:</w:t>
      </w:r>
    </w:p>
    <w:p>
      <w:pPr>
        <w:spacing w:after="0" w:line="58" w:lineRule="exact"/>
        <w:rPr>
          <w:rFonts w:ascii="Arial" w:cs="Arial" w:eastAsia="Arial" w:hAnsi="Arial"/>
          <w:sz w:val="19"/>
          <w:szCs w:val="19"/>
          <w:color w:val="auto"/>
        </w:rPr>
      </w:pPr>
    </w:p>
    <w:p>
      <w:pPr>
        <w:ind w:left="720" w:hanging="360"/>
        <w:spacing w:after="0" w:line="260" w:lineRule="auto"/>
        <w:tabs>
          <w:tab w:leader="none" w:pos="720"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timing and success or failure of clinical trials for our product candidates or competing product candidates, or any other change in the competitive landscape of our industry, including consolidation among our competitors or partners;</w:t>
      </w:r>
    </w:p>
    <w:p>
      <w:pPr>
        <w:spacing w:after="0" w:line="78" w:lineRule="exact"/>
        <w:rPr>
          <w:rFonts w:ascii="Arial" w:cs="Arial" w:eastAsia="Arial" w:hAnsi="Arial"/>
          <w:sz w:val="19"/>
          <w:szCs w:val="19"/>
          <w:color w:val="auto"/>
        </w:rPr>
      </w:pPr>
    </w:p>
    <w:p>
      <w:pPr>
        <w:ind w:left="720" w:right="360" w:hanging="360"/>
        <w:spacing w:after="0" w:line="281" w:lineRule="auto"/>
        <w:tabs>
          <w:tab w:leader="none" w:pos="720" w:val="left"/>
        </w:tabs>
        <w:numPr>
          <w:ilvl w:val="0"/>
          <w:numId w:val="33"/>
        </w:numPr>
        <w:rPr>
          <w:rFonts w:ascii="Arial" w:cs="Arial" w:eastAsia="Arial" w:hAnsi="Arial"/>
          <w:sz w:val="19"/>
          <w:szCs w:val="19"/>
          <w:color w:val="auto"/>
        </w:rPr>
      </w:pPr>
      <w:r>
        <w:rPr>
          <w:rFonts w:ascii="Arial" w:cs="Arial" w:eastAsia="Arial" w:hAnsi="Arial"/>
          <w:sz w:val="19"/>
          <w:szCs w:val="19"/>
          <w:color w:val="auto"/>
        </w:rPr>
        <w:t>our ability to successfully enroll and retain subjects for clinical trials, and any delays caused by difficulties in such efforts;</w:t>
      </w:r>
    </w:p>
    <w:p>
      <w:pPr>
        <w:spacing w:after="0" w:line="58" w:lineRule="exact"/>
        <w:rPr>
          <w:rFonts w:ascii="Arial" w:cs="Arial" w:eastAsia="Arial" w:hAnsi="Arial"/>
          <w:sz w:val="19"/>
          <w:szCs w:val="19"/>
          <w:color w:val="auto"/>
        </w:rPr>
      </w:pPr>
    </w:p>
    <w:p>
      <w:pPr>
        <w:ind w:left="720" w:right="580" w:hanging="360"/>
        <w:spacing w:after="0" w:line="281" w:lineRule="auto"/>
        <w:tabs>
          <w:tab w:leader="none" w:pos="720" w:val="left"/>
        </w:tabs>
        <w:numPr>
          <w:ilvl w:val="0"/>
          <w:numId w:val="33"/>
        </w:numPr>
        <w:rPr>
          <w:rFonts w:ascii="Arial" w:cs="Arial" w:eastAsia="Arial" w:hAnsi="Arial"/>
          <w:sz w:val="19"/>
          <w:szCs w:val="19"/>
          <w:color w:val="auto"/>
        </w:rPr>
      </w:pPr>
      <w:r>
        <w:rPr>
          <w:rFonts w:ascii="Arial" w:cs="Arial" w:eastAsia="Arial" w:hAnsi="Arial"/>
          <w:sz w:val="19"/>
          <w:szCs w:val="19"/>
          <w:color w:val="auto"/>
        </w:rPr>
        <w:t>our ability to obtain marketing approval for our product candidates, and the timing and scope of any such approvals we may receive;</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42</w:t>
      </w:r>
    </w:p>
    <w:p>
      <w:pPr>
        <w:sectPr>
          <w:pgSz w:w="12240" w:h="15840" w:orient="portrait"/>
          <w:cols w:equalWidth="0" w:num="1">
            <w:col w:w="10080"/>
          </w:cols>
          <w:pgMar w:left="1080" w:top="1058" w:right="1080" w:bottom="173" w:gutter="0" w:footer="0" w:header="0"/>
        </w:sectPr>
      </w:pPr>
    </w:p>
    <w:bookmarkStart w:id="46" w:name="page47"/>
    <w:bookmarkEnd w:id="46"/>
    <w:p>
      <w:pPr>
        <w:ind w:left="720" w:right="400" w:hanging="360"/>
        <w:spacing w:after="0" w:line="281" w:lineRule="auto"/>
        <w:tabs>
          <w:tab w:leader="none" w:pos="720"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changing and volatile U.S. and global economic environments, including as a result of any future public health crisis;</w:t>
      </w:r>
    </w:p>
    <w:p>
      <w:pPr>
        <w:spacing w:after="0" w:line="58" w:lineRule="exact"/>
        <w:rPr>
          <w:rFonts w:ascii="Arial" w:cs="Arial" w:eastAsia="Arial" w:hAnsi="Arial"/>
          <w:sz w:val="19"/>
          <w:szCs w:val="19"/>
          <w:color w:val="auto"/>
        </w:rPr>
      </w:pPr>
    </w:p>
    <w:p>
      <w:pPr>
        <w:ind w:left="720" w:right="260" w:hanging="360"/>
        <w:spacing w:after="0" w:line="281" w:lineRule="auto"/>
        <w:tabs>
          <w:tab w:leader="none" w:pos="720"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timing and cost of, and level of investment in, research and development activities relating to our product candidates, which may change from time to time;</w:t>
      </w:r>
    </w:p>
    <w:p>
      <w:pPr>
        <w:spacing w:after="0" w:line="58" w:lineRule="exact"/>
        <w:rPr>
          <w:rFonts w:ascii="Arial" w:cs="Arial" w:eastAsia="Arial" w:hAnsi="Arial"/>
          <w:sz w:val="19"/>
          <w:szCs w:val="19"/>
          <w:color w:val="auto"/>
        </w:rPr>
      </w:pPr>
    </w:p>
    <w:p>
      <w:pPr>
        <w:ind w:left="720" w:right="20" w:hanging="360"/>
        <w:spacing w:after="0" w:line="260" w:lineRule="auto"/>
        <w:tabs>
          <w:tab w:leader="none" w:pos="720"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cost of manufacturing our product candidates, which may vary depending on the quantity of production, and the success of achieving clinical-scale manufacturing operations in our new facility or through CDMOs and commercial manufacturing at third-party manufacturers;</w:t>
      </w:r>
    </w:p>
    <w:p>
      <w:pPr>
        <w:spacing w:after="0" w:line="78" w:lineRule="exact"/>
        <w:rPr>
          <w:rFonts w:ascii="Arial" w:cs="Arial" w:eastAsia="Arial" w:hAnsi="Arial"/>
          <w:sz w:val="19"/>
          <w:szCs w:val="19"/>
          <w:color w:val="auto"/>
        </w:rPr>
      </w:pPr>
    </w:p>
    <w:p>
      <w:pPr>
        <w:ind w:left="720" w:hanging="360"/>
        <w:spacing w:after="0"/>
        <w:tabs>
          <w:tab w:leader="none" w:pos="720" w:val="left"/>
        </w:tabs>
        <w:numPr>
          <w:ilvl w:val="0"/>
          <w:numId w:val="34"/>
        </w:numPr>
        <w:rPr>
          <w:rFonts w:ascii="Arial" w:cs="Arial" w:eastAsia="Arial" w:hAnsi="Arial"/>
          <w:sz w:val="19"/>
          <w:szCs w:val="19"/>
          <w:color w:val="auto"/>
        </w:rPr>
      </w:pPr>
      <w:r>
        <w:rPr>
          <w:rFonts w:ascii="Arial" w:cs="Arial" w:eastAsia="Arial" w:hAnsi="Arial"/>
          <w:sz w:val="19"/>
          <w:szCs w:val="19"/>
          <w:color w:val="auto"/>
        </w:rPr>
        <w:t>our ability to attract, hire and retain qualified personnel;</w:t>
      </w:r>
    </w:p>
    <w:p>
      <w:pPr>
        <w:spacing w:after="0" w:line="132" w:lineRule="exact"/>
        <w:rPr>
          <w:rFonts w:ascii="Arial" w:cs="Arial" w:eastAsia="Arial" w:hAnsi="Arial"/>
          <w:sz w:val="19"/>
          <w:szCs w:val="19"/>
          <w:color w:val="auto"/>
        </w:rPr>
      </w:pPr>
    </w:p>
    <w:p>
      <w:pPr>
        <w:ind w:left="720" w:hanging="360"/>
        <w:spacing w:after="0"/>
        <w:tabs>
          <w:tab w:leader="none" w:pos="720" w:val="left"/>
        </w:tabs>
        <w:numPr>
          <w:ilvl w:val="0"/>
          <w:numId w:val="34"/>
        </w:numPr>
        <w:rPr>
          <w:rFonts w:ascii="Arial" w:cs="Arial" w:eastAsia="Arial" w:hAnsi="Arial"/>
          <w:sz w:val="19"/>
          <w:szCs w:val="19"/>
          <w:color w:val="auto"/>
        </w:rPr>
      </w:pPr>
      <w:r>
        <w:rPr>
          <w:rFonts w:ascii="Arial" w:cs="Arial" w:eastAsia="Arial" w:hAnsi="Arial"/>
          <w:sz w:val="19"/>
          <w:szCs w:val="19"/>
          <w:color w:val="auto"/>
        </w:rPr>
        <w:t>expenditures that we will or may incur to develop additional product candidates;</w:t>
      </w:r>
    </w:p>
    <w:p>
      <w:pPr>
        <w:spacing w:after="0" w:line="132" w:lineRule="exact"/>
        <w:rPr>
          <w:rFonts w:ascii="Arial" w:cs="Arial" w:eastAsia="Arial" w:hAnsi="Arial"/>
          <w:sz w:val="19"/>
          <w:szCs w:val="19"/>
          <w:color w:val="auto"/>
        </w:rPr>
      </w:pPr>
    </w:p>
    <w:p>
      <w:pPr>
        <w:ind w:left="720" w:hanging="360"/>
        <w:spacing w:after="0"/>
        <w:tabs>
          <w:tab w:leader="none" w:pos="720"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level of demand for our product candidates should they receive approval, which may vary significantly;</w:t>
      </w:r>
    </w:p>
    <w:p>
      <w:pPr>
        <w:spacing w:after="0" w:line="132" w:lineRule="exact"/>
        <w:rPr>
          <w:rFonts w:ascii="Arial" w:cs="Arial" w:eastAsia="Arial" w:hAnsi="Arial"/>
          <w:sz w:val="19"/>
          <w:szCs w:val="19"/>
          <w:color w:val="auto"/>
        </w:rPr>
      </w:pPr>
    </w:p>
    <w:p>
      <w:pPr>
        <w:ind w:left="720" w:right="360" w:hanging="360"/>
        <w:spacing w:after="0" w:line="281" w:lineRule="auto"/>
        <w:tabs>
          <w:tab w:leader="none" w:pos="720"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risk/benefit profile, cost and reimbursement policies with respect to our product candidates, if approved, and existing and potential future therapeutics that compete with our product candidates; and</w:t>
      </w:r>
    </w:p>
    <w:p>
      <w:pPr>
        <w:spacing w:after="0" w:line="58" w:lineRule="exact"/>
        <w:rPr>
          <w:rFonts w:ascii="Arial" w:cs="Arial" w:eastAsia="Arial" w:hAnsi="Arial"/>
          <w:sz w:val="19"/>
          <w:szCs w:val="19"/>
          <w:color w:val="auto"/>
        </w:rPr>
      </w:pPr>
    </w:p>
    <w:p>
      <w:pPr>
        <w:ind w:left="720" w:hanging="360"/>
        <w:spacing w:after="0"/>
        <w:tabs>
          <w:tab w:leader="none" w:pos="720" w:val="left"/>
        </w:tabs>
        <w:numPr>
          <w:ilvl w:val="0"/>
          <w:numId w:val="34"/>
        </w:numPr>
        <w:rPr>
          <w:rFonts w:ascii="Arial" w:cs="Arial" w:eastAsia="Arial" w:hAnsi="Arial"/>
          <w:sz w:val="19"/>
          <w:szCs w:val="19"/>
          <w:color w:val="auto"/>
        </w:rPr>
      </w:pPr>
      <w:r>
        <w:rPr>
          <w:rFonts w:ascii="Arial" w:cs="Arial" w:eastAsia="Arial" w:hAnsi="Arial"/>
          <w:sz w:val="19"/>
          <w:szCs w:val="19"/>
          <w:color w:val="auto"/>
        </w:rPr>
        <w:t>future accounting pronouncements or changes in our accounting policies.</w:t>
      </w:r>
    </w:p>
    <w:p>
      <w:pPr>
        <w:spacing w:after="0" w:line="120" w:lineRule="exact"/>
        <w:rPr>
          <w:sz w:val="20"/>
          <w:szCs w:val="20"/>
          <w:color w:val="auto"/>
        </w:rPr>
      </w:pPr>
    </w:p>
    <w:p>
      <w:pPr>
        <w:jc w:val="both"/>
        <w:ind w:right="100"/>
        <w:spacing w:after="0" w:line="246" w:lineRule="auto"/>
        <w:rPr>
          <w:sz w:val="20"/>
          <w:szCs w:val="20"/>
          <w:color w:val="auto"/>
        </w:rPr>
      </w:pPr>
      <w:r>
        <w:rPr>
          <w:rFonts w:ascii="Arial" w:cs="Arial" w:eastAsia="Arial" w:hAnsi="Arial"/>
          <w:sz w:val="19"/>
          <w:szCs w:val="19"/>
          <w:color w:val="auto"/>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8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have no products approved for commercial sale and have not generated any revenue from product sales.</w:t>
      </w:r>
    </w:p>
    <w:p>
      <w:pPr>
        <w:spacing w:after="0" w:line="116" w:lineRule="exact"/>
        <w:rPr>
          <w:sz w:val="20"/>
          <w:szCs w:val="20"/>
          <w:color w:val="auto"/>
        </w:rPr>
      </w:pPr>
    </w:p>
    <w:p>
      <w:pPr>
        <w:ind w:right="240"/>
        <w:spacing w:after="0" w:line="250" w:lineRule="auto"/>
        <w:rPr>
          <w:sz w:val="20"/>
          <w:szCs w:val="20"/>
          <w:color w:val="auto"/>
        </w:rPr>
      </w:pPr>
      <w:r>
        <w:rPr>
          <w:rFonts w:ascii="Arial" w:cs="Arial" w:eastAsia="Arial" w:hAnsi="Arial"/>
          <w:sz w:val="19"/>
          <w:szCs w:val="19"/>
          <w:color w:val="auto"/>
        </w:rPr>
        <w:t>Our ability to become profitable depends upon our ability to generate revenue. To date, we have not generated any revenue from our product candidates, and we do not expect to generate any revenue from the sale of products in the near future. We do not expect to generate significant revenue unless and until we obtain marketing approval of, and begin to sell, one or more of our product candidates. Our ability to generate revenue depends on a number of factors, including, but not limited to, our ability to:</w:t>
      </w:r>
    </w:p>
    <w:p>
      <w:pPr>
        <w:spacing w:after="0" w:line="87" w:lineRule="exact"/>
        <w:rPr>
          <w:sz w:val="20"/>
          <w:szCs w:val="20"/>
          <w:color w:val="auto"/>
        </w:rPr>
      </w:pPr>
    </w:p>
    <w:p>
      <w:pPr>
        <w:ind w:left="720" w:right="1360" w:hanging="360"/>
        <w:spacing w:after="0" w:line="281" w:lineRule="auto"/>
        <w:tabs>
          <w:tab w:leader="none" w:pos="720" w:val="left"/>
        </w:tabs>
        <w:numPr>
          <w:ilvl w:val="0"/>
          <w:numId w:val="35"/>
        </w:numPr>
        <w:rPr>
          <w:rFonts w:ascii="Arial" w:cs="Arial" w:eastAsia="Arial" w:hAnsi="Arial"/>
          <w:sz w:val="19"/>
          <w:szCs w:val="19"/>
          <w:color w:val="auto"/>
        </w:rPr>
      </w:pPr>
      <w:r>
        <w:rPr>
          <w:rFonts w:ascii="Arial" w:cs="Arial" w:eastAsia="Arial" w:hAnsi="Arial"/>
          <w:sz w:val="19"/>
          <w:szCs w:val="19"/>
          <w:color w:val="auto"/>
        </w:rPr>
        <w:t>successfully complete our ongoing and planned preclinical studies and clinical trials for our viral immunotherapy programs;</w:t>
      </w:r>
    </w:p>
    <w:p>
      <w:pPr>
        <w:spacing w:after="0" w:line="58" w:lineRule="exact"/>
        <w:rPr>
          <w:rFonts w:ascii="Arial" w:cs="Arial" w:eastAsia="Arial" w:hAnsi="Arial"/>
          <w:sz w:val="19"/>
          <w:szCs w:val="19"/>
          <w:color w:val="auto"/>
        </w:rPr>
      </w:pPr>
    </w:p>
    <w:p>
      <w:pPr>
        <w:ind w:left="720" w:right="200" w:hanging="360"/>
        <w:spacing w:after="0" w:line="281" w:lineRule="auto"/>
        <w:tabs>
          <w:tab w:leader="none" w:pos="720" w:val="left"/>
        </w:tabs>
        <w:numPr>
          <w:ilvl w:val="0"/>
          <w:numId w:val="35"/>
        </w:numPr>
        <w:rPr>
          <w:rFonts w:ascii="Arial" w:cs="Arial" w:eastAsia="Arial" w:hAnsi="Arial"/>
          <w:sz w:val="19"/>
          <w:szCs w:val="19"/>
          <w:color w:val="auto"/>
        </w:rPr>
      </w:pPr>
      <w:r>
        <w:rPr>
          <w:rFonts w:ascii="Arial" w:cs="Arial" w:eastAsia="Arial" w:hAnsi="Arial"/>
          <w:sz w:val="19"/>
          <w:szCs w:val="19"/>
          <w:color w:val="auto"/>
        </w:rPr>
        <w:t>timely file and receive acceptance of our Investigational New Drug applications (INDs), in order to commence our planned clinical trials or future clinical trials;</w:t>
      </w:r>
    </w:p>
    <w:p>
      <w:pPr>
        <w:spacing w:after="0" w:line="58" w:lineRule="exact"/>
        <w:rPr>
          <w:rFonts w:ascii="Arial" w:cs="Arial" w:eastAsia="Arial" w:hAnsi="Arial"/>
          <w:sz w:val="19"/>
          <w:szCs w:val="19"/>
          <w:color w:val="auto"/>
        </w:rPr>
      </w:pPr>
    </w:p>
    <w:p>
      <w:pPr>
        <w:ind w:left="720" w:hanging="360"/>
        <w:spacing w:after="0"/>
        <w:tabs>
          <w:tab w:leader="none" w:pos="720" w:val="left"/>
        </w:tabs>
        <w:numPr>
          <w:ilvl w:val="0"/>
          <w:numId w:val="35"/>
        </w:numPr>
        <w:rPr>
          <w:rFonts w:ascii="Arial" w:cs="Arial" w:eastAsia="Arial" w:hAnsi="Arial"/>
          <w:sz w:val="19"/>
          <w:szCs w:val="19"/>
          <w:color w:val="auto"/>
        </w:rPr>
      </w:pPr>
      <w:r>
        <w:rPr>
          <w:rFonts w:ascii="Arial" w:cs="Arial" w:eastAsia="Arial" w:hAnsi="Arial"/>
          <w:sz w:val="19"/>
          <w:szCs w:val="19"/>
          <w:color w:val="auto"/>
        </w:rPr>
        <w:t>successfully enroll subjects in, and complete, clinical trials for our viral immunotherapy programs;</w:t>
      </w:r>
    </w:p>
    <w:p>
      <w:pPr>
        <w:spacing w:after="0" w:line="132" w:lineRule="exact"/>
        <w:rPr>
          <w:rFonts w:ascii="Arial" w:cs="Arial" w:eastAsia="Arial" w:hAnsi="Arial"/>
          <w:sz w:val="19"/>
          <w:szCs w:val="19"/>
          <w:color w:val="auto"/>
        </w:rPr>
      </w:pPr>
    </w:p>
    <w:p>
      <w:pPr>
        <w:ind w:left="720" w:hanging="360"/>
        <w:spacing w:after="0" w:line="281" w:lineRule="auto"/>
        <w:tabs>
          <w:tab w:leader="none" w:pos="720" w:val="left"/>
        </w:tabs>
        <w:numPr>
          <w:ilvl w:val="0"/>
          <w:numId w:val="35"/>
        </w:numPr>
        <w:rPr>
          <w:rFonts w:ascii="Arial" w:cs="Arial" w:eastAsia="Arial" w:hAnsi="Arial"/>
          <w:sz w:val="19"/>
          <w:szCs w:val="19"/>
          <w:color w:val="auto"/>
        </w:rPr>
      </w:pPr>
      <w:r>
        <w:rPr>
          <w:rFonts w:ascii="Arial" w:cs="Arial" w:eastAsia="Arial" w:hAnsi="Arial"/>
          <w:sz w:val="19"/>
          <w:szCs w:val="19"/>
          <w:color w:val="auto"/>
        </w:rPr>
        <w:t>timely file marketing applications and receive regulatory approvals for our product candidates from the FDA and comparable foreign regulatory authorities;</w:t>
      </w:r>
    </w:p>
    <w:p>
      <w:pPr>
        <w:spacing w:after="0" w:line="58" w:lineRule="exact"/>
        <w:rPr>
          <w:rFonts w:ascii="Arial" w:cs="Arial" w:eastAsia="Arial" w:hAnsi="Arial"/>
          <w:sz w:val="19"/>
          <w:szCs w:val="19"/>
          <w:color w:val="auto"/>
        </w:rPr>
      </w:pPr>
    </w:p>
    <w:p>
      <w:pPr>
        <w:ind w:left="720" w:right="180" w:hanging="360"/>
        <w:spacing w:after="0" w:line="281" w:lineRule="auto"/>
        <w:tabs>
          <w:tab w:leader="none" w:pos="720" w:val="left"/>
        </w:tabs>
        <w:numPr>
          <w:ilvl w:val="0"/>
          <w:numId w:val="35"/>
        </w:numPr>
        <w:rPr>
          <w:rFonts w:ascii="Arial" w:cs="Arial" w:eastAsia="Arial" w:hAnsi="Arial"/>
          <w:sz w:val="19"/>
          <w:szCs w:val="19"/>
          <w:color w:val="auto"/>
        </w:rPr>
      </w:pPr>
      <w:r>
        <w:rPr>
          <w:rFonts w:ascii="Arial" w:cs="Arial" w:eastAsia="Arial" w:hAnsi="Arial"/>
          <w:sz w:val="19"/>
          <w:szCs w:val="19"/>
          <w:color w:val="auto"/>
        </w:rPr>
        <w:t>initiate and successfully complete all safety studies required to obtain U.S. and foreign marketing approval for our product candidates;</w:t>
      </w:r>
    </w:p>
    <w:p>
      <w:pPr>
        <w:spacing w:after="0" w:line="58" w:lineRule="exact"/>
        <w:rPr>
          <w:rFonts w:ascii="Arial" w:cs="Arial" w:eastAsia="Arial" w:hAnsi="Arial"/>
          <w:sz w:val="19"/>
          <w:szCs w:val="19"/>
          <w:color w:val="auto"/>
        </w:rPr>
      </w:pPr>
    </w:p>
    <w:p>
      <w:pPr>
        <w:ind w:left="720" w:right="40" w:hanging="360"/>
        <w:spacing w:after="0" w:line="281" w:lineRule="auto"/>
        <w:tabs>
          <w:tab w:leader="none" w:pos="720" w:val="left"/>
        </w:tabs>
        <w:numPr>
          <w:ilvl w:val="0"/>
          <w:numId w:val="35"/>
        </w:numPr>
        <w:rPr>
          <w:rFonts w:ascii="Arial" w:cs="Arial" w:eastAsia="Arial" w:hAnsi="Arial"/>
          <w:sz w:val="19"/>
          <w:szCs w:val="19"/>
          <w:color w:val="auto"/>
        </w:rPr>
      </w:pPr>
      <w:r>
        <w:rPr>
          <w:rFonts w:ascii="Arial" w:cs="Arial" w:eastAsia="Arial" w:hAnsi="Arial"/>
          <w:sz w:val="19"/>
          <w:szCs w:val="19"/>
          <w:color w:val="auto"/>
        </w:rPr>
        <w:t>establish clinical supply capabilities through arrangements with third-party manufacturers for clinical supply and commercial manufacturing;</w:t>
      </w:r>
    </w:p>
    <w:p>
      <w:pPr>
        <w:spacing w:after="0" w:line="58" w:lineRule="exact"/>
        <w:rPr>
          <w:rFonts w:ascii="Arial" w:cs="Arial" w:eastAsia="Arial" w:hAnsi="Arial"/>
          <w:sz w:val="19"/>
          <w:szCs w:val="19"/>
          <w:color w:val="auto"/>
        </w:rPr>
      </w:pPr>
    </w:p>
    <w:p>
      <w:pPr>
        <w:ind w:left="720" w:hanging="360"/>
        <w:spacing w:after="0"/>
        <w:tabs>
          <w:tab w:leader="none" w:pos="720" w:val="left"/>
        </w:tabs>
        <w:numPr>
          <w:ilvl w:val="0"/>
          <w:numId w:val="35"/>
        </w:numPr>
        <w:rPr>
          <w:rFonts w:ascii="Arial" w:cs="Arial" w:eastAsia="Arial" w:hAnsi="Arial"/>
          <w:sz w:val="19"/>
          <w:szCs w:val="19"/>
          <w:color w:val="auto"/>
        </w:rPr>
      </w:pPr>
      <w:r>
        <w:rPr>
          <w:rFonts w:ascii="Arial" w:cs="Arial" w:eastAsia="Arial" w:hAnsi="Arial"/>
          <w:sz w:val="19"/>
          <w:szCs w:val="19"/>
          <w:color w:val="auto"/>
        </w:rPr>
        <w:t>obtain and maintain patent and trade secret protection or regulatory exclusivity for our product candidates;</w:t>
      </w:r>
    </w:p>
    <w:p>
      <w:pPr>
        <w:spacing w:after="0" w:line="132" w:lineRule="exact"/>
        <w:rPr>
          <w:rFonts w:ascii="Arial" w:cs="Arial" w:eastAsia="Arial" w:hAnsi="Arial"/>
          <w:sz w:val="19"/>
          <w:szCs w:val="19"/>
          <w:color w:val="auto"/>
        </w:rPr>
      </w:pPr>
    </w:p>
    <w:p>
      <w:pPr>
        <w:ind w:left="720" w:right="300" w:hanging="360"/>
        <w:spacing w:after="0" w:line="281" w:lineRule="auto"/>
        <w:tabs>
          <w:tab w:leader="none" w:pos="720" w:val="left"/>
        </w:tabs>
        <w:numPr>
          <w:ilvl w:val="0"/>
          <w:numId w:val="35"/>
        </w:numPr>
        <w:rPr>
          <w:rFonts w:ascii="Arial" w:cs="Arial" w:eastAsia="Arial" w:hAnsi="Arial"/>
          <w:sz w:val="19"/>
          <w:szCs w:val="19"/>
          <w:color w:val="auto"/>
        </w:rPr>
      </w:pPr>
      <w:r>
        <w:rPr>
          <w:rFonts w:ascii="Arial" w:cs="Arial" w:eastAsia="Arial" w:hAnsi="Arial"/>
          <w:sz w:val="19"/>
          <w:szCs w:val="19"/>
          <w:color w:val="auto"/>
        </w:rPr>
        <w:t>launch commercial sales of our product candidates, if and when approved, whether alone or in collaboration with others;</w:t>
      </w:r>
    </w:p>
    <w:p>
      <w:pPr>
        <w:spacing w:after="0" w:line="58" w:lineRule="exact"/>
        <w:rPr>
          <w:rFonts w:ascii="Arial" w:cs="Arial" w:eastAsia="Arial" w:hAnsi="Arial"/>
          <w:sz w:val="19"/>
          <w:szCs w:val="19"/>
          <w:color w:val="auto"/>
        </w:rPr>
      </w:pPr>
    </w:p>
    <w:p>
      <w:pPr>
        <w:ind w:left="720" w:hanging="360"/>
        <w:spacing w:after="0"/>
        <w:tabs>
          <w:tab w:leader="none" w:pos="720" w:val="left"/>
        </w:tabs>
        <w:numPr>
          <w:ilvl w:val="0"/>
          <w:numId w:val="35"/>
        </w:numPr>
        <w:rPr>
          <w:rFonts w:ascii="Arial" w:cs="Arial" w:eastAsia="Arial" w:hAnsi="Arial"/>
          <w:sz w:val="19"/>
          <w:szCs w:val="19"/>
          <w:color w:val="auto"/>
        </w:rPr>
      </w:pPr>
      <w:r>
        <w:rPr>
          <w:rFonts w:ascii="Arial" w:cs="Arial" w:eastAsia="Arial" w:hAnsi="Arial"/>
          <w:sz w:val="19"/>
          <w:szCs w:val="19"/>
          <w:color w:val="auto"/>
        </w:rPr>
        <w:t>maintain a continued acceptable safety profile of the product candidates following approval;</w:t>
      </w:r>
    </w:p>
    <w:p>
      <w:pPr>
        <w:spacing w:after="0" w:line="132" w:lineRule="exact"/>
        <w:rPr>
          <w:rFonts w:ascii="Arial" w:cs="Arial" w:eastAsia="Arial" w:hAnsi="Arial"/>
          <w:sz w:val="19"/>
          <w:szCs w:val="19"/>
          <w:color w:val="auto"/>
        </w:rPr>
      </w:pPr>
    </w:p>
    <w:p>
      <w:pPr>
        <w:ind w:left="720" w:right="460" w:hanging="360"/>
        <w:spacing w:after="0" w:line="281" w:lineRule="auto"/>
        <w:tabs>
          <w:tab w:leader="none" w:pos="720" w:val="left"/>
        </w:tabs>
        <w:numPr>
          <w:ilvl w:val="0"/>
          <w:numId w:val="35"/>
        </w:numPr>
        <w:rPr>
          <w:rFonts w:ascii="Arial" w:cs="Arial" w:eastAsia="Arial" w:hAnsi="Arial"/>
          <w:sz w:val="19"/>
          <w:szCs w:val="19"/>
          <w:color w:val="auto"/>
        </w:rPr>
      </w:pPr>
      <w:r>
        <w:rPr>
          <w:rFonts w:ascii="Arial" w:cs="Arial" w:eastAsia="Arial" w:hAnsi="Arial"/>
          <w:sz w:val="19"/>
          <w:szCs w:val="19"/>
          <w:color w:val="auto"/>
        </w:rPr>
        <w:t>obtain and maintain acceptance of the product candidates, if and when approved, by patients, the medical community and third-party payors;</w:t>
      </w:r>
    </w:p>
    <w:p>
      <w:pPr>
        <w:spacing w:after="0" w:line="58" w:lineRule="exact"/>
        <w:rPr>
          <w:rFonts w:ascii="Arial" w:cs="Arial" w:eastAsia="Arial" w:hAnsi="Arial"/>
          <w:sz w:val="19"/>
          <w:szCs w:val="19"/>
          <w:color w:val="auto"/>
        </w:rPr>
      </w:pPr>
    </w:p>
    <w:p>
      <w:pPr>
        <w:ind w:left="720" w:hanging="360"/>
        <w:spacing w:after="0"/>
        <w:tabs>
          <w:tab w:leader="none" w:pos="720" w:val="left"/>
        </w:tabs>
        <w:numPr>
          <w:ilvl w:val="0"/>
          <w:numId w:val="35"/>
        </w:numPr>
        <w:rPr>
          <w:rFonts w:ascii="Arial" w:cs="Arial" w:eastAsia="Arial" w:hAnsi="Arial"/>
          <w:sz w:val="19"/>
          <w:szCs w:val="19"/>
          <w:color w:val="auto"/>
        </w:rPr>
      </w:pPr>
      <w:r>
        <w:rPr>
          <w:rFonts w:ascii="Arial" w:cs="Arial" w:eastAsia="Arial" w:hAnsi="Arial"/>
          <w:sz w:val="19"/>
          <w:szCs w:val="19"/>
          <w:color w:val="auto"/>
        </w:rPr>
        <w:t>position our products to effectively compete with other therapies;</w:t>
      </w:r>
    </w:p>
    <w:p>
      <w:pPr>
        <w:spacing w:after="0" w:line="132" w:lineRule="exact"/>
        <w:rPr>
          <w:rFonts w:ascii="Arial" w:cs="Arial" w:eastAsia="Arial" w:hAnsi="Arial"/>
          <w:sz w:val="19"/>
          <w:szCs w:val="19"/>
          <w:color w:val="auto"/>
        </w:rPr>
      </w:pPr>
    </w:p>
    <w:p>
      <w:pPr>
        <w:ind w:left="720" w:right="420" w:hanging="360"/>
        <w:spacing w:after="0" w:line="281" w:lineRule="auto"/>
        <w:tabs>
          <w:tab w:leader="none" w:pos="720" w:val="left"/>
        </w:tabs>
        <w:numPr>
          <w:ilvl w:val="0"/>
          <w:numId w:val="35"/>
        </w:numPr>
        <w:rPr>
          <w:rFonts w:ascii="Arial" w:cs="Arial" w:eastAsia="Arial" w:hAnsi="Arial"/>
          <w:sz w:val="19"/>
          <w:szCs w:val="19"/>
          <w:color w:val="auto"/>
        </w:rPr>
      </w:pPr>
      <w:r>
        <w:rPr>
          <w:rFonts w:ascii="Arial" w:cs="Arial" w:eastAsia="Arial" w:hAnsi="Arial"/>
          <w:sz w:val="19"/>
          <w:szCs w:val="19"/>
          <w:color w:val="auto"/>
        </w:rPr>
        <w:t>obtain and maintain favorable coverage and adequate reimbursement by third-party payors for our product candidates;</w:t>
      </w:r>
    </w:p>
    <w:p>
      <w:pPr>
        <w:spacing w:after="0" w:line="58" w:lineRule="exact"/>
        <w:rPr>
          <w:rFonts w:ascii="Arial" w:cs="Arial" w:eastAsia="Arial" w:hAnsi="Arial"/>
          <w:sz w:val="19"/>
          <w:szCs w:val="19"/>
          <w:color w:val="auto"/>
        </w:rPr>
      </w:pPr>
    </w:p>
    <w:p>
      <w:pPr>
        <w:ind w:left="720" w:hanging="360"/>
        <w:spacing w:after="0"/>
        <w:tabs>
          <w:tab w:leader="none" w:pos="720" w:val="left"/>
        </w:tabs>
        <w:numPr>
          <w:ilvl w:val="0"/>
          <w:numId w:val="35"/>
        </w:numPr>
        <w:rPr>
          <w:rFonts w:ascii="Arial" w:cs="Arial" w:eastAsia="Arial" w:hAnsi="Arial"/>
          <w:sz w:val="19"/>
          <w:szCs w:val="19"/>
          <w:color w:val="auto"/>
        </w:rPr>
      </w:pPr>
      <w:r>
        <w:rPr>
          <w:rFonts w:ascii="Arial" w:cs="Arial" w:eastAsia="Arial" w:hAnsi="Arial"/>
          <w:sz w:val="19"/>
          <w:szCs w:val="19"/>
          <w:color w:val="auto"/>
        </w:rPr>
        <w:t>enforce and defend intellectual property rights and claims with respect to our product candidates; and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43</w:t>
      </w:r>
    </w:p>
    <w:p>
      <w:pPr>
        <w:sectPr>
          <w:pgSz w:w="12240" w:h="15840" w:orient="portrait"/>
          <w:cols w:equalWidth="0" w:num="1">
            <w:col w:w="10080"/>
          </w:cols>
          <w:pgMar w:left="1080" w:top="1075" w:right="1080" w:bottom="173" w:gutter="0" w:footer="0" w:header="0"/>
        </w:sectPr>
      </w:pPr>
    </w:p>
    <w:bookmarkStart w:id="47" w:name="page48"/>
    <w:bookmarkEnd w:id="47"/>
    <w:p>
      <w:pPr>
        <w:ind w:left="720" w:hanging="360"/>
        <w:spacing w:after="0"/>
        <w:tabs>
          <w:tab w:leader="none" w:pos="720" w:val="left"/>
        </w:tabs>
        <w:numPr>
          <w:ilvl w:val="0"/>
          <w:numId w:val="36"/>
        </w:numPr>
        <w:rPr>
          <w:rFonts w:ascii="Arial" w:cs="Arial" w:eastAsia="Arial" w:hAnsi="Arial"/>
          <w:sz w:val="19"/>
          <w:szCs w:val="19"/>
          <w:color w:val="auto"/>
        </w:rPr>
      </w:pPr>
      <w:r>
        <w:rPr>
          <w:rFonts w:ascii="Arial" w:cs="Arial" w:eastAsia="Arial" w:hAnsi="Arial"/>
          <w:sz w:val="19"/>
          <w:szCs w:val="19"/>
          <w:color w:val="auto"/>
        </w:rPr>
        <w:t>hire additional staff, including clinical, scientific and management personnel.</w:t>
      </w:r>
    </w:p>
    <w:p>
      <w:pPr>
        <w:spacing w:after="0" w:line="120" w:lineRule="exact"/>
        <w:rPr>
          <w:sz w:val="20"/>
          <w:szCs w:val="20"/>
          <w:color w:val="auto"/>
        </w:rPr>
      </w:pPr>
    </w:p>
    <w:p>
      <w:pPr>
        <w:ind w:right="120"/>
        <w:spacing w:after="0" w:line="260" w:lineRule="auto"/>
        <w:rPr>
          <w:sz w:val="20"/>
          <w:szCs w:val="20"/>
          <w:color w:val="auto"/>
        </w:rPr>
      </w:pPr>
      <w:r>
        <w:rPr>
          <w:rFonts w:ascii="Arial" w:cs="Arial" w:eastAsia="Arial" w:hAnsi="Arial"/>
          <w:sz w:val="19"/>
          <w:szCs w:val="19"/>
          <w:color w:val="auto"/>
        </w:rPr>
        <w:t>If we do not achieve one or more of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w:t>
      </w:r>
    </w:p>
    <w:p>
      <w:pPr>
        <w:spacing w:after="0" w:line="69" w:lineRule="exact"/>
        <w:rPr>
          <w:sz w:val="20"/>
          <w:szCs w:val="20"/>
          <w:color w:val="auto"/>
        </w:rPr>
      </w:pPr>
    </w:p>
    <w:p>
      <w:pPr>
        <w:ind w:right="120"/>
        <w:spacing w:after="0" w:line="255" w:lineRule="auto"/>
        <w:rPr>
          <w:sz w:val="20"/>
          <w:szCs w:val="20"/>
          <w:color w:val="auto"/>
        </w:rPr>
      </w:pPr>
      <w:r>
        <w:rPr>
          <w:rFonts w:ascii="Arial" w:cs="Arial" w:eastAsia="Arial" w:hAnsi="Arial"/>
          <w:sz w:val="19"/>
          <w:szCs w:val="19"/>
          <w:b w:val="1"/>
          <w:bCs w:val="1"/>
          <w:i w:val="1"/>
          <w:iCs w:val="1"/>
          <w:color w:val="auto"/>
        </w:rPr>
        <w:t>There is substantial doubt regarding our ability to continue as a going concern. We will need to raise substantial additional funding, which may not be available on acceptable terms, or at all. If we are unable to raise capital when needed, we would be forced to delay, reduce or eliminate some of our product development programs or commercialization efforts.</w:t>
      </w:r>
    </w:p>
    <w:p>
      <w:pPr>
        <w:spacing w:after="0" w:line="61" w:lineRule="exact"/>
        <w:rPr>
          <w:sz w:val="20"/>
          <w:szCs w:val="20"/>
          <w:color w:val="auto"/>
        </w:rPr>
      </w:pPr>
    </w:p>
    <w:p>
      <w:pPr>
        <w:spacing w:after="0" w:line="243" w:lineRule="auto"/>
        <w:rPr>
          <w:sz w:val="20"/>
          <w:szCs w:val="20"/>
          <w:color w:val="auto"/>
        </w:rPr>
      </w:pPr>
      <w:r>
        <w:rPr>
          <w:rFonts w:ascii="Arial" w:cs="Arial" w:eastAsia="Arial" w:hAnsi="Arial"/>
          <w:sz w:val="19"/>
          <w:szCs w:val="19"/>
          <w:color w:val="auto"/>
        </w:rPr>
        <w:t>The development of pharmaceutical products is capital-intensive. We are currently advancing our product candidates through clinical development across a number of potential indications. We expect our expenses to significantly increase in connection with our ongoing activities, particularly as we continue our ongoing clinical trials or initiate future trials and pursue the research and development of, and seek marketing approval for, our product candidates. In addition, depending on the status of regulatory approval or, if we obtain marketing approval for any of our product candidates, we expect to incur significant commercialization expenses related to product sales, marketing, manufacturing and distribution. We may also need to raise additional funds sooner if we choose to pursue additional indications and/or geographies for our product candidates or otherwise expand more rapidly than we presently anticipate. Furthermore, we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certain of our research and development programs or future commercialization efforts, and may be unable to expand our operations or otherwise capitalize on our business opportunities, as desired, which could materially affect our business, financial condition and results of operations.</w:t>
      </w:r>
    </w:p>
    <w:p>
      <w:pPr>
        <w:spacing w:after="0" w:line="84" w:lineRule="exact"/>
        <w:rPr>
          <w:sz w:val="20"/>
          <w:szCs w:val="20"/>
          <w:color w:val="auto"/>
        </w:rPr>
      </w:pPr>
    </w:p>
    <w:p>
      <w:pPr>
        <w:ind w:right="40"/>
        <w:spacing w:after="0" w:line="260" w:lineRule="auto"/>
        <w:rPr>
          <w:sz w:val="20"/>
          <w:szCs w:val="20"/>
          <w:color w:val="auto"/>
        </w:rPr>
      </w:pPr>
      <w:r>
        <w:rPr>
          <w:rFonts w:ascii="Arial" w:cs="Arial" w:eastAsia="Arial" w:hAnsi="Arial"/>
          <w:sz w:val="19"/>
          <w:szCs w:val="19"/>
          <w:color w:val="auto"/>
        </w:rPr>
        <w:t>We expect that our existing cash and cash equivalents will be sufficient to fund our current operating plan into the fourth quarter of 2024. However, our future capital requirements will depend on and could increase significantly as a result of many factors, including:</w:t>
      </w:r>
    </w:p>
    <w:p>
      <w:pPr>
        <w:spacing w:after="0" w:line="78" w:lineRule="exact"/>
        <w:rPr>
          <w:sz w:val="20"/>
          <w:szCs w:val="20"/>
          <w:color w:val="auto"/>
        </w:rPr>
      </w:pPr>
    </w:p>
    <w:p>
      <w:pPr>
        <w:jc w:val="both"/>
        <w:ind w:left="720" w:right="300" w:hanging="360"/>
        <w:spacing w:after="0" w:line="260" w:lineRule="auto"/>
        <w:tabs>
          <w:tab w:leader="none" w:pos="720"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scope, progress, results and costs of product discovery, preclinical and clinical development, laboratory testing, manufacturing and clinical trials for the development of CAN-2409, CAN-3110, or our other potential product candidates;</w:t>
      </w:r>
    </w:p>
    <w:p>
      <w:pPr>
        <w:spacing w:after="0" w:line="78" w:lineRule="exact"/>
        <w:rPr>
          <w:rFonts w:ascii="Arial" w:cs="Arial" w:eastAsia="Arial" w:hAnsi="Arial"/>
          <w:sz w:val="19"/>
          <w:szCs w:val="19"/>
          <w:color w:val="auto"/>
        </w:rPr>
      </w:pPr>
    </w:p>
    <w:p>
      <w:pPr>
        <w:ind w:left="720" w:right="40" w:hanging="360"/>
        <w:spacing w:after="0" w:line="253" w:lineRule="auto"/>
        <w:tabs>
          <w:tab w:leader="none" w:pos="720"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timing of, and the costs involved in, obtaining marketing approvals for CAN-2409 in newly diagnosed localized prostate cancer, NSCLC, and borderline resectable pancreatic cancer as well as for CAN-3110 in our initial target indication of recurrent high-grade glioma (HGG) and our other potential product candidates that we may develop;</w:t>
      </w:r>
    </w:p>
    <w:p>
      <w:pPr>
        <w:spacing w:after="0" w:line="85" w:lineRule="exact"/>
        <w:rPr>
          <w:rFonts w:ascii="Arial" w:cs="Arial" w:eastAsia="Arial" w:hAnsi="Arial"/>
          <w:sz w:val="19"/>
          <w:szCs w:val="19"/>
          <w:color w:val="auto"/>
        </w:rPr>
      </w:pPr>
    </w:p>
    <w:p>
      <w:pPr>
        <w:ind w:left="720" w:right="180" w:hanging="360"/>
        <w:spacing w:after="0" w:line="253" w:lineRule="auto"/>
        <w:tabs>
          <w:tab w:leader="none" w:pos="720" w:val="left"/>
        </w:tabs>
        <w:numPr>
          <w:ilvl w:val="0"/>
          <w:numId w:val="37"/>
        </w:numPr>
        <w:rPr>
          <w:rFonts w:ascii="Arial" w:cs="Arial" w:eastAsia="Arial" w:hAnsi="Arial"/>
          <w:sz w:val="19"/>
          <w:szCs w:val="19"/>
          <w:color w:val="auto"/>
        </w:rPr>
      </w:pPr>
      <w:r>
        <w:rPr>
          <w:rFonts w:ascii="Arial" w:cs="Arial" w:eastAsia="Arial" w:hAnsi="Arial"/>
          <w:sz w:val="19"/>
          <w:szCs w:val="19"/>
          <w:color w:val="auto"/>
        </w:rPr>
        <w:t>if approved, the costs of commercialization activities for CAN-2409 or CAN-3110 for any approved indications or any other product candidate that receives regulatory approval to the extent such costs are not the responsibility of a collaborator that we may contract with in the future, including the costs and timing of establishing product sales, marketing, distribution and manufacturing capabilities;</w:t>
      </w:r>
    </w:p>
    <w:p>
      <w:pPr>
        <w:spacing w:after="0" w:line="85" w:lineRule="exact"/>
        <w:rPr>
          <w:rFonts w:ascii="Arial" w:cs="Arial" w:eastAsia="Arial" w:hAnsi="Arial"/>
          <w:sz w:val="19"/>
          <w:szCs w:val="19"/>
          <w:color w:val="auto"/>
        </w:rPr>
      </w:pPr>
    </w:p>
    <w:p>
      <w:pPr>
        <w:ind w:left="720" w:hanging="360"/>
        <w:spacing w:after="0"/>
        <w:tabs>
          <w:tab w:leader="none" w:pos="720"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scope, prioritization and number of our research and development programs;</w:t>
      </w:r>
    </w:p>
    <w:p>
      <w:pPr>
        <w:spacing w:after="0" w:line="132" w:lineRule="exact"/>
        <w:rPr>
          <w:rFonts w:ascii="Arial" w:cs="Arial" w:eastAsia="Arial" w:hAnsi="Arial"/>
          <w:sz w:val="19"/>
          <w:szCs w:val="19"/>
          <w:color w:val="auto"/>
        </w:rPr>
      </w:pPr>
    </w:p>
    <w:p>
      <w:pPr>
        <w:ind w:left="720" w:hanging="360"/>
        <w:spacing w:after="0"/>
        <w:tabs>
          <w:tab w:leader="none" w:pos="720"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costs, timing and outcome of regulatory review of our product candidates;</w:t>
      </w:r>
    </w:p>
    <w:p>
      <w:pPr>
        <w:spacing w:after="0" w:line="132" w:lineRule="exact"/>
        <w:rPr>
          <w:rFonts w:ascii="Arial" w:cs="Arial" w:eastAsia="Arial" w:hAnsi="Arial"/>
          <w:sz w:val="19"/>
          <w:szCs w:val="19"/>
          <w:color w:val="auto"/>
        </w:rPr>
      </w:pPr>
    </w:p>
    <w:p>
      <w:pPr>
        <w:ind w:left="720" w:hanging="360"/>
        <w:spacing w:after="0"/>
        <w:tabs>
          <w:tab w:leader="none" w:pos="720" w:val="left"/>
        </w:tabs>
        <w:numPr>
          <w:ilvl w:val="0"/>
          <w:numId w:val="37"/>
        </w:numPr>
        <w:rPr>
          <w:rFonts w:ascii="Arial" w:cs="Arial" w:eastAsia="Arial" w:hAnsi="Arial"/>
          <w:sz w:val="19"/>
          <w:szCs w:val="19"/>
          <w:color w:val="auto"/>
        </w:rPr>
      </w:pPr>
      <w:r>
        <w:rPr>
          <w:rFonts w:ascii="Arial" w:cs="Arial" w:eastAsia="Arial" w:hAnsi="Arial"/>
          <w:sz w:val="19"/>
          <w:szCs w:val="19"/>
          <w:color w:val="auto"/>
        </w:rPr>
        <w:t>our ability to establish and maintain additional collaborations on favorable terms, if at all;</w:t>
      </w:r>
    </w:p>
    <w:p>
      <w:pPr>
        <w:spacing w:after="0" w:line="132" w:lineRule="exact"/>
        <w:rPr>
          <w:rFonts w:ascii="Arial" w:cs="Arial" w:eastAsia="Arial" w:hAnsi="Arial"/>
          <w:sz w:val="19"/>
          <w:szCs w:val="19"/>
          <w:color w:val="auto"/>
        </w:rPr>
      </w:pPr>
    </w:p>
    <w:p>
      <w:pPr>
        <w:ind w:left="720" w:right="40" w:hanging="360"/>
        <w:spacing w:after="0" w:line="281" w:lineRule="auto"/>
        <w:tabs>
          <w:tab w:leader="none" w:pos="720"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achievement of milestones or occurrence of other developments that trigger payments under any additional collaboration agreements we may enter into;</w:t>
      </w:r>
    </w:p>
    <w:p>
      <w:pPr>
        <w:spacing w:after="0" w:line="58" w:lineRule="exact"/>
        <w:rPr>
          <w:rFonts w:ascii="Arial" w:cs="Arial" w:eastAsia="Arial" w:hAnsi="Arial"/>
          <w:sz w:val="19"/>
          <w:szCs w:val="19"/>
          <w:color w:val="auto"/>
        </w:rPr>
      </w:pPr>
    </w:p>
    <w:p>
      <w:pPr>
        <w:ind w:left="720" w:right="460" w:hanging="360"/>
        <w:spacing w:after="0" w:line="281" w:lineRule="auto"/>
        <w:tabs>
          <w:tab w:leader="none" w:pos="720"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extent to which we are obligated to reimburse, or entitled to reimbursement of, clinical trial costs under future collaboration agreements, if any;</w:t>
      </w:r>
    </w:p>
    <w:p>
      <w:pPr>
        <w:spacing w:after="0" w:line="58" w:lineRule="exact"/>
        <w:rPr>
          <w:rFonts w:ascii="Arial" w:cs="Arial" w:eastAsia="Arial" w:hAnsi="Arial"/>
          <w:sz w:val="19"/>
          <w:szCs w:val="19"/>
          <w:color w:val="auto"/>
        </w:rPr>
      </w:pPr>
    </w:p>
    <w:p>
      <w:pPr>
        <w:ind w:left="720" w:right="440" w:hanging="360"/>
        <w:spacing w:after="0" w:line="281" w:lineRule="auto"/>
        <w:tabs>
          <w:tab w:leader="none" w:pos="720"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costs of preparing, filing and prosecuting patent applications, maintaining and enforcing our intellectual property rights and defending intellectual property-related claims;</w:t>
      </w:r>
    </w:p>
    <w:p>
      <w:pPr>
        <w:spacing w:after="0" w:line="58" w:lineRule="exact"/>
        <w:rPr>
          <w:rFonts w:ascii="Arial" w:cs="Arial" w:eastAsia="Arial" w:hAnsi="Arial"/>
          <w:sz w:val="19"/>
          <w:szCs w:val="19"/>
          <w:color w:val="auto"/>
        </w:rPr>
      </w:pPr>
    </w:p>
    <w:p>
      <w:pPr>
        <w:ind w:left="720" w:hanging="360"/>
        <w:spacing w:after="0"/>
        <w:tabs>
          <w:tab w:leader="none" w:pos="720"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extent to which we acquire or in-license other product candidates and technologies;</w:t>
      </w:r>
    </w:p>
    <w:p>
      <w:pPr>
        <w:spacing w:after="0" w:line="132" w:lineRule="exact"/>
        <w:rPr>
          <w:rFonts w:ascii="Arial" w:cs="Arial" w:eastAsia="Arial" w:hAnsi="Arial"/>
          <w:sz w:val="19"/>
          <w:szCs w:val="19"/>
          <w:color w:val="auto"/>
        </w:rPr>
      </w:pPr>
    </w:p>
    <w:p>
      <w:pPr>
        <w:ind w:left="720" w:hanging="360"/>
        <w:spacing w:after="0"/>
        <w:tabs>
          <w:tab w:leader="none" w:pos="720"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costs of securing manufacturing arrangements for commercial production;</w:t>
      </w:r>
    </w:p>
    <w:p>
      <w:pPr>
        <w:spacing w:after="0" w:line="132" w:lineRule="exact"/>
        <w:rPr>
          <w:rFonts w:ascii="Arial" w:cs="Arial" w:eastAsia="Arial" w:hAnsi="Arial"/>
          <w:sz w:val="19"/>
          <w:szCs w:val="19"/>
          <w:color w:val="auto"/>
        </w:rPr>
      </w:pPr>
    </w:p>
    <w:p>
      <w:pPr>
        <w:ind w:left="720" w:right="20" w:hanging="360"/>
        <w:spacing w:after="0" w:line="281" w:lineRule="auto"/>
        <w:tabs>
          <w:tab w:leader="none" w:pos="720"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emergence of competing viral immunotherapies as well as immuno-oncology therapies in general and other adverse market developments;</w:t>
      </w:r>
    </w:p>
    <w:p>
      <w:pPr>
        <w:spacing w:after="0" w:line="58" w:lineRule="exact"/>
        <w:rPr>
          <w:rFonts w:ascii="Arial" w:cs="Arial" w:eastAsia="Arial" w:hAnsi="Arial"/>
          <w:sz w:val="19"/>
          <w:szCs w:val="19"/>
          <w:color w:val="auto"/>
        </w:rPr>
      </w:pPr>
    </w:p>
    <w:p>
      <w:pPr>
        <w:ind w:left="720" w:hanging="360"/>
        <w:spacing w:after="0"/>
        <w:tabs>
          <w:tab w:leader="none" w:pos="720"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costs of establishing clinical manufacturing operations through CDMOs;</w:t>
      </w:r>
    </w:p>
    <w:p>
      <w:pPr>
        <w:spacing w:after="0" w:line="132" w:lineRule="exact"/>
        <w:rPr>
          <w:rFonts w:ascii="Arial" w:cs="Arial" w:eastAsia="Arial" w:hAnsi="Arial"/>
          <w:sz w:val="19"/>
          <w:szCs w:val="19"/>
          <w:color w:val="auto"/>
        </w:rPr>
      </w:pPr>
    </w:p>
    <w:p>
      <w:pPr>
        <w:ind w:left="720" w:right="100" w:hanging="360"/>
        <w:spacing w:after="0" w:line="281" w:lineRule="auto"/>
        <w:tabs>
          <w:tab w:leader="none" w:pos="720"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costs of establishing or contracting for sales and marketing capabilities if we obtain regulatory approvals to market our product candidates; and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44</w:t>
      </w:r>
    </w:p>
    <w:p>
      <w:pPr>
        <w:sectPr>
          <w:pgSz w:w="12240" w:h="15840" w:orient="portrait"/>
          <w:cols w:equalWidth="0" w:num="1">
            <w:col w:w="10080"/>
          </w:cols>
          <w:pgMar w:left="1080" w:top="1075" w:right="1080" w:bottom="173" w:gutter="0" w:footer="0" w:header="0"/>
        </w:sectPr>
      </w:pPr>
    </w:p>
    <w:bookmarkStart w:id="48" w:name="page49"/>
    <w:bookmarkEnd w:id="48"/>
    <w:p>
      <w:pPr>
        <w:ind w:left="720" w:right="460" w:hanging="360"/>
        <w:spacing w:after="0" w:line="281" w:lineRule="auto"/>
        <w:tabs>
          <w:tab w:leader="none" w:pos="720" w:val="left"/>
        </w:tabs>
        <w:numPr>
          <w:ilvl w:val="0"/>
          <w:numId w:val="38"/>
        </w:numPr>
        <w:rPr>
          <w:rFonts w:ascii="Arial" w:cs="Arial" w:eastAsia="Arial" w:hAnsi="Arial"/>
          <w:sz w:val="19"/>
          <w:szCs w:val="19"/>
          <w:color w:val="auto"/>
        </w:rPr>
      </w:pPr>
      <w:r>
        <w:rPr>
          <w:rFonts w:ascii="Arial" w:cs="Arial" w:eastAsia="Arial" w:hAnsi="Arial"/>
          <w:sz w:val="19"/>
          <w:szCs w:val="19"/>
          <w:color w:val="auto"/>
        </w:rPr>
        <w:t>the impact of any future public health crisis, which may exacerbate the magnitude of the factors discussed above.</w:t>
      </w:r>
    </w:p>
    <w:p>
      <w:pPr>
        <w:spacing w:after="0" w:line="45" w:lineRule="exact"/>
        <w:rPr>
          <w:sz w:val="20"/>
          <w:szCs w:val="20"/>
          <w:color w:val="auto"/>
        </w:rPr>
      </w:pPr>
    </w:p>
    <w:p>
      <w:pPr>
        <w:ind w:right="160"/>
        <w:spacing w:after="0" w:line="248" w:lineRule="auto"/>
        <w:rPr>
          <w:sz w:val="20"/>
          <w:szCs w:val="20"/>
          <w:color w:val="auto"/>
        </w:rPr>
      </w:pPr>
      <w:r>
        <w:rPr>
          <w:rFonts w:ascii="Arial" w:cs="Arial" w:eastAsia="Arial" w:hAnsi="Arial"/>
          <w:sz w:val="19"/>
          <w:szCs w:val="19"/>
          <w:color w:val="auto"/>
        </w:rPr>
        <w:t>Identifying potential product candidates and conducting preclinical development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at all. Accordingly, we will need to continue to rely on additional financing to achieve our business objectives.</w:t>
      </w:r>
    </w:p>
    <w:p>
      <w:pPr>
        <w:spacing w:after="0" w:line="76" w:lineRule="exact"/>
        <w:rPr>
          <w:sz w:val="20"/>
          <w:szCs w:val="20"/>
          <w:color w:val="auto"/>
        </w:rPr>
      </w:pPr>
    </w:p>
    <w:p>
      <w:pPr>
        <w:ind w:right="20"/>
        <w:spacing w:after="0" w:line="245" w:lineRule="auto"/>
        <w:rPr>
          <w:sz w:val="20"/>
          <w:szCs w:val="20"/>
          <w:color w:val="auto"/>
        </w:rPr>
      </w:pPr>
      <w:r>
        <w:rPr>
          <w:rFonts w:ascii="Arial" w:cs="Arial" w:eastAsia="Arial" w:hAnsi="Arial"/>
          <w:sz w:val="19"/>
          <w:szCs w:val="19"/>
          <w:color w:val="auto"/>
        </w:rPr>
        <w:t>As of December 31, 2023, our cash and cash equivalents were $35.4 million. Based on our current business plan, there is substantial doubt regarding our ability to continue as a going concern for a period of one year after the date that our financial statements for the year ended December 31, 2023 are issued and we need to raise significant amounts of additional funding to complete all of our ongoing trials and execute on our business plan. Financing may not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In addition, our efforts to raise additional capital may divert our management from their day-to-day activities, which may adversely affect our ability to develop our product candidates in a timely manner.</w:t>
      </w:r>
    </w:p>
    <w:p>
      <w:pPr>
        <w:spacing w:after="0" w:line="79" w:lineRule="exact"/>
        <w:rPr>
          <w:sz w:val="20"/>
          <w:szCs w:val="20"/>
          <w:color w:val="auto"/>
        </w:rPr>
      </w:pPr>
    </w:p>
    <w:p>
      <w:pPr>
        <w:ind w:right="60"/>
        <w:spacing w:after="0" w:line="245" w:lineRule="auto"/>
        <w:rPr>
          <w:sz w:val="20"/>
          <w:szCs w:val="20"/>
          <w:color w:val="auto"/>
        </w:rPr>
      </w:pPr>
      <w:r>
        <w:rPr>
          <w:rFonts w:ascii="Arial" w:cs="Arial" w:eastAsia="Arial" w:hAnsi="Arial"/>
          <w:sz w:val="19"/>
          <w:szCs w:val="19"/>
          <w:color w:val="auto"/>
        </w:rPr>
        <w:t>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84" w:lineRule="exact"/>
        <w:rPr>
          <w:sz w:val="20"/>
          <w:szCs w:val="20"/>
          <w:color w:val="auto"/>
        </w:rPr>
      </w:pPr>
    </w:p>
    <w:p>
      <w:pPr>
        <w:ind w:right="40"/>
        <w:spacing w:after="0" w:line="250" w:lineRule="auto"/>
        <w:rPr>
          <w:sz w:val="20"/>
          <w:szCs w:val="20"/>
          <w:color w:val="auto"/>
        </w:rPr>
      </w:pPr>
      <w:r>
        <w:rPr>
          <w:rFonts w:ascii="Arial" w:cs="Arial" w:eastAsia="Arial" w:hAnsi="Arial"/>
          <w:sz w:val="19"/>
          <w:szCs w:val="19"/>
          <w:color w:val="auto"/>
        </w:rPr>
        <w:t>If we are unable to obtain adequate funding on a timely basis, we may be required to revise our business plan and strategy and potentially curtail, delay, or discontinue one or more of our clinical trials, our research efforts, product development, future commercialization efforts, or may result in our being unable to expand our operations or otherwise capitalize on our business opportunities. As a result, our business, financial condition and results of operations could be materially affected.</w:t>
      </w:r>
    </w:p>
    <w:p>
      <w:pPr>
        <w:spacing w:after="0" w:line="78" w:lineRule="exact"/>
        <w:rPr>
          <w:sz w:val="20"/>
          <w:szCs w:val="20"/>
          <w:color w:val="auto"/>
        </w:rPr>
      </w:pPr>
    </w:p>
    <w:p>
      <w:pPr>
        <w:ind w:right="440"/>
        <w:spacing w:after="0" w:line="287" w:lineRule="auto"/>
        <w:rPr>
          <w:sz w:val="20"/>
          <w:szCs w:val="20"/>
          <w:color w:val="auto"/>
        </w:rPr>
      </w:pPr>
      <w:r>
        <w:rPr>
          <w:rFonts w:ascii="Arial" w:cs="Arial" w:eastAsia="Arial" w:hAnsi="Arial"/>
          <w:sz w:val="19"/>
          <w:szCs w:val="19"/>
          <w:b w:val="1"/>
          <w:bCs w:val="1"/>
          <w:i w:val="1"/>
          <w:iCs w:val="1"/>
          <w:color w:val="auto"/>
        </w:rPr>
        <w:t>Our corporate restructuring and the associated headcount reduction may not result in anticipated savings, could result in total costs and expenses that are greater than expected and could disrupt our business.</w:t>
      </w:r>
    </w:p>
    <w:p>
      <w:pPr>
        <w:spacing w:after="0" w:line="30" w:lineRule="exact"/>
        <w:rPr>
          <w:sz w:val="20"/>
          <w:szCs w:val="20"/>
          <w:color w:val="auto"/>
        </w:rPr>
      </w:pPr>
    </w:p>
    <w:p>
      <w:pPr>
        <w:spacing w:after="0" w:line="245" w:lineRule="auto"/>
        <w:rPr>
          <w:sz w:val="20"/>
          <w:szCs w:val="20"/>
          <w:color w:val="auto"/>
        </w:rPr>
      </w:pPr>
      <w:r>
        <w:rPr>
          <w:rFonts w:ascii="Arial" w:cs="Arial" w:eastAsia="Arial" w:hAnsi="Arial"/>
          <w:sz w:val="19"/>
          <w:szCs w:val="19"/>
          <w:color w:val="auto"/>
        </w:rPr>
        <w:t>In November 2023, we undertook an organizational restructuring that significantly reduced our workforce. We may not realize, in full or in part, the anticipated benefits, savings and improvements in our cost structure from our restructuring efforts due to unforeseen difficulties, delays or unexpected costs. If we are unable to realize the expected operational efficiencies and cost savings from the restructuring, our operating results and financial condition would be adversely affected. Furthermore, our restructuring plan may be disruptive to our operations. For example, our headcount reductions could yield unanticipated consequences, such as increased difficulties in implementing our business strategy, including retention of our remaining employees. Our restructuring may lead to employee litigation related to the headcount reduction, which could be costly and prevent management from fully concentrating on the business.</w:t>
      </w:r>
    </w:p>
    <w:p>
      <w:pPr>
        <w:spacing w:after="0" w:line="84" w:lineRule="exact"/>
        <w:rPr>
          <w:sz w:val="20"/>
          <w:szCs w:val="20"/>
          <w:color w:val="auto"/>
        </w:rPr>
      </w:pPr>
    </w:p>
    <w:p>
      <w:pPr>
        <w:ind w:right="40"/>
        <w:spacing w:after="0" w:line="244" w:lineRule="auto"/>
        <w:rPr>
          <w:sz w:val="20"/>
          <w:szCs w:val="20"/>
          <w:color w:val="auto"/>
        </w:rPr>
      </w:pPr>
      <w:r>
        <w:rPr>
          <w:rFonts w:ascii="Arial" w:cs="Arial" w:eastAsia="Arial" w:hAnsi="Arial"/>
          <w:sz w:val="19"/>
          <w:szCs w:val="19"/>
          <w:color w:val="auto"/>
        </w:rPr>
        <w:t>Any future growth would impose significant added responsibilities on members of management, including the need to identify, recruit, maintain and integrate additional employees. Due to our limited resources, we may not be able to effectively manage our operations or recruit and retain qualified personnel, which may result in weaknesses in our infrastructure and operations, risks that we may not be able to comply with legal and regulatory requirements, and loss of employees and reduced productivity among remaining employees. For example, the workforce reduction may negatively impact our clinical, regulatory, technical operations, and commercial functions, should we choose to continue to pursue them, which would have a negative impact on our ability to successfully develop, and ultimately, commercialize our product candidates. Our future financial performance and our ability to develop our product candidates or additional assets will depend, in part, on our ability to effectively manage any future growth or restructuring, as the case may be.</w:t>
      </w:r>
    </w:p>
    <w:p>
      <w:pPr>
        <w:spacing w:after="0" w:line="88" w:lineRule="exact"/>
        <w:rPr>
          <w:sz w:val="20"/>
          <w:szCs w:val="20"/>
          <w:color w:val="auto"/>
        </w:rPr>
      </w:pPr>
    </w:p>
    <w:p>
      <w:pPr>
        <w:ind w:right="240"/>
        <w:spacing w:after="0" w:line="287" w:lineRule="auto"/>
        <w:rPr>
          <w:sz w:val="20"/>
          <w:szCs w:val="20"/>
          <w:color w:val="auto"/>
        </w:rPr>
      </w:pPr>
      <w:r>
        <w:rPr>
          <w:rFonts w:ascii="Arial" w:cs="Arial" w:eastAsia="Arial" w:hAnsi="Arial"/>
          <w:sz w:val="19"/>
          <w:szCs w:val="19"/>
          <w:b w:val="1"/>
          <w:bCs w:val="1"/>
          <w:i w:val="1"/>
          <w:iCs w:val="1"/>
          <w:color w:val="auto"/>
        </w:rPr>
        <w:t>We have incurred indebtedness, and we may incur additional indebtedness, which could adversely affect our financial condition.</w:t>
      </w:r>
    </w:p>
    <w:p>
      <w:pPr>
        <w:spacing w:after="0" w:line="30" w:lineRule="exact"/>
        <w:rPr>
          <w:sz w:val="20"/>
          <w:szCs w:val="20"/>
          <w:color w:val="auto"/>
        </w:rPr>
      </w:pPr>
    </w:p>
    <w:p>
      <w:pPr>
        <w:jc w:val="both"/>
        <w:ind w:right="120"/>
        <w:spacing w:after="0" w:line="260" w:lineRule="auto"/>
        <w:rPr>
          <w:sz w:val="20"/>
          <w:szCs w:val="20"/>
          <w:color w:val="auto"/>
        </w:rPr>
      </w:pPr>
      <w:r>
        <w:rPr>
          <w:rFonts w:ascii="Arial" w:cs="Arial" w:eastAsia="Arial" w:hAnsi="Arial"/>
          <w:sz w:val="19"/>
          <w:szCs w:val="19"/>
          <w:color w:val="auto"/>
        </w:rPr>
        <w:t>On February 24, 2022, we entered into a loan and security agreement (the Loan Agreement) with Silicon Valley Bank, as lender (SVB), pursuant to which SVB has agreed to provide term loans to us in an aggregate principal amount of up to $25.0 million. Our indebtedness could have important consequences to our stockholders. For example, it:</w:t>
      </w:r>
    </w:p>
    <w:p>
      <w:pPr>
        <w:spacing w:after="0" w:line="78" w:lineRule="exact"/>
        <w:rPr>
          <w:sz w:val="20"/>
          <w:szCs w:val="20"/>
          <w:color w:val="auto"/>
        </w:rPr>
      </w:pPr>
    </w:p>
    <w:p>
      <w:pPr>
        <w:ind w:left="4940" w:right="2620" w:hanging="4580"/>
        <w:spacing w:after="0" w:line="677" w:lineRule="auto"/>
        <w:tabs>
          <w:tab w:leader="none" w:pos="726" w:val="left"/>
        </w:tabs>
        <w:numPr>
          <w:ilvl w:val="0"/>
          <w:numId w:val="39"/>
        </w:numPr>
        <w:rPr>
          <w:rFonts w:ascii="Arial" w:cs="Arial" w:eastAsia="Arial" w:hAnsi="Arial"/>
          <w:sz w:val="19"/>
          <w:szCs w:val="19"/>
          <w:color w:val="auto"/>
        </w:rPr>
      </w:pPr>
      <w:r>
        <w:rPr>
          <w:rFonts w:ascii="Arial" w:cs="Arial" w:eastAsia="Arial" w:hAnsi="Arial"/>
          <w:sz w:val="19"/>
          <w:szCs w:val="19"/>
          <w:color w:val="auto"/>
        </w:rPr>
        <w:t>increases our vulnerability to adverse general economic and industry conditions; 45</w:t>
      </w:r>
    </w:p>
    <w:p>
      <w:pPr>
        <w:sectPr>
          <w:pgSz w:w="12240" w:h="15840" w:orient="portrait"/>
          <w:cols w:equalWidth="0" w:num="1">
            <w:col w:w="10080"/>
          </w:cols>
          <w:pgMar w:left="1080" w:top="1075" w:right="1080" w:bottom="0" w:gutter="0" w:footer="0" w:header="0"/>
        </w:sectPr>
      </w:pPr>
    </w:p>
    <w:bookmarkStart w:id="49" w:name="page50"/>
    <w:bookmarkEnd w:id="49"/>
    <w:p>
      <w:pPr>
        <w:ind w:left="720" w:right="60" w:hanging="360"/>
        <w:spacing w:after="0" w:line="260" w:lineRule="auto"/>
        <w:tabs>
          <w:tab w:leader="none" w:pos="720" w:val="left"/>
        </w:tabs>
        <w:numPr>
          <w:ilvl w:val="0"/>
          <w:numId w:val="40"/>
        </w:numPr>
        <w:rPr>
          <w:rFonts w:ascii="Arial" w:cs="Arial" w:eastAsia="Arial" w:hAnsi="Arial"/>
          <w:sz w:val="19"/>
          <w:szCs w:val="19"/>
          <w:color w:val="auto"/>
        </w:rPr>
      </w:pPr>
      <w:r>
        <w:rPr>
          <w:rFonts w:ascii="Arial" w:cs="Arial" w:eastAsia="Arial" w:hAnsi="Arial"/>
          <w:sz w:val="19"/>
          <w:szCs w:val="19"/>
          <w:color w:val="auto"/>
        </w:rPr>
        <w:t>limits our flexibility in planning for, or reacting to, changes in our business or the industries in which we operate by restricting our ability to make acquisitions, investments or divestments, or take other corporate actions quickly; and</w:t>
      </w:r>
    </w:p>
    <w:p>
      <w:pPr>
        <w:spacing w:after="0" w:line="78" w:lineRule="exact"/>
        <w:rPr>
          <w:rFonts w:ascii="Arial" w:cs="Arial" w:eastAsia="Arial" w:hAnsi="Arial"/>
          <w:sz w:val="19"/>
          <w:szCs w:val="19"/>
          <w:color w:val="auto"/>
        </w:rPr>
      </w:pPr>
    </w:p>
    <w:p>
      <w:pPr>
        <w:ind w:left="720" w:right="560" w:hanging="360"/>
        <w:spacing w:after="0" w:line="281" w:lineRule="auto"/>
        <w:tabs>
          <w:tab w:leader="none" w:pos="720" w:val="left"/>
        </w:tabs>
        <w:numPr>
          <w:ilvl w:val="0"/>
          <w:numId w:val="40"/>
        </w:numPr>
        <w:rPr>
          <w:rFonts w:ascii="Arial" w:cs="Arial" w:eastAsia="Arial" w:hAnsi="Arial"/>
          <w:sz w:val="19"/>
          <w:szCs w:val="19"/>
          <w:color w:val="auto"/>
        </w:rPr>
      </w:pPr>
      <w:r>
        <w:rPr>
          <w:rFonts w:ascii="Arial" w:cs="Arial" w:eastAsia="Arial" w:hAnsi="Arial"/>
          <w:sz w:val="19"/>
          <w:szCs w:val="19"/>
          <w:color w:val="auto"/>
        </w:rPr>
        <w:t>limits our ability to obtain additional financing or refinancing in the future for working capital, clinical trials, research and development, or other purposes.</w:t>
      </w:r>
    </w:p>
    <w:p>
      <w:pPr>
        <w:spacing w:after="0" w:line="45" w:lineRule="exact"/>
        <w:rPr>
          <w:sz w:val="20"/>
          <w:szCs w:val="20"/>
          <w:color w:val="auto"/>
        </w:rPr>
      </w:pPr>
    </w:p>
    <w:p>
      <w:pPr>
        <w:ind w:right="140"/>
        <w:spacing w:after="0" w:line="246" w:lineRule="auto"/>
        <w:rPr>
          <w:sz w:val="20"/>
          <w:szCs w:val="20"/>
          <w:color w:val="auto"/>
        </w:rPr>
      </w:pPr>
      <w:r>
        <w:rPr>
          <w:rFonts w:ascii="Arial" w:cs="Arial" w:eastAsia="Arial" w:hAnsi="Arial"/>
          <w:sz w:val="19"/>
          <w:szCs w:val="19"/>
          <w:color w:val="auto"/>
        </w:rPr>
        <w:t>Any of the above-listed factors could materially adversely affect our business, financial condition, results of operations, and cash flows. The Loan Agreement also contains certain covenants, including limitations on, among other things, additional indebtedness, making certain dispositions, paying dividends in certain circumstances, and making certain acquisitions and investments. Any failure to comply with the terms, covenants and conditions of the Loan Agreement may limit our ability to draw upon additional tranches of term loans and may result in an event of default under such agreement entitling the lender to accelerate our indebtedness, which could have a material adverse effect on our business, financial condition, and results of operations.</w:t>
      </w:r>
    </w:p>
    <w:p>
      <w:pPr>
        <w:spacing w:after="0" w:line="82" w:lineRule="exact"/>
        <w:rPr>
          <w:sz w:val="20"/>
          <w:szCs w:val="20"/>
          <w:color w:val="auto"/>
        </w:rPr>
      </w:pPr>
    </w:p>
    <w:p>
      <w:pPr>
        <w:jc w:val="both"/>
        <w:ind w:right="140"/>
        <w:spacing w:after="0" w:line="260" w:lineRule="auto"/>
        <w:rPr>
          <w:sz w:val="20"/>
          <w:szCs w:val="20"/>
          <w:color w:val="auto"/>
        </w:rPr>
      </w:pPr>
      <w:r>
        <w:rPr>
          <w:rFonts w:ascii="Arial" w:cs="Arial" w:eastAsia="Arial" w:hAnsi="Arial"/>
          <w:sz w:val="19"/>
          <w:szCs w:val="19"/>
          <w:color w:val="auto"/>
        </w:rPr>
        <w:t>Recent increases in interest rates have increased our borrowing costs and may also affect our ability to obtain working capital through borrowings such as bank credit lines and public or private sales of debt securities, which may result in lower liquidity, reduced working capital and other adverse impacts on our business.</w:t>
      </w:r>
    </w:p>
    <w:p>
      <w:pPr>
        <w:spacing w:after="0" w:line="58" w:lineRule="exact"/>
        <w:rPr>
          <w:sz w:val="20"/>
          <w:szCs w:val="20"/>
          <w:color w:val="auto"/>
        </w:rPr>
      </w:pPr>
    </w:p>
    <w:p>
      <w:pPr>
        <w:ind w:right="260"/>
        <w:spacing w:after="0"/>
        <w:rPr>
          <w:sz w:val="20"/>
          <w:szCs w:val="20"/>
          <w:color w:val="auto"/>
        </w:rPr>
      </w:pPr>
      <w:r>
        <w:rPr>
          <w:rFonts w:ascii="Arial" w:cs="Arial" w:eastAsia="Arial" w:hAnsi="Arial"/>
          <w:sz w:val="19"/>
          <w:szCs w:val="19"/>
          <w:color w:val="auto"/>
        </w:rPr>
        <w:t>A portion of our outstanding debt under the Loan Agreement, bears interest at variable interest rates. To meet our liquidity needs, we have relied in part on borrowed funds with variable interest rates and may continue to do so in the future. Continued increase in interest rates may increase the cost of new indebtedness and the servicing of our outstanding indebtedness, and could materially and adversely affect our results of operations, financial condition, liquidity and cash flows.</w:t>
      </w:r>
    </w:p>
    <w:p>
      <w:pPr>
        <w:spacing w:after="0" w:line="77"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w:t>
      </w:r>
    </w:p>
    <w:p>
      <w:pPr>
        <w:spacing w:after="0" w:line="44" w:lineRule="exact"/>
        <w:rPr>
          <w:sz w:val="20"/>
          <w:szCs w:val="20"/>
          <w:color w:val="auto"/>
        </w:rPr>
      </w:pPr>
    </w:p>
    <w:p>
      <w:pPr>
        <w:spacing w:after="0" w:line="242" w:lineRule="auto"/>
        <w:rPr>
          <w:sz w:val="20"/>
          <w:szCs w:val="20"/>
          <w:color w:val="auto"/>
        </w:rPr>
      </w:pPr>
      <w:r>
        <w:rPr>
          <w:rFonts w:ascii="Arial" w:cs="Arial" w:eastAsia="Arial" w:hAnsi="Arial"/>
          <w:sz w:val="19"/>
          <w:szCs w:val="19"/>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SVB was closed by the California Department of Financial Protection and Innovation, which appointed the Federal Deposit Insurance Corporation (FDIC) as receiver. Similarly, on March 12, 2023, Signature Bank and Silvergate Capital Corp. were each swept into receivership. Although a statement by the Department of the Treasury, the Federal Reserve and the FDIC indicated that all depositors of SVB would have access to all of their money after only one business day of closure, including funds held in uninsured deposit accounts, borrowers under credit agreements, letters of credit and certain other financial instruments with SVB, Signature Bank or any other financial institution that is placed into receivership by the FDIC may be unable to access undrawn amounts thereunder. If any of our lenders or counterparties to any such instruments were to be placed into receivership, we may be unable to access such funds. We currently have a $20 million loan outstanding pursuant to a $25 million term loan facility with SVB, which was entered into in February 2022 and amended in June 2023. We no longer have access to borrow the $5 million of additional aggregate principle per the terms of the Loan Agreement. In addition, if any of our customers, suppliers or other parties with whom we conduct business are unable to access funds pursuant to such instruments or lending arrangements with such a financial institution, such parties’ ability to pay their obligations to us or to enter into new commercial arrangements requiring additional payments to us could be adversely affected. In this regard, counterparties to SVB credit agreements and arrangements, such as us, and third parties such as beneficiaries of letters of credit (among others), may experience direct impacts from the closure of SVB, and uncertainty remains over liquidity concerns in the broader financial services industry. Similar impacts have occurred in the past, such as during the 2008-2010 financial crisis.</w:t>
      </w:r>
    </w:p>
    <w:p>
      <w:pPr>
        <w:spacing w:after="0" w:line="82" w:lineRule="exact"/>
        <w:rPr>
          <w:sz w:val="20"/>
          <w:szCs w:val="20"/>
          <w:color w:val="auto"/>
        </w:rPr>
      </w:pPr>
    </w:p>
    <w:p>
      <w:pPr>
        <w:ind w:right="80"/>
        <w:spacing w:after="0" w:line="245" w:lineRule="auto"/>
        <w:rPr>
          <w:sz w:val="20"/>
          <w:szCs w:val="20"/>
          <w:color w:val="auto"/>
        </w:rPr>
      </w:pPr>
      <w:r>
        <w:rPr>
          <w:rFonts w:ascii="Arial" w:cs="Arial" w:eastAsia="Arial" w:hAnsi="Arial"/>
          <w:sz w:val="19"/>
          <w:szCs w:val="19"/>
          <w:color w:val="auto"/>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Additionally, there is no guarantee that the U.S. Department of Treasury, FDIC and Federal Reserve Board will provide access to uninsured funds in the future in the event of the closure of other banks or financial institutions, or that they would do so in a timely fashion.</w:t>
      </w:r>
    </w:p>
    <w:p>
      <w:pPr>
        <w:spacing w:after="0" w:line="8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Although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46</w:t>
      </w:r>
    </w:p>
    <w:p>
      <w:pPr>
        <w:sectPr>
          <w:pgSz w:w="12240" w:h="15840" w:orient="portrait"/>
          <w:cols w:equalWidth="0" w:num="1">
            <w:col w:w="10060"/>
          </w:cols>
          <w:pgMar w:left="1080" w:top="1075" w:right="1100" w:bottom="173" w:gutter="0" w:footer="0" w:header="0"/>
        </w:sectPr>
      </w:pPr>
    </w:p>
    <w:bookmarkStart w:id="50" w:name="page51"/>
    <w:bookmarkEnd w:id="50"/>
    <w:p>
      <w:pPr>
        <w:spacing w:after="0" w:line="253" w:lineRule="auto"/>
        <w:rPr>
          <w:sz w:val="20"/>
          <w:szCs w:val="20"/>
          <w:color w:val="auto"/>
        </w:rPr>
      </w:pPr>
      <w:r>
        <w:rPr>
          <w:rFonts w:ascii="Arial" w:cs="Arial" w:eastAsia="Arial" w:hAnsi="Arial"/>
          <w:sz w:val="19"/>
          <w:szCs w:val="19"/>
          <w:color w:val="auto"/>
        </w:rPr>
        <w:t>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spacing w:after="0" w:line="171" w:lineRule="exact"/>
        <w:rPr>
          <w:sz w:val="20"/>
          <w:szCs w:val="20"/>
          <w:color w:val="auto"/>
        </w:rPr>
      </w:pPr>
    </w:p>
    <w:p>
      <w:pPr>
        <w:ind w:right="60"/>
        <w:spacing w:after="0" w:line="260" w:lineRule="auto"/>
        <w:rPr>
          <w:sz w:val="20"/>
          <w:szCs w:val="20"/>
          <w:color w:val="auto"/>
        </w:rPr>
      </w:pPr>
      <w:r>
        <w:rPr>
          <w:rFonts w:ascii="Arial" w:cs="Arial" w:eastAsia="Arial" w:hAnsi="Arial"/>
          <w:sz w:val="19"/>
          <w:szCs w:val="19"/>
          <w:color w:val="auto"/>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spacing w:after="0" w:line="297" w:lineRule="exact"/>
        <w:rPr>
          <w:sz w:val="20"/>
          <w:szCs w:val="20"/>
          <w:color w:val="auto"/>
        </w:rPr>
      </w:pPr>
    </w:p>
    <w:p>
      <w:pPr>
        <w:ind w:left="980" w:right="480" w:hanging="491"/>
        <w:spacing w:after="0" w:line="281" w:lineRule="auto"/>
        <w:tabs>
          <w:tab w:leader="none" w:pos="980" w:val="left"/>
        </w:tabs>
        <w:numPr>
          <w:ilvl w:val="0"/>
          <w:numId w:val="41"/>
        </w:numPr>
        <w:rPr>
          <w:rFonts w:ascii="Arial" w:cs="Arial" w:eastAsia="Arial" w:hAnsi="Arial"/>
          <w:sz w:val="19"/>
          <w:szCs w:val="19"/>
          <w:color w:val="auto"/>
        </w:rPr>
      </w:pPr>
      <w:r>
        <w:rPr>
          <w:rFonts w:ascii="Arial" w:cs="Arial" w:eastAsia="Arial" w:hAnsi="Arial"/>
          <w:sz w:val="19"/>
          <w:szCs w:val="19"/>
          <w:color w:val="auto"/>
        </w:rPr>
        <w:t>Delayed access to deposits or other financial assets or the uninsured loss of deposits or other financial assets;</w:t>
      </w:r>
    </w:p>
    <w:p>
      <w:pPr>
        <w:spacing w:after="0" w:line="58" w:lineRule="exact"/>
        <w:rPr>
          <w:rFonts w:ascii="Arial" w:cs="Arial" w:eastAsia="Arial" w:hAnsi="Arial"/>
          <w:sz w:val="19"/>
          <w:szCs w:val="19"/>
          <w:color w:val="auto"/>
        </w:rPr>
      </w:pPr>
    </w:p>
    <w:p>
      <w:pPr>
        <w:ind w:left="980" w:right="60" w:hanging="491"/>
        <w:spacing w:after="0" w:line="260" w:lineRule="auto"/>
        <w:tabs>
          <w:tab w:leader="none" w:pos="980" w:val="left"/>
        </w:tabs>
        <w:numPr>
          <w:ilvl w:val="0"/>
          <w:numId w:val="41"/>
        </w:numPr>
        <w:rPr>
          <w:rFonts w:ascii="Arial" w:cs="Arial" w:eastAsia="Arial" w:hAnsi="Arial"/>
          <w:sz w:val="19"/>
          <w:szCs w:val="19"/>
          <w:color w:val="auto"/>
        </w:rPr>
      </w:pPr>
      <w:r>
        <w:rPr>
          <w:rFonts w:ascii="Arial" w:cs="Arial" w:eastAsia="Arial" w:hAnsi="Arial"/>
          <w:sz w:val="19"/>
          <w:szCs w:val="19"/>
          <w:color w:val="auto"/>
        </w:rPr>
        <w:t>Delayed or lost access to, or reductions in borrowings available under revolving existing credit facilities or other working capital sources and/or delays, inability or reductions in our ability to refund, roll over or extend the maturity of, or enter into new credit facilities or other working capital resources;</w:t>
      </w:r>
    </w:p>
    <w:p>
      <w:pPr>
        <w:spacing w:after="0" w:line="78" w:lineRule="exact"/>
        <w:rPr>
          <w:rFonts w:ascii="Arial" w:cs="Arial" w:eastAsia="Arial" w:hAnsi="Arial"/>
          <w:sz w:val="19"/>
          <w:szCs w:val="19"/>
          <w:color w:val="auto"/>
        </w:rPr>
      </w:pPr>
    </w:p>
    <w:p>
      <w:pPr>
        <w:ind w:left="980" w:right="20" w:hanging="491"/>
        <w:spacing w:after="0" w:line="281" w:lineRule="auto"/>
        <w:tabs>
          <w:tab w:leader="none" w:pos="980" w:val="left"/>
        </w:tabs>
        <w:numPr>
          <w:ilvl w:val="0"/>
          <w:numId w:val="41"/>
        </w:numPr>
        <w:rPr>
          <w:rFonts w:ascii="Arial" w:cs="Arial" w:eastAsia="Arial" w:hAnsi="Arial"/>
          <w:sz w:val="19"/>
          <w:szCs w:val="19"/>
          <w:color w:val="auto"/>
        </w:rPr>
      </w:pPr>
      <w:r>
        <w:rPr>
          <w:rFonts w:ascii="Arial" w:cs="Arial" w:eastAsia="Arial" w:hAnsi="Arial"/>
          <w:sz w:val="19"/>
          <w:szCs w:val="19"/>
          <w:color w:val="auto"/>
        </w:rPr>
        <w:t>Potential or actual breach of contractual obligations that require us to maintain letters of credit or other credit support arrangements;</w:t>
      </w:r>
    </w:p>
    <w:p>
      <w:pPr>
        <w:spacing w:after="0" w:line="58" w:lineRule="exact"/>
        <w:rPr>
          <w:rFonts w:ascii="Arial" w:cs="Arial" w:eastAsia="Arial" w:hAnsi="Arial"/>
          <w:sz w:val="19"/>
          <w:szCs w:val="19"/>
          <w:color w:val="auto"/>
        </w:rPr>
      </w:pPr>
    </w:p>
    <w:p>
      <w:pPr>
        <w:ind w:left="980" w:hanging="491"/>
        <w:spacing w:after="0"/>
        <w:tabs>
          <w:tab w:leader="none" w:pos="980" w:val="left"/>
        </w:tabs>
        <w:numPr>
          <w:ilvl w:val="0"/>
          <w:numId w:val="41"/>
        </w:numPr>
        <w:rPr>
          <w:rFonts w:ascii="Arial" w:cs="Arial" w:eastAsia="Arial" w:hAnsi="Arial"/>
          <w:sz w:val="19"/>
          <w:szCs w:val="19"/>
          <w:color w:val="auto"/>
        </w:rPr>
      </w:pPr>
      <w:r>
        <w:rPr>
          <w:rFonts w:ascii="Arial" w:cs="Arial" w:eastAsia="Arial" w:hAnsi="Arial"/>
          <w:sz w:val="19"/>
          <w:szCs w:val="19"/>
          <w:color w:val="auto"/>
        </w:rPr>
        <w:t>Potential or actual breach of financial covenants in our credit agreements or credit arrangements;</w:t>
      </w:r>
    </w:p>
    <w:p>
      <w:pPr>
        <w:spacing w:after="0" w:line="132" w:lineRule="exact"/>
        <w:rPr>
          <w:rFonts w:ascii="Arial" w:cs="Arial" w:eastAsia="Arial" w:hAnsi="Arial"/>
          <w:sz w:val="19"/>
          <w:szCs w:val="19"/>
          <w:color w:val="auto"/>
        </w:rPr>
      </w:pPr>
    </w:p>
    <w:p>
      <w:pPr>
        <w:ind w:left="980" w:right="180" w:hanging="491"/>
        <w:spacing w:after="0" w:line="281" w:lineRule="auto"/>
        <w:tabs>
          <w:tab w:leader="none" w:pos="980" w:val="left"/>
        </w:tabs>
        <w:numPr>
          <w:ilvl w:val="0"/>
          <w:numId w:val="41"/>
        </w:numPr>
        <w:rPr>
          <w:rFonts w:ascii="Arial" w:cs="Arial" w:eastAsia="Arial" w:hAnsi="Arial"/>
          <w:sz w:val="19"/>
          <w:szCs w:val="19"/>
          <w:color w:val="auto"/>
        </w:rPr>
      </w:pPr>
      <w:r>
        <w:rPr>
          <w:rFonts w:ascii="Arial" w:cs="Arial" w:eastAsia="Arial" w:hAnsi="Arial"/>
          <w:sz w:val="19"/>
          <w:szCs w:val="19"/>
          <w:color w:val="auto"/>
        </w:rPr>
        <w:t>Potential or actual cross-defaults in other credit agreements, credit arrangements or operating or financing agreements; or</w:t>
      </w:r>
    </w:p>
    <w:p>
      <w:pPr>
        <w:spacing w:after="0" w:line="58" w:lineRule="exact"/>
        <w:rPr>
          <w:rFonts w:ascii="Arial" w:cs="Arial" w:eastAsia="Arial" w:hAnsi="Arial"/>
          <w:sz w:val="19"/>
          <w:szCs w:val="19"/>
          <w:color w:val="auto"/>
        </w:rPr>
      </w:pPr>
    </w:p>
    <w:p>
      <w:pPr>
        <w:ind w:left="980" w:right="200" w:hanging="491"/>
        <w:spacing w:after="0" w:line="281" w:lineRule="auto"/>
        <w:tabs>
          <w:tab w:leader="none" w:pos="980" w:val="left"/>
        </w:tabs>
        <w:numPr>
          <w:ilvl w:val="0"/>
          <w:numId w:val="41"/>
        </w:numPr>
        <w:rPr>
          <w:rFonts w:ascii="Arial" w:cs="Arial" w:eastAsia="Arial" w:hAnsi="Arial"/>
          <w:sz w:val="19"/>
          <w:szCs w:val="19"/>
          <w:color w:val="auto"/>
        </w:rPr>
      </w:pPr>
      <w:r>
        <w:rPr>
          <w:rFonts w:ascii="Arial" w:cs="Arial" w:eastAsia="Arial" w:hAnsi="Arial"/>
          <w:sz w:val="19"/>
          <w:szCs w:val="19"/>
          <w:color w:val="auto"/>
        </w:rPr>
        <w:t>Termination of cash management arrangements and/or delays in accessing or actual loss of funds subject to cash management arrangements.</w:t>
      </w:r>
    </w:p>
    <w:p>
      <w:pPr>
        <w:spacing w:after="0" w:line="144" w:lineRule="exact"/>
        <w:rPr>
          <w:sz w:val="20"/>
          <w:szCs w:val="20"/>
          <w:color w:val="auto"/>
        </w:rPr>
      </w:pPr>
    </w:p>
    <w:p>
      <w:pPr>
        <w:ind w:right="120"/>
        <w:spacing w:after="0" w:line="245" w:lineRule="auto"/>
        <w:rPr>
          <w:sz w:val="20"/>
          <w:szCs w:val="20"/>
          <w:color w:val="auto"/>
        </w:rPr>
      </w:pPr>
      <w:r>
        <w:rPr>
          <w:rFonts w:ascii="Arial" w:cs="Arial" w:eastAsia="Arial" w:hAnsi="Arial"/>
          <w:sz w:val="19"/>
          <w:szCs w:val="19"/>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177" w:lineRule="exact"/>
        <w:rPr>
          <w:sz w:val="20"/>
          <w:szCs w:val="20"/>
          <w:color w:val="auto"/>
        </w:rPr>
      </w:pPr>
    </w:p>
    <w:p>
      <w:pPr>
        <w:ind w:right="40"/>
        <w:spacing w:after="0" w:line="244" w:lineRule="auto"/>
        <w:rPr>
          <w:sz w:val="20"/>
          <w:szCs w:val="20"/>
          <w:color w:val="auto"/>
        </w:rPr>
      </w:pPr>
      <w:r>
        <w:rPr>
          <w:rFonts w:ascii="Arial" w:cs="Arial" w:eastAsia="Arial" w:hAnsi="Arial"/>
          <w:sz w:val="19"/>
          <w:szCs w:val="19"/>
          <w:color w:val="auto"/>
        </w:rPr>
        <w:t>In addition, any further deterioration in the macroeconomic economy or financial services industry could lead to losses or defaults by our customers or suppliers, which in turn, could have a material adverse effect on our current and/or projected business operations and results of operations and financial condition. For example, a customer may fail to make payments when due, default under their agreements with us, become insolvent or declare bankruptcy, or a supplier may determine that it will no longer deal with us as a customer. In addition, a customer or supplier could be adversely affected by any of the liquidity or other risks that are described above as factors that could result in material adverse impacts on us, including but not limited to delayed access or loss of access to uninsured deposits or loss of the ability to draw on existing credit facilities involving a troubled or failed financial institution. Any customer or supplier bankruptcy or insolvency, or the failure of any customer to make payments when due, or any breach or default by a customer or supplier, or the loss of any significant supplier relationships, could result in material losses to us and may have a material adverse impact on our business.</w:t>
      </w: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Product Development</w:t>
      </w:r>
    </w:p>
    <w:p>
      <w:pPr>
        <w:spacing w:after="0" w:line="119" w:lineRule="exact"/>
        <w:rPr>
          <w:sz w:val="20"/>
          <w:szCs w:val="20"/>
          <w:color w:val="auto"/>
        </w:rPr>
      </w:pPr>
    </w:p>
    <w:p>
      <w:pPr>
        <w:ind w:right="180"/>
        <w:spacing w:after="0" w:line="245" w:lineRule="auto"/>
        <w:rPr>
          <w:sz w:val="20"/>
          <w:szCs w:val="20"/>
          <w:color w:val="auto"/>
        </w:rPr>
      </w:pPr>
      <w:r>
        <w:rPr>
          <w:rFonts w:ascii="Arial" w:cs="Arial" w:eastAsia="Arial" w:hAnsi="Arial"/>
          <w:sz w:val="19"/>
          <w:szCs w:val="19"/>
          <w:b w:val="1"/>
          <w:bCs w:val="1"/>
          <w:i w:val="1"/>
          <w:iCs w:val="1"/>
          <w:color w:val="auto"/>
        </w:rPr>
        <w:t>Our business is dependent on the success of our most advanced product candidate, CAN-2409, as well as CAN-3110 and any other product candidates that we advance into the clinic. All of our product candidates will require additional development before we may be able to seek regulatory approval for and launch a product commercially.</w:t>
      </w:r>
    </w:p>
    <w:p>
      <w:pPr>
        <w:spacing w:after="0" w:line="69" w:lineRule="exact"/>
        <w:rPr>
          <w:sz w:val="20"/>
          <w:szCs w:val="20"/>
          <w:color w:val="auto"/>
        </w:rPr>
      </w:pPr>
    </w:p>
    <w:p>
      <w:pPr>
        <w:ind w:right="360"/>
        <w:spacing w:after="0" w:line="260" w:lineRule="auto"/>
        <w:rPr>
          <w:sz w:val="20"/>
          <w:szCs w:val="20"/>
          <w:color w:val="auto"/>
        </w:rPr>
      </w:pPr>
      <w:r>
        <w:rPr>
          <w:rFonts w:ascii="Arial" w:cs="Arial" w:eastAsia="Arial" w:hAnsi="Arial"/>
          <w:sz w:val="19"/>
          <w:szCs w:val="19"/>
          <w:color w:val="auto"/>
        </w:rPr>
        <w:t>We currently have no products that are approved for commercial sale and may never be able to develop marketable products. We expect that a substantial portion of our efforts and expenditures over the next several years will be devoted to our CAN-2409 program, which is currently our most advanced product candidate.</w:t>
      </w:r>
    </w:p>
    <w:p>
      <w:pPr>
        <w:spacing w:after="0" w:line="65" w:lineRule="exact"/>
        <w:rPr>
          <w:sz w:val="20"/>
          <w:szCs w:val="20"/>
          <w:color w:val="auto"/>
        </w:rPr>
      </w:pPr>
    </w:p>
    <w:p>
      <w:pPr>
        <w:ind w:right="140"/>
        <w:spacing w:after="0" w:line="250" w:lineRule="auto"/>
        <w:rPr>
          <w:sz w:val="20"/>
          <w:szCs w:val="20"/>
          <w:color w:val="auto"/>
        </w:rPr>
      </w:pPr>
      <w:r>
        <w:rPr>
          <w:rFonts w:ascii="Arial" w:cs="Arial" w:eastAsia="Arial" w:hAnsi="Arial"/>
          <w:sz w:val="19"/>
          <w:szCs w:val="19"/>
          <w:color w:val="auto"/>
        </w:rPr>
        <w:t>If CAN-2409, CAN-3110 or any other product candidate we develop encounters safety or efficacy issues, development delays, regulatory issues or other problems, our development plans and business would be significantly harmed. We can provide no assurance that CAN-2409, CAN-3110 or any other product candidates we develop will receive regulatory approval or be successfully commercialized even if we receive regulatory approval. If we were required to discontinue development of CAN-2409, CAN-3110 or any future product candidate, or if CAN-2409, CAN-3110, or any</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47</w:t>
      </w:r>
    </w:p>
    <w:p>
      <w:pPr>
        <w:sectPr>
          <w:pgSz w:w="12240" w:h="15840" w:orient="portrait"/>
          <w:cols w:equalWidth="0" w:num="1">
            <w:col w:w="10080"/>
          </w:cols>
          <w:pgMar w:left="1080" w:top="1062" w:right="1080" w:bottom="173" w:gutter="0" w:footer="0" w:header="0"/>
        </w:sectPr>
      </w:pPr>
    </w:p>
    <w:bookmarkStart w:id="51" w:name="page52"/>
    <w:bookmarkEnd w:id="51"/>
    <w:p>
      <w:pPr>
        <w:ind w:right="140"/>
        <w:spacing w:after="0" w:line="281" w:lineRule="auto"/>
        <w:rPr>
          <w:sz w:val="20"/>
          <w:szCs w:val="20"/>
          <w:color w:val="auto"/>
        </w:rPr>
      </w:pPr>
      <w:r>
        <w:rPr>
          <w:rFonts w:ascii="Arial" w:cs="Arial" w:eastAsia="Arial" w:hAnsi="Arial"/>
          <w:sz w:val="19"/>
          <w:szCs w:val="19"/>
          <w:color w:val="auto"/>
        </w:rPr>
        <w:t>future product candidate do not receive regulatory approval or fail to achieve significant market acceptance, we would be delayed by many years in our ability to achieve profitability, if ever.</w:t>
      </w:r>
    </w:p>
    <w:p>
      <w:pPr>
        <w:spacing w:after="0" w:line="45" w:lineRule="exact"/>
        <w:rPr>
          <w:sz w:val="20"/>
          <w:szCs w:val="20"/>
          <w:color w:val="auto"/>
        </w:rPr>
      </w:pPr>
    </w:p>
    <w:p>
      <w:pPr>
        <w:ind w:right="20"/>
        <w:spacing w:after="0" w:line="248" w:lineRule="auto"/>
        <w:rPr>
          <w:sz w:val="20"/>
          <w:szCs w:val="20"/>
          <w:color w:val="auto"/>
        </w:rPr>
      </w:pPr>
      <w:r>
        <w:rPr>
          <w:rFonts w:ascii="Arial" w:cs="Arial" w:eastAsia="Arial" w:hAnsi="Arial"/>
          <w:sz w:val="19"/>
          <w:szCs w:val="19"/>
          <w:color w:val="auto"/>
        </w:rPr>
        <w:t>Furthermore, even if we obtain regulatory approval for CAN-2409, CAN-3110 or any other product candidates we develop, we will still need to develop a commercial infrastructure, expand our manufacturing capabilities or develop relationships with collaborators to commercialize, establish a commercially viable pricing structure and obtain coverage and adequate reimbursement from third-party payors, including government healthcare programs. If we, or any future collaborators, are unable to successfully commercialize CAN-2409, CAN-3110 or any other product candidates we develop, we may not be able to generate sufficient revenue to continue our business.</w:t>
      </w:r>
    </w:p>
    <w:p>
      <w:pPr>
        <w:spacing w:after="0" w:line="80" w:lineRule="exact"/>
        <w:rPr>
          <w:sz w:val="20"/>
          <w:szCs w:val="20"/>
          <w:color w:val="auto"/>
        </w:rPr>
      </w:pPr>
    </w:p>
    <w:p>
      <w:pPr>
        <w:ind w:right="200"/>
        <w:spacing w:after="0" w:line="263" w:lineRule="auto"/>
        <w:rPr>
          <w:sz w:val="20"/>
          <w:szCs w:val="20"/>
          <w:color w:val="auto"/>
        </w:rPr>
      </w:pPr>
      <w:r>
        <w:rPr>
          <w:rFonts w:ascii="Arial" w:cs="Arial" w:eastAsia="Arial" w:hAnsi="Arial"/>
          <w:sz w:val="19"/>
          <w:szCs w:val="19"/>
          <w:b w:val="1"/>
          <w:bCs w:val="1"/>
          <w:i w:val="1"/>
          <w:iCs w:val="1"/>
          <w:color w:val="auto"/>
        </w:rPr>
        <w:t>Our preclinical studies and clinical trials may fail to demonstrate adequately the safety and efficacy of any of our product candidates, which would prevent or delay development, regulatory approval, and commercialization.</w:t>
      </w:r>
    </w:p>
    <w:p>
      <w:pPr>
        <w:spacing w:after="0" w:line="53" w:lineRule="exact"/>
        <w:rPr>
          <w:sz w:val="20"/>
          <w:szCs w:val="20"/>
          <w:color w:val="auto"/>
        </w:rPr>
      </w:pPr>
    </w:p>
    <w:p>
      <w:pPr>
        <w:ind w:right="20"/>
        <w:spacing w:after="0" w:line="242" w:lineRule="auto"/>
        <w:rPr>
          <w:sz w:val="20"/>
          <w:szCs w:val="20"/>
          <w:color w:val="auto"/>
        </w:rPr>
      </w:pPr>
      <w:r>
        <w:rPr>
          <w:rFonts w:ascii="Arial" w:cs="Arial" w:eastAsia="Arial" w:hAnsi="Arial"/>
          <w:sz w:val="19"/>
          <w:szCs w:val="19"/>
          <w:color w:val="auto"/>
        </w:rPr>
        <w:t>Before obtaining regulatory approvals for the commercial sale of our product candidates, including CAN-2409, CAN-3110 or any other product candidates we develop, we must demonstrate the safety and efficacy of our product candidates for use in each target indication through lengthy, complex, and expensive preclinical studies and clinical trials. Failure can occur at any time during the preclinical study and clinical trial processes and there is a high risk of failure, so we may never succeed in developing marketable products. Any preclinical studies or clinical trials that we may conduct may not demonstrate the safety and efficacy necessary to obtain regulatory approval to market any of our product candidates. If the results of our ongoing or future preclinical studies and clinical trials are inconclusive with respect to the safety or efficacy of our product candidates, if we do not meet the clinical endpoints with statistical and clinically meaningful significance, or if there are safety concerns associated with our product candidates, we may be prevented or delayed in obtaining marketing approval for such product candidates. In some instances, there can be significant variability in safety or efficacy results between different preclinical studies and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While we are currently in a phase 3 clinical trial for CAN-2409 for prostate cancer and are in early stages of clinical development for CAN-3110, it is likely, as is the case with many oncology therapies, that there may be side effects associated with their use. Results of our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 Treatment-related side effects could also affect patient recruitment or the ability of enrolled patients to complete the clinical trial or result in potential product liability claims. Any of these occurrences may harm our business, financial condition and prospects significantly.</w:t>
      </w:r>
    </w:p>
    <w:p>
      <w:pPr>
        <w:spacing w:after="0" w:line="82" w:lineRule="exact"/>
        <w:rPr>
          <w:sz w:val="20"/>
          <w:szCs w:val="20"/>
          <w:color w:val="auto"/>
        </w:rPr>
      </w:pPr>
    </w:p>
    <w:p>
      <w:pPr>
        <w:spacing w:after="0" w:line="241" w:lineRule="auto"/>
        <w:rPr>
          <w:sz w:val="20"/>
          <w:szCs w:val="20"/>
          <w:color w:val="auto"/>
        </w:rPr>
      </w:pPr>
      <w:r>
        <w:rPr>
          <w:rFonts w:ascii="Arial" w:cs="Arial" w:eastAsia="Arial" w:hAnsi="Arial"/>
          <w:sz w:val="19"/>
          <w:szCs w:val="19"/>
          <w:color w:val="auto"/>
        </w:rPr>
        <w:t>Our product candidates have caused side effects in clinical trials related to on-target toxicity such as fever, chills and muscle aches and other flu-like symptoms. The most common side effects observed in our clinical trials have been transient, injection site-related reactions, and flu-like symptoms. The specific symptoms are largely dependent on the tumor site (site of injection). Patients who have participated in our trials have experienced grade 3 and grade 4 treatment-related side effects, including blood abnormalities. Those include pyrexia, genitourinary toxicity, increased aspartate transaminase / alanine transaminase (AST/ALT), increased bilirubin, hemiparesis or worsening of speech impairment (in studies of HGG), insomnia, headache, wound complications, empyema, motor-neuropathy symptoms/signs, transient lymphopenia, dehydration with renal insufficiency, urinary retention, worsening abdominal pain and increased lipase. Different nomenclature for the same side effect can be used in different trials (i.e. lymphopenia or low lymphocyte count). If on-target toxicity is observed at unacceptable levels, or if our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In addition, our product candidates could cause undesirable side effects that we have not observed yet to date. Many compounds that initially showed promise in early-stage testing for treating cancer have later been found to cause side effects that prevented further development of the compound. In addition to our ongoing clinical trials of CAN-2409 and CAN-3110, patients have been, and may continue to be, treated with CAN-2409 and/or CAN-3110 under an expanded access or “compassionate use” program. To the extent the experiences of patients being treated in this program are inconsistent with or less favorable than the results of our ongoing or planned company-sponsored trials with CAN-2409 and/or CAN-3110, it may negatively affect perceptions of CAN-2409 and/or CAN-3110, our other product candidates, or our business. In addition, the FDA or comparable foreign regulatory authorities may require us to obtain and submit additional clinical data due to these inconsistent or unfavorable results, which could delay clinical development or marketing approval of CAN-2409 and/or CAN-3110 or potentially our other product candidates.</w:t>
      </w:r>
    </w:p>
    <w:p>
      <w:pPr>
        <w:spacing w:after="0" w:line="103" w:lineRule="exact"/>
        <w:rPr>
          <w:sz w:val="20"/>
          <w:szCs w:val="20"/>
          <w:color w:val="auto"/>
        </w:rPr>
      </w:pPr>
    </w:p>
    <w:p>
      <w:pPr>
        <w:jc w:val="both"/>
        <w:ind w:right="40"/>
        <w:spacing w:after="0" w:line="263" w:lineRule="auto"/>
        <w:rPr>
          <w:sz w:val="20"/>
          <w:szCs w:val="20"/>
          <w:color w:val="auto"/>
        </w:rPr>
      </w:pPr>
      <w:r>
        <w:rPr>
          <w:rFonts w:ascii="Arial" w:cs="Arial" w:eastAsia="Arial" w:hAnsi="Arial"/>
          <w:sz w:val="19"/>
          <w:szCs w:val="19"/>
          <w:b w:val="1"/>
          <w:bCs w:val="1"/>
          <w:i w:val="1"/>
          <w:iCs w:val="1"/>
          <w:color w:val="auto"/>
        </w:rPr>
        <w:t>Interim, topline and preliminary data from our clinical trials that we announce or publish from time to time may change as more patient data become available and are subject to regulatory audit and verification procedures that could result in material changes in the final data.</w:t>
      </w:r>
    </w:p>
    <w:p>
      <w:pPr>
        <w:spacing w:after="0" w:line="200" w:lineRule="exact"/>
        <w:rPr>
          <w:sz w:val="20"/>
          <w:szCs w:val="20"/>
          <w:color w:val="auto"/>
        </w:rPr>
      </w:pPr>
    </w:p>
    <w:p>
      <w:pPr>
        <w:spacing w:after="0" w:line="283"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48</w:t>
      </w:r>
    </w:p>
    <w:p>
      <w:pPr>
        <w:sectPr>
          <w:pgSz w:w="12240" w:h="15840" w:orient="portrait"/>
          <w:cols w:equalWidth="0" w:num="1">
            <w:col w:w="10000"/>
          </w:cols>
          <w:pgMar w:left="1080" w:top="1062" w:right="1160" w:bottom="173" w:gutter="0" w:footer="0" w:header="0"/>
        </w:sectPr>
      </w:pPr>
    </w:p>
    <w:bookmarkStart w:id="52" w:name="page53"/>
    <w:bookmarkEnd w:id="52"/>
    <w:p>
      <w:pPr>
        <w:spacing w:after="0" w:line="244" w:lineRule="auto"/>
        <w:rPr>
          <w:sz w:val="20"/>
          <w:szCs w:val="20"/>
          <w:color w:val="auto"/>
        </w:rPr>
      </w:pPr>
      <w:r>
        <w:rPr>
          <w:rFonts w:ascii="Arial" w:cs="Arial" w:eastAsia="Arial" w:hAnsi="Arial"/>
          <w:sz w:val="19"/>
          <w:szCs w:val="19"/>
          <w:color w:val="auto"/>
        </w:rPr>
        <w:t>From time to time, we may publish interim, topline or preliminary data from our clinical trials. We may decide to conduct an interim analysis of the data after a certain number or percentage of patients have been enrolled, or after only a part of the full follow-up period but before completion of the trial. Similarly, we may report topline or preliminary results of primary and key secondary endpoints before the final trial results are completed. Preliminary, topline and interim data from our clinical trials may change as more patient data or analyses become available. Preliminary, topline or interim data from our clinical trials are not necessarily predictive of final results and are subject to the risk that one or more of the clinical outcomes may materially change as patient enrollment continues, more patient data become available and we issue our final clinical trial report. These data also remain subject to audit and verification procedures that may result in the final data being materially different from the preliminary data we previously published. As a result, preliminary, interim and topline data should be viewed with caution until the final data are available. Material adverse changes in the final data compared to the interim data could significantly harm our business prospects.</w:t>
      </w:r>
    </w:p>
    <w:p>
      <w:pPr>
        <w:spacing w:after="0" w:line="80" w:lineRule="exact"/>
        <w:rPr>
          <w:sz w:val="20"/>
          <w:szCs w:val="20"/>
          <w:color w:val="auto"/>
        </w:rPr>
      </w:pPr>
    </w:p>
    <w:p>
      <w:pPr>
        <w:spacing w:after="0" w:line="248" w:lineRule="auto"/>
        <w:rPr>
          <w:sz w:val="20"/>
          <w:szCs w:val="20"/>
          <w:color w:val="auto"/>
        </w:rPr>
      </w:pPr>
      <w:r>
        <w:rPr>
          <w:rFonts w:ascii="Arial" w:cs="Arial" w:eastAsia="Arial" w:hAnsi="Arial"/>
          <w:sz w:val="19"/>
          <w:szCs w:val="19"/>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76" w:lineRule="exact"/>
        <w:rPr>
          <w:sz w:val="20"/>
          <w:szCs w:val="20"/>
          <w:color w:val="auto"/>
        </w:rPr>
      </w:pPr>
    </w:p>
    <w:p>
      <w:pPr>
        <w:ind w:right="60"/>
        <w:spacing w:after="0" w:line="253" w:lineRule="auto"/>
        <w:rPr>
          <w:sz w:val="20"/>
          <w:szCs w:val="20"/>
          <w:color w:val="auto"/>
        </w:rPr>
      </w:pPr>
      <w:r>
        <w:rPr>
          <w:rFonts w:ascii="Arial" w:cs="Arial" w:eastAsia="Arial" w:hAnsi="Arial"/>
          <w:sz w:val="19"/>
          <w:szCs w:val="19"/>
          <w:color w:val="auto"/>
        </w:rPr>
        <w:t>If the interim, topline, or preliminary data that we report differ from more complete results, or if others, including regulatory authorities, disagree with the conclusions reached, our ability to obtain marketing authorization for, and commercialize, our product candidates may be harmed, which could harm our business, operating results, prospects or financial condition.</w:t>
      </w:r>
    </w:p>
    <w:p>
      <w:pPr>
        <w:spacing w:after="0" w:line="77" w:lineRule="exact"/>
        <w:rPr>
          <w:sz w:val="20"/>
          <w:szCs w:val="20"/>
          <w:color w:val="auto"/>
        </w:rPr>
      </w:pPr>
    </w:p>
    <w:p>
      <w:pPr>
        <w:jc w:val="both"/>
        <w:ind w:right="400"/>
        <w:spacing w:after="0" w:line="263" w:lineRule="auto"/>
        <w:rPr>
          <w:sz w:val="20"/>
          <w:szCs w:val="20"/>
          <w:color w:val="auto"/>
        </w:rPr>
      </w:pPr>
      <w:r>
        <w:rPr>
          <w:rFonts w:ascii="Arial" w:cs="Arial" w:eastAsia="Arial" w:hAnsi="Arial"/>
          <w:sz w:val="19"/>
          <w:szCs w:val="19"/>
          <w:b w:val="1"/>
          <w:bCs w:val="1"/>
          <w:i w:val="1"/>
          <w:iCs w:val="1"/>
          <w:color w:val="auto"/>
        </w:rPr>
        <w:t>We may not be successful in our efforts to identify additional product candidates or indications. Due to our limited resources and access to capital, we must prioritize development of certain product candidates and indications; these decisions may prove to be wrong and may adversely affect our business.</w:t>
      </w:r>
    </w:p>
    <w:p>
      <w:pPr>
        <w:spacing w:after="0" w:line="53" w:lineRule="exact"/>
        <w:rPr>
          <w:sz w:val="20"/>
          <w:szCs w:val="20"/>
          <w:color w:val="auto"/>
        </w:rPr>
      </w:pPr>
    </w:p>
    <w:p>
      <w:pPr>
        <w:ind w:right="80"/>
        <w:spacing w:after="0" w:line="246" w:lineRule="auto"/>
        <w:rPr>
          <w:sz w:val="20"/>
          <w:szCs w:val="20"/>
          <w:color w:val="auto"/>
        </w:rPr>
      </w:pPr>
      <w:r>
        <w:rPr>
          <w:rFonts w:ascii="Arial" w:cs="Arial" w:eastAsia="Arial" w:hAnsi="Arial"/>
          <w:sz w:val="19"/>
          <w:szCs w:val="19"/>
          <w:color w:val="auto"/>
        </w:rPr>
        <w:t>Although we intend to explore other therapeutic opportunities, in addition to the product candidates and indications that we are currently developing, we may fail to identify successful product candidates or additional indications for clinical development for a number of reasons. If we fail to identify additional potential product candidates or indications for development, our business could be materially harmed.</w:t>
      </w:r>
    </w:p>
    <w:p>
      <w:pPr>
        <w:spacing w:after="0" w:line="2" w:lineRule="exact"/>
        <w:rPr>
          <w:sz w:val="20"/>
          <w:szCs w:val="20"/>
          <w:color w:val="auto"/>
        </w:rPr>
      </w:pPr>
    </w:p>
    <w:p>
      <w:pPr>
        <w:ind w:right="100"/>
        <w:spacing w:after="0" w:line="243" w:lineRule="auto"/>
        <w:rPr>
          <w:sz w:val="20"/>
          <w:szCs w:val="20"/>
          <w:color w:val="auto"/>
        </w:rPr>
      </w:pPr>
      <w:r>
        <w:rPr>
          <w:rFonts w:ascii="Arial" w:cs="Arial" w:eastAsia="Arial" w:hAnsi="Arial"/>
          <w:sz w:val="19"/>
          <w:szCs w:val="19"/>
          <w:color w:val="auto"/>
        </w:rPr>
        <w:t>Research programs to pursue the development of our planned product candidates for additional indications and to identify new product candidates and disease targets require substantial technical, financial and human resources whether or not they are ultimately successful. Our research programs may initially show promise in identifying potential indications and/or product candidates, yet fail to yield results for clinical development for a number of reasons, including:</w:t>
      </w:r>
    </w:p>
    <w:p>
      <w:pPr>
        <w:spacing w:after="0" w:line="95" w:lineRule="exact"/>
        <w:rPr>
          <w:sz w:val="20"/>
          <w:szCs w:val="20"/>
          <w:color w:val="auto"/>
        </w:rPr>
      </w:pPr>
    </w:p>
    <w:p>
      <w:pPr>
        <w:ind w:left="980" w:right="380" w:hanging="491"/>
        <w:spacing w:after="0" w:line="281" w:lineRule="auto"/>
        <w:tabs>
          <w:tab w:leader="none" w:pos="980" w:val="left"/>
        </w:tabs>
        <w:numPr>
          <w:ilvl w:val="0"/>
          <w:numId w:val="42"/>
        </w:numPr>
        <w:rPr>
          <w:rFonts w:ascii="Arial" w:cs="Arial" w:eastAsia="Arial" w:hAnsi="Arial"/>
          <w:sz w:val="19"/>
          <w:szCs w:val="19"/>
          <w:color w:val="auto"/>
        </w:rPr>
      </w:pPr>
      <w:r>
        <w:rPr>
          <w:rFonts w:ascii="Arial" w:cs="Arial" w:eastAsia="Arial" w:hAnsi="Arial"/>
          <w:sz w:val="19"/>
          <w:szCs w:val="19"/>
          <w:color w:val="auto"/>
        </w:rPr>
        <w:t>the research methodology used may not be successful in identifying potential indications and/or product candidates;</w:t>
      </w:r>
    </w:p>
    <w:p>
      <w:pPr>
        <w:spacing w:after="0" w:line="58" w:lineRule="exact"/>
        <w:rPr>
          <w:rFonts w:ascii="Arial" w:cs="Arial" w:eastAsia="Arial" w:hAnsi="Arial"/>
          <w:sz w:val="19"/>
          <w:szCs w:val="19"/>
          <w:color w:val="auto"/>
        </w:rPr>
      </w:pPr>
    </w:p>
    <w:p>
      <w:pPr>
        <w:ind w:left="980" w:right="360" w:hanging="491"/>
        <w:spacing w:after="0" w:line="281" w:lineRule="auto"/>
        <w:tabs>
          <w:tab w:leader="none" w:pos="980" w:val="left"/>
        </w:tabs>
        <w:numPr>
          <w:ilvl w:val="0"/>
          <w:numId w:val="42"/>
        </w:numPr>
        <w:rPr>
          <w:rFonts w:ascii="Arial" w:cs="Arial" w:eastAsia="Arial" w:hAnsi="Arial"/>
          <w:sz w:val="19"/>
          <w:szCs w:val="19"/>
          <w:color w:val="auto"/>
        </w:rPr>
      </w:pPr>
      <w:r>
        <w:rPr>
          <w:rFonts w:ascii="Arial" w:cs="Arial" w:eastAsia="Arial" w:hAnsi="Arial"/>
          <w:sz w:val="19"/>
          <w:szCs w:val="19"/>
          <w:color w:val="auto"/>
        </w:rPr>
        <w:t>potential product candidates may, after further study, be shown to have harmful adverse effects or other characteristics that indicate they are unlikely to be effective drugs; or</w:t>
      </w:r>
    </w:p>
    <w:p>
      <w:pPr>
        <w:spacing w:after="0" w:line="58" w:lineRule="exact"/>
        <w:rPr>
          <w:rFonts w:ascii="Arial" w:cs="Arial" w:eastAsia="Arial" w:hAnsi="Arial"/>
          <w:sz w:val="19"/>
          <w:szCs w:val="19"/>
          <w:color w:val="auto"/>
        </w:rPr>
      </w:pPr>
    </w:p>
    <w:p>
      <w:pPr>
        <w:ind w:left="980" w:right="80" w:hanging="491"/>
        <w:spacing w:after="0" w:line="281"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it may take greater human and financial resources than we possess to identify additional therapeutic opportunities for our product candidates or to develop suitable potential product candidates through internal research programs, thereby limiting our ability to develop, diversify and expand our product portfolio.</w:t>
      </w:r>
    </w:p>
    <w:p>
      <w:pPr>
        <w:spacing w:after="0" w:line="48" w:lineRule="exact"/>
        <w:rPr>
          <w:sz w:val="20"/>
          <w:szCs w:val="20"/>
          <w:color w:val="auto"/>
        </w:rPr>
      </w:pPr>
    </w:p>
    <w:p>
      <w:pPr>
        <w:spacing w:after="0" w:line="246" w:lineRule="auto"/>
        <w:rPr>
          <w:sz w:val="20"/>
          <w:szCs w:val="20"/>
          <w:color w:val="auto"/>
        </w:rPr>
      </w:pPr>
      <w:r>
        <w:rPr>
          <w:rFonts w:ascii="Arial" w:cs="Arial" w:eastAsia="Arial" w:hAnsi="Arial"/>
          <w:sz w:val="19"/>
          <w:szCs w:val="19"/>
          <w:color w:val="auto"/>
        </w:rPr>
        <w:t>Because we have limited financial and human resources, we intend to initially focus on research programs and product candidates for a limited set of indications. As a result, we may forego or delay pursuit of opportunities with other product candidates or for other indications that later prove to have greater commercial potential or a greater likelihood of success. Our resource allocation decisions may cause us to fail to capitalize on viable commercial products or profitable market opportunities. For example, at the Annual Meeting of SITC in Boston in November 2022, due to promising clinical activity of CAN-3110 in recurrent HGG, we made a portfolio and resource decision to prioritize CAN-3110 in recurrent HGG and not to pursue a phase 3 clinical trial of CAN-2409 in HGG.</w:t>
      </w:r>
    </w:p>
    <w:p>
      <w:pPr>
        <w:spacing w:after="0" w:line="82" w:lineRule="exact"/>
        <w:rPr>
          <w:sz w:val="20"/>
          <w:szCs w:val="20"/>
          <w:color w:val="auto"/>
        </w:rPr>
      </w:pPr>
    </w:p>
    <w:p>
      <w:pPr>
        <w:ind w:right="40"/>
        <w:spacing w:after="0" w:line="253" w:lineRule="auto"/>
        <w:rPr>
          <w:sz w:val="20"/>
          <w:szCs w:val="20"/>
          <w:color w:val="auto"/>
        </w:rPr>
      </w:pPr>
      <w:r>
        <w:rPr>
          <w:rFonts w:ascii="Arial" w:cs="Arial" w:eastAsia="Arial" w:hAnsi="Arial"/>
          <w:sz w:val="19"/>
          <w:szCs w:val="19"/>
          <w:color w:val="auto"/>
        </w:rPr>
        <w:t>Accordingly, there can be no assurance that we will ever be able to identify additional therapeutic opportunities for our product candidates or to develop suitable potential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spacing w:after="0" w:line="14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Results of earlier studies and trials of our product candidates may not be predictive of future trial results.</w:t>
      </w:r>
    </w:p>
    <w:p>
      <w:pPr>
        <w:spacing w:after="0" w:line="116" w:lineRule="exact"/>
        <w:rPr>
          <w:sz w:val="20"/>
          <w:szCs w:val="20"/>
          <w:color w:val="auto"/>
        </w:rPr>
      </w:pPr>
    </w:p>
    <w:p>
      <w:pPr>
        <w:ind w:right="120"/>
        <w:spacing w:after="0" w:line="260" w:lineRule="auto"/>
        <w:rPr>
          <w:sz w:val="20"/>
          <w:szCs w:val="20"/>
          <w:color w:val="auto"/>
        </w:rPr>
      </w:pPr>
      <w:r>
        <w:rPr>
          <w:rFonts w:ascii="Arial" w:cs="Arial" w:eastAsia="Arial" w:hAnsi="Arial"/>
          <w:sz w:val="19"/>
          <w:szCs w:val="19"/>
          <w:color w:val="auto"/>
        </w:rPr>
        <w:t>Success in preclinical studies and early clinical trials does not ensure that later clinical trials will be successful. Product candidates in later stages of clinical trials may fail to show the desired safety and efficacy traits despite having progressed through preclinical studies and initial clinical trials. As we commence new clinical trials and continue our</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49</w:t>
      </w:r>
    </w:p>
    <w:p>
      <w:pPr>
        <w:sectPr>
          <w:pgSz w:w="12240" w:h="15840" w:orient="portrait"/>
          <w:cols w:equalWidth="0" w:num="1">
            <w:col w:w="10060"/>
          </w:cols>
          <w:pgMar w:left="1080" w:top="1062" w:right="1100" w:bottom="173" w:gutter="0" w:footer="0" w:header="0"/>
        </w:sectPr>
      </w:pPr>
    </w:p>
    <w:bookmarkStart w:id="53" w:name="page54"/>
    <w:bookmarkEnd w:id="53"/>
    <w:p>
      <w:pPr>
        <w:ind w:right="160"/>
        <w:spacing w:after="0" w:line="244" w:lineRule="auto"/>
        <w:rPr>
          <w:sz w:val="20"/>
          <w:szCs w:val="20"/>
          <w:color w:val="auto"/>
        </w:rPr>
      </w:pPr>
      <w:r>
        <w:rPr>
          <w:rFonts w:ascii="Arial" w:cs="Arial" w:eastAsia="Arial" w:hAnsi="Arial"/>
          <w:sz w:val="19"/>
          <w:szCs w:val="19"/>
          <w:color w:val="auto"/>
        </w:rPr>
        <w:t>ongoing clinical trials, issues may arise that could suspend or terminate such clinical trials. A number of companies in the biotechnology and pharmaceutical industries have suffered significant setbacks in clinical trials, even after positive results in earlier preclinical studies or clinical trials. These setbacks have been caused by, among other things, preclinical findings made while clinical trials were underway and safety or efficacy observations made in clinical trials, including previously unreported adverse events. Notwithstanding any potential promising results in earlier studies and trials, we cannot be certain that we will not face similar setbacks. In addition, the results of our preclinical animal studies, including our oncology mouse studies and other animal studies, may not be predictive of the results of outcomes in human clinical trials. For example, our oncology product candidates that are in preclinical development may demonstrate different chemical and biological properties in patients than they do in laboratory animal studies or may interact with human biological systems in unforeseen or harmful ways.</w:t>
      </w:r>
    </w:p>
    <w:p>
      <w:pPr>
        <w:spacing w:after="0" w:line="84" w:lineRule="exact"/>
        <w:rPr>
          <w:sz w:val="20"/>
          <w:szCs w:val="20"/>
          <w:color w:val="auto"/>
        </w:rPr>
      </w:pPr>
    </w:p>
    <w:p>
      <w:pPr>
        <w:ind w:right="20"/>
        <w:spacing w:after="0" w:line="243" w:lineRule="auto"/>
        <w:rPr>
          <w:sz w:val="20"/>
          <w:szCs w:val="20"/>
          <w:color w:val="auto"/>
        </w:rPr>
      </w:pPr>
      <w:r>
        <w:rPr>
          <w:rFonts w:ascii="Arial" w:cs="Arial" w:eastAsia="Arial" w:hAnsi="Arial"/>
          <w:sz w:val="19"/>
          <w:szCs w:val="19"/>
          <w:color w:val="auto"/>
        </w:rPr>
        <w:t>Additionally, some of past, ongoing and planned clinical trials utilize an “open-label” study design including our NSCLC trial in combination with ICI.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Moreover, patients selected for early clinical studies often include the most severe sufferers and their symptoms may have improved notwithstanding the new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product candidates for which we include an open-label clinical trials when studied in a controlled environment with a placebo or active control.</w:t>
      </w:r>
    </w:p>
    <w:p>
      <w:pPr>
        <w:spacing w:after="0" w:line="86" w:lineRule="exact"/>
        <w:rPr>
          <w:sz w:val="20"/>
          <w:szCs w:val="20"/>
          <w:color w:val="auto"/>
        </w:rPr>
      </w:pPr>
    </w:p>
    <w:p>
      <w:pPr>
        <w:ind w:right="40"/>
        <w:spacing w:after="0" w:line="263" w:lineRule="auto"/>
        <w:rPr>
          <w:sz w:val="20"/>
          <w:szCs w:val="20"/>
          <w:color w:val="auto"/>
        </w:rPr>
      </w:pPr>
      <w:r>
        <w:rPr>
          <w:rFonts w:ascii="Arial" w:cs="Arial" w:eastAsia="Arial" w:hAnsi="Arial"/>
          <w:sz w:val="19"/>
          <w:szCs w:val="19"/>
          <w:b w:val="1"/>
          <w:bCs w:val="1"/>
          <w:i w:val="1"/>
          <w:iCs w:val="1"/>
          <w:color w:val="auto"/>
        </w:rPr>
        <w:t>Our product candidates are based on a novel approach to the treatment of cancer, which makes it difficult to predict the time and cost of product candidate development and subsequently obtaining regulatory approval, if at all.</w:t>
      </w:r>
    </w:p>
    <w:p>
      <w:pPr>
        <w:spacing w:after="0" w:line="53" w:lineRule="exact"/>
        <w:rPr>
          <w:sz w:val="20"/>
          <w:szCs w:val="20"/>
          <w:color w:val="auto"/>
        </w:rPr>
      </w:pPr>
    </w:p>
    <w:p>
      <w:pPr>
        <w:ind w:right="20"/>
        <w:spacing w:after="0" w:line="253" w:lineRule="auto"/>
        <w:rPr>
          <w:sz w:val="20"/>
          <w:szCs w:val="20"/>
          <w:color w:val="auto"/>
        </w:rPr>
      </w:pPr>
      <w:r>
        <w:rPr>
          <w:rFonts w:ascii="Arial" w:cs="Arial" w:eastAsia="Arial" w:hAnsi="Arial"/>
          <w:sz w:val="19"/>
          <w:szCs w:val="19"/>
          <w:color w:val="auto"/>
        </w:rPr>
        <w:t>We have concentrated our research and development efforts on our CAN-2409 and CAN-3110 product candidates, and our future success largely depends on the successful development of these therapeutic approaches. In particular, CAN-2409 utilizes an adenovirus to activate the innate and adaptive immune system. To our knowledge, there are no FDA-approved products for the treatment of cancer that utilize the adenovirus.</w:t>
      </w:r>
    </w:p>
    <w:p>
      <w:pPr>
        <w:spacing w:after="0" w:line="73" w:lineRule="exact"/>
        <w:rPr>
          <w:sz w:val="20"/>
          <w:szCs w:val="20"/>
          <w:color w:val="auto"/>
        </w:rPr>
      </w:pPr>
    </w:p>
    <w:p>
      <w:pPr>
        <w:spacing w:after="0" w:line="245" w:lineRule="auto"/>
        <w:rPr>
          <w:sz w:val="20"/>
          <w:szCs w:val="20"/>
          <w:color w:val="auto"/>
        </w:rPr>
      </w:pPr>
      <w:r>
        <w:rPr>
          <w:rFonts w:ascii="Arial" w:cs="Arial" w:eastAsia="Arial" w:hAnsi="Arial"/>
          <w:sz w:val="19"/>
          <w:szCs w:val="19"/>
          <w:color w:val="auto"/>
        </w:rPr>
        <w:t>We expect the novel nature of our product candidates to create further challenges in obtaining regulatory approval. Few viral immunotherapies have been approved globally or by the FDA to date. While the first oncolytic viral immunotherapy, talimogene laherparepvec (Imlygic, Amgen), has received FDA approval, regulatory agencies have reviewed relatively few viral immunotherapy product candidates such as CAN-2409 and CAN-3110. This may lengthen the regulatory review process, increase our development costs and delay or prevent commercialization of our product candidates. Further, any viral immunotherapies that are approved may be subject to extensive post-approval regulatory requirements, including requirements pertaining to manufacturing, distribution and promotion. We may need to devote significant time and resources to compliance with these requirements.</w:t>
      </w:r>
    </w:p>
    <w:p>
      <w:pPr>
        <w:spacing w:after="0" w:line="84" w:lineRule="exact"/>
        <w:rPr>
          <w:sz w:val="20"/>
          <w:szCs w:val="20"/>
          <w:color w:val="auto"/>
        </w:rPr>
      </w:pPr>
    </w:p>
    <w:p>
      <w:pPr>
        <w:ind w:right="260"/>
        <w:spacing w:after="0" w:line="248" w:lineRule="auto"/>
        <w:rPr>
          <w:sz w:val="20"/>
          <w:szCs w:val="20"/>
          <w:color w:val="auto"/>
        </w:rPr>
      </w:pPr>
      <w:r>
        <w:rPr>
          <w:rFonts w:ascii="Arial" w:cs="Arial" w:eastAsia="Arial" w:hAnsi="Arial"/>
          <w:sz w:val="19"/>
          <w:szCs w:val="19"/>
          <w:color w:val="auto"/>
        </w:rPr>
        <w:t>The FDA may also require a panel of experts, referred to as an advisory committee, to deliberate on the adequacy of the safety and efficacy data to support licensure. The opinion of the advisory committee, although not binding, may have a significant impact on our ability to obtain licensure of the product candidates based on the completed clinical trials, as the FDA often adheres to the advisory committee’s recommendations. Accordingly, the regulatory approval pathway for our product candidates may be uncertain, complex, expensive and lengthy, and approval may not be obtained.</w:t>
      </w:r>
    </w:p>
    <w:p>
      <w:pPr>
        <w:spacing w:after="0" w:line="76" w:lineRule="exact"/>
        <w:rPr>
          <w:sz w:val="20"/>
          <w:szCs w:val="20"/>
          <w:color w:val="auto"/>
        </w:rPr>
      </w:pPr>
    </w:p>
    <w:p>
      <w:pPr>
        <w:ind w:right="80"/>
        <w:spacing w:after="0" w:line="245" w:lineRule="auto"/>
        <w:rPr>
          <w:sz w:val="20"/>
          <w:szCs w:val="20"/>
          <w:color w:val="auto"/>
        </w:rPr>
      </w:pPr>
      <w:r>
        <w:rPr>
          <w:rFonts w:ascii="Arial" w:cs="Arial" w:eastAsia="Arial" w:hAnsi="Arial"/>
          <w:sz w:val="19"/>
          <w:szCs w:val="19"/>
          <w:color w:val="auto"/>
        </w:rPr>
        <w:t>In addition, our product candidates are live, gene-modified viruses for which the FDA, the European Medicines Agency (EMA) and other comparable foreign regulatory authorities and other public health authorities, such as the Centers of Disease Control and Prevention and hospitals involved in clinical studies, have established additional safety and contagion rules and procedures, which could establish additional hurdles for the development, manufacture or use of our vectors. These hurdles may lead to delays in the conduct of clinical trials or in obtaining regulatory approvals for further development, manufacturing or commercialization of our product candidates. We may also experience delays in transferring our process to commercial partners, which may prevent us from completing our clinical trials or commercializing our product candidates on a timely or profitable basis, if at all.</w:t>
      </w:r>
    </w:p>
    <w:p>
      <w:pPr>
        <w:spacing w:after="0" w:line="84" w:lineRule="exact"/>
        <w:rPr>
          <w:sz w:val="20"/>
          <w:szCs w:val="20"/>
          <w:color w:val="auto"/>
        </w:rPr>
      </w:pPr>
    </w:p>
    <w:p>
      <w:pPr>
        <w:ind w:right="280"/>
        <w:spacing w:after="0" w:line="250" w:lineRule="auto"/>
        <w:rPr>
          <w:sz w:val="20"/>
          <w:szCs w:val="20"/>
          <w:color w:val="auto"/>
        </w:rPr>
      </w:pPr>
      <w:r>
        <w:rPr>
          <w:rFonts w:ascii="Arial" w:cs="Arial" w:eastAsia="Arial" w:hAnsi="Arial"/>
          <w:sz w:val="19"/>
          <w:szCs w:val="19"/>
          <w:color w:val="auto"/>
        </w:rPr>
        <w:t>Furthermore, there has been limited historical clinical trial experience for the development of products that utilize the adenovirus. Moreover, the design and conduct of our clinical trials differs from the design and conduct of previously conducted clinical trials in this area. In particular, regulatory authorities in the United States and in other jurisdictions, including Europe, have not issued definitive guidance as to how to measure and demonstrate efficacy in newly diagnosed localized prostate cancer in intermediate- to high-risk patients in combination with the standard of care</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50</w:t>
      </w:r>
    </w:p>
    <w:p>
      <w:pPr>
        <w:sectPr>
          <w:pgSz w:w="12240" w:h="15840" w:orient="portrait"/>
          <w:cols w:equalWidth="0" w:num="1">
            <w:col w:w="10060"/>
          </w:cols>
          <w:pgMar w:left="1080" w:top="1062" w:right="1100" w:bottom="173" w:gutter="0" w:footer="0" w:header="0"/>
        </w:sectPr>
      </w:pPr>
    </w:p>
    <w:bookmarkStart w:id="54" w:name="page55"/>
    <w:bookmarkEnd w:id="54"/>
    <w:p>
      <w:pPr>
        <w:ind w:right="40"/>
        <w:spacing w:after="0" w:line="246" w:lineRule="auto"/>
        <w:rPr>
          <w:sz w:val="20"/>
          <w:szCs w:val="20"/>
          <w:color w:val="auto"/>
        </w:rPr>
      </w:pPr>
      <w:r>
        <w:rPr>
          <w:rFonts w:ascii="Arial" w:cs="Arial" w:eastAsia="Arial" w:hAnsi="Arial"/>
          <w:sz w:val="19"/>
          <w:szCs w:val="19"/>
          <w:color w:val="auto"/>
        </w:rPr>
        <w:t>(SoC). As a result, there is substantial risk that the design or outcomes of our clinical trials will not be satisfactory to support marketing approval. For example, the endpoint in our phase 3 clinical trial investigating CAN-2409 in prostate cancer is a disease-free survival (DFS) endpoint with final results expected 24 months after last patient treated, which has not been utilized in prior trials and may not be accepted by regulators as a basis for approval despite the existence of the SPA. Even if this type of novel endpoint is accepted as a basis for approval in the United States, we cannot be certain that regulators outside of the United States will accept such endpoints or will not require us to conduct additional validation studies to support the suitability of such endpoints for approval in these jurisdictions.</w:t>
      </w:r>
    </w:p>
    <w:p>
      <w:pPr>
        <w:spacing w:after="0" w:line="86" w:lineRule="exact"/>
        <w:rPr>
          <w:sz w:val="20"/>
          <w:szCs w:val="20"/>
          <w:color w:val="auto"/>
        </w:rPr>
      </w:pPr>
    </w:p>
    <w:p>
      <w:pPr>
        <w:ind w:right="20"/>
        <w:spacing w:after="0" w:line="263" w:lineRule="auto"/>
        <w:rPr>
          <w:sz w:val="20"/>
          <w:szCs w:val="20"/>
          <w:color w:val="auto"/>
        </w:rPr>
      </w:pPr>
      <w:r>
        <w:rPr>
          <w:rFonts w:ascii="Arial" w:cs="Arial" w:eastAsia="Arial" w:hAnsi="Arial"/>
          <w:sz w:val="19"/>
          <w:szCs w:val="19"/>
          <w:b w:val="1"/>
          <w:bCs w:val="1"/>
          <w:i w:val="1"/>
          <w:iCs w:val="1"/>
          <w:color w:val="auto"/>
        </w:rPr>
        <w:t>We are developing, and in the future may develop, other product candidates, in combination with other therapies, which exposes us to additional risks related to any prodrugs or any agents used in combination with our product candidates.</w:t>
      </w:r>
    </w:p>
    <w:p>
      <w:pPr>
        <w:spacing w:after="0" w:line="53" w:lineRule="exact"/>
        <w:rPr>
          <w:sz w:val="20"/>
          <w:szCs w:val="20"/>
          <w:color w:val="auto"/>
        </w:rPr>
      </w:pPr>
    </w:p>
    <w:p>
      <w:pPr>
        <w:spacing w:after="0" w:line="244" w:lineRule="auto"/>
        <w:rPr>
          <w:sz w:val="20"/>
          <w:szCs w:val="20"/>
          <w:color w:val="auto"/>
        </w:rPr>
      </w:pPr>
      <w:r>
        <w:rPr>
          <w:rFonts w:ascii="Arial" w:cs="Arial" w:eastAsia="Arial" w:hAnsi="Arial"/>
          <w:sz w:val="19"/>
          <w:szCs w:val="19"/>
          <w:color w:val="auto"/>
        </w:rPr>
        <w:t>Our CAN-2409 product candidate is being developed to be used in combination with the prodrug valacyclovir, which is an oral small molecule drug marketed for treatment of herpes infections. In the future, we may develop other product candidates to be used with one or more currently approved other therapies. Even if any product candidate we develop were to receive marketing approval or be commercialized for use in combination with other existing therapies, we would continue to be subject to the risks that the FDA or comparable foreign regulatory authorities could revoke approval of the therapy used in combination with our product candidate or that safety, efficacy, manufacturing or supply issues could arise with these existing therapies. Combination therapies are commonly used for the treatment of cancer, and we would be subject to similar risks if we develop any of our product candidates for use in combination with other drugs or for indications other than cancer. This could result in our own products being removed from the market or being less successful commercially.</w:t>
      </w:r>
    </w:p>
    <w:p>
      <w:pPr>
        <w:spacing w:after="0" w:line="84" w:lineRule="exact"/>
        <w:rPr>
          <w:sz w:val="20"/>
          <w:szCs w:val="20"/>
          <w:color w:val="auto"/>
        </w:rPr>
      </w:pPr>
    </w:p>
    <w:p>
      <w:pPr>
        <w:ind w:right="660"/>
        <w:spacing w:after="0" w:line="260" w:lineRule="auto"/>
        <w:rPr>
          <w:sz w:val="20"/>
          <w:szCs w:val="20"/>
          <w:color w:val="auto"/>
        </w:rPr>
      </w:pPr>
      <w:r>
        <w:rPr>
          <w:rFonts w:ascii="Arial" w:cs="Arial" w:eastAsia="Arial" w:hAnsi="Arial"/>
          <w:sz w:val="19"/>
          <w:szCs w:val="19"/>
          <w:color w:val="auto"/>
        </w:rPr>
        <w:t>If the FDA or comparable foreign regulatory authorities revoke their approval of these other drugs or revoke their approval of, or if safety, efficacy, manufacturing or supply issues arise with, the drugs we choose to evaluate in combination with any product candidate we develop, we may be unable to obtain approval.</w:t>
      </w:r>
    </w:p>
    <w:p>
      <w:pPr>
        <w:spacing w:after="0" w:line="65" w:lineRule="exact"/>
        <w:rPr>
          <w:sz w:val="20"/>
          <w:szCs w:val="20"/>
          <w:color w:val="auto"/>
        </w:rPr>
      </w:pPr>
    </w:p>
    <w:p>
      <w:pPr>
        <w:ind w:right="160"/>
        <w:spacing w:after="0" w:line="248" w:lineRule="auto"/>
        <w:rPr>
          <w:sz w:val="20"/>
          <w:szCs w:val="20"/>
          <w:color w:val="auto"/>
        </w:rPr>
      </w:pPr>
      <w:r>
        <w:rPr>
          <w:rFonts w:ascii="Arial" w:cs="Arial" w:eastAsia="Arial" w:hAnsi="Arial"/>
          <w:sz w:val="19"/>
          <w:szCs w:val="19"/>
          <w:color w:val="auto"/>
        </w:rPr>
        <w:t>We may also evaluate our future product candidates in combination with one or more other cancer therapies that have not yet been approved for marketing by the FDA or comparable foreign regulatory authorities. We will not be able to market any product candidate we develop in combination with any such unapproved cancer therapies that do not ultimately obtain marketing approval. In addition, unapproved therapies face the same risks described with respect to our product candidates currently in development and clinical trials, including the potential for serious adverse effects, delays in their clinical trials and lack of FDA approval.</w:t>
      </w:r>
    </w:p>
    <w:p>
      <w:pPr>
        <w:spacing w:after="0" w:line="80" w:lineRule="exact"/>
        <w:rPr>
          <w:sz w:val="20"/>
          <w:szCs w:val="20"/>
          <w:color w:val="auto"/>
        </w:rPr>
      </w:pPr>
    </w:p>
    <w:p>
      <w:pPr>
        <w:ind w:right="80"/>
        <w:spacing w:after="0" w:line="287" w:lineRule="auto"/>
        <w:rPr>
          <w:sz w:val="20"/>
          <w:szCs w:val="20"/>
          <w:color w:val="auto"/>
        </w:rPr>
      </w:pPr>
      <w:r>
        <w:rPr>
          <w:rFonts w:ascii="Arial" w:cs="Arial" w:eastAsia="Arial" w:hAnsi="Arial"/>
          <w:sz w:val="19"/>
          <w:szCs w:val="19"/>
          <w:b w:val="1"/>
          <w:bCs w:val="1"/>
          <w:i w:val="1"/>
          <w:iCs w:val="1"/>
          <w:color w:val="auto"/>
        </w:rPr>
        <w:t>Negative developments in the field of immuno-oncology and, in particular, viral immunotherapy, could damage public perception of any of our product candidates and negatively affect our business.</w:t>
      </w:r>
    </w:p>
    <w:p>
      <w:pPr>
        <w:spacing w:after="0" w:line="30" w:lineRule="exact"/>
        <w:rPr>
          <w:sz w:val="20"/>
          <w:szCs w:val="20"/>
          <w:color w:val="auto"/>
        </w:rPr>
      </w:pPr>
    </w:p>
    <w:p>
      <w:pPr>
        <w:ind w:right="80"/>
        <w:spacing w:after="0" w:line="242" w:lineRule="auto"/>
        <w:rPr>
          <w:sz w:val="20"/>
          <w:szCs w:val="20"/>
          <w:color w:val="auto"/>
        </w:rPr>
      </w:pPr>
      <w:r>
        <w:rPr>
          <w:rFonts w:ascii="Arial" w:cs="Arial" w:eastAsia="Arial" w:hAnsi="Arial"/>
          <w:sz w:val="19"/>
          <w:szCs w:val="19"/>
          <w:color w:val="auto"/>
        </w:rPr>
        <w:t>The commercial success of adenovirus- or HSV-based product candidates will depend in part on public acceptance of the use of immuno-oncology, and, in particular, viral immunotherapy. Adverse events in clinical trials of CAN-2409, CAN-3110 or any other adenovirus- or HSV-based product candidates which we may develop, or in clinical trials of others developing similar products and the resulting publicity, as well as any other negative developments in the field of immuno-oncology that may occur in the future, including in connection with competitor therapies, could result in a decrease in demand for any adenovirus- or HSV-based product candidates that we may develop. These events could also result in the suspension, discontinuation, or clinical hold of or modification to our clinical trials. If public perception is influenced by claims that the use of viral immunotherapies is unsafe, whether related to our therapies or those of our competitors, our product candidates may not be accepted by the general public or the medical community and potential clinical trial subjects may be discouraged from enrolling in our clinical trials. In addition, responses by national or state governments to negative public perception may result in new legislation or regulations that could limit our ability to develop or commercialize any product candidates, obtain or maintain regulatory approval or otherwise achieve profitability. More restrictive statutory regimes, government regulations or negative public opinion would have an adverse effect on our business, financial condition, prospects and results of operations and may delay or impair the development and commercialization of our product candidates or demand for any products we may develop. As a result, we may not be able to continue or may be delayed in conducting our development programs.</w:t>
      </w:r>
    </w:p>
    <w:p>
      <w:pPr>
        <w:spacing w:after="0" w:line="91" w:lineRule="exact"/>
        <w:rPr>
          <w:sz w:val="20"/>
          <w:szCs w:val="20"/>
          <w:color w:val="auto"/>
        </w:rPr>
      </w:pPr>
    </w:p>
    <w:p>
      <w:pPr>
        <w:ind w:right="120"/>
        <w:spacing w:after="0" w:line="248" w:lineRule="auto"/>
        <w:rPr>
          <w:sz w:val="20"/>
          <w:szCs w:val="20"/>
          <w:color w:val="auto"/>
        </w:rPr>
      </w:pPr>
      <w:r>
        <w:rPr>
          <w:rFonts w:ascii="Arial" w:cs="Arial" w:eastAsia="Arial" w:hAnsi="Arial"/>
          <w:sz w:val="19"/>
          <w:szCs w:val="19"/>
          <w:color w:val="auto"/>
        </w:rPr>
        <w:t>Our product candidates consist of modified viruses. Adverse developments in clinical trials of other immunotherapy products based on viruses, like oncolytic viruses, may result in a disproportionately negative effect for our technologies as compared to other products in the field of infectious disease and immuno-oncology that are not based on viruses. Future negative developments in the biopharmaceutical industry could also result in greater governmental regulation, stricter labeling requirements and potential regulatory delays in the testing or approvals of our products. Any increased scrutiny could delay or increase the costs of obtaining marketing approval for our product candidates.</w:t>
      </w:r>
    </w:p>
    <w:p>
      <w:pPr>
        <w:spacing w:after="0" w:line="80" w:lineRule="exact"/>
        <w:rPr>
          <w:sz w:val="20"/>
          <w:szCs w:val="20"/>
          <w:color w:val="auto"/>
        </w:rPr>
      </w:pPr>
    </w:p>
    <w:p>
      <w:pPr>
        <w:ind w:right="340"/>
        <w:spacing w:after="0" w:line="287" w:lineRule="auto"/>
        <w:rPr>
          <w:sz w:val="20"/>
          <w:szCs w:val="20"/>
          <w:color w:val="auto"/>
        </w:rPr>
      </w:pPr>
      <w:r>
        <w:rPr>
          <w:rFonts w:ascii="Arial" w:cs="Arial" w:eastAsia="Arial" w:hAnsi="Arial"/>
          <w:sz w:val="19"/>
          <w:szCs w:val="19"/>
          <w:b w:val="1"/>
          <w:bCs w:val="1"/>
          <w:i w:val="1"/>
          <w:iCs w:val="1"/>
          <w:color w:val="auto"/>
        </w:rPr>
        <w:t>Difficulty in enrolling patients could delay or prevent clinical trials of our product candidates, and ultimately delay or prevent regulatory approval.</w:t>
      </w:r>
    </w:p>
    <w:p>
      <w:pPr>
        <w:spacing w:after="0" w:line="30" w:lineRule="exact"/>
        <w:rPr>
          <w:sz w:val="20"/>
          <w:szCs w:val="20"/>
          <w:color w:val="auto"/>
        </w:rPr>
      </w:pPr>
    </w:p>
    <w:p>
      <w:pPr>
        <w:ind w:right="160"/>
        <w:spacing w:after="0" w:line="281" w:lineRule="auto"/>
        <w:rPr>
          <w:sz w:val="20"/>
          <w:szCs w:val="20"/>
          <w:color w:val="auto"/>
        </w:rPr>
      </w:pPr>
      <w:r>
        <w:rPr>
          <w:rFonts w:ascii="Arial" w:cs="Arial" w:eastAsia="Arial" w:hAnsi="Arial"/>
          <w:sz w:val="19"/>
          <w:szCs w:val="19"/>
          <w:color w:val="auto"/>
        </w:rPr>
        <w:t>Identifying and qualifying patients to participate in clinical trials of our product candidates is critical to our success. The timing of completion of our clinical trials depends in part on the speed at which we can recruit patients to participate in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51</w:t>
      </w:r>
    </w:p>
    <w:p>
      <w:pPr>
        <w:sectPr>
          <w:pgSz w:w="12240" w:h="15840" w:orient="portrait"/>
          <w:cols w:equalWidth="0" w:num="1">
            <w:col w:w="10080"/>
          </w:cols>
          <w:pgMar w:left="1080" w:top="1062" w:right="1080" w:bottom="173" w:gutter="0" w:footer="0" w:header="0"/>
        </w:sectPr>
      </w:pPr>
    </w:p>
    <w:bookmarkStart w:id="55" w:name="page56"/>
    <w:bookmarkEnd w:id="55"/>
    <w:p>
      <w:pPr>
        <w:ind w:right="80"/>
        <w:spacing w:after="0" w:line="245" w:lineRule="auto"/>
        <w:rPr>
          <w:sz w:val="20"/>
          <w:szCs w:val="20"/>
          <w:color w:val="auto"/>
        </w:rPr>
      </w:pPr>
      <w:r>
        <w:rPr>
          <w:rFonts w:ascii="Arial" w:cs="Arial" w:eastAsia="Arial" w:hAnsi="Arial"/>
          <w:sz w:val="19"/>
          <w:szCs w:val="19"/>
          <w:color w:val="auto"/>
        </w:rPr>
        <w:t>testing our product candidates, and we may experience delays in our clinical trials if we encounter difficulties in enrollment. We may not be able to initiate or continue clinical trials for our product candidates if we are unable to locate and enroll a sufficient number of eligible patients to participate in these trials as required by the FDA or comparable foreign regulatory authorities, or as needed to provide appropriate statistical power for a given trial. In particular, because we are focused on patients with brain cancer for the development of CAN-3110, our ability to enroll eligible patients may be limited or enrollment may be slower than we anticipate due to the small eligible patient population. In addition, our ability to enroll patients may be delayed by any future public health crisis and we are unable to predict the full extent and scope of such delays.</w:t>
      </w:r>
    </w:p>
    <w:p>
      <w:pPr>
        <w:spacing w:after="0" w:line="84" w:lineRule="exact"/>
        <w:rPr>
          <w:sz w:val="20"/>
          <w:szCs w:val="20"/>
          <w:color w:val="auto"/>
        </w:rPr>
      </w:pPr>
    </w:p>
    <w:p>
      <w:pPr>
        <w:spacing w:after="0" w:line="244" w:lineRule="auto"/>
        <w:rPr>
          <w:sz w:val="20"/>
          <w:szCs w:val="20"/>
          <w:color w:val="auto"/>
        </w:rPr>
      </w:pPr>
      <w:r>
        <w:rPr>
          <w:rFonts w:ascii="Arial" w:cs="Arial" w:eastAsia="Arial" w:hAnsi="Arial"/>
          <w:sz w:val="19"/>
          <w:szCs w:val="19"/>
          <w:color w:val="auto"/>
        </w:rPr>
        <w:t>In addition to the potentially small target populations for our planned clinical trials, particularly in brain cancer, the eligibility criteria will further limit the pool of available trial participants as we will require that patients have specific characteristics, such as a certain severity or stage of disease progression, to include them in a trial. Additionally, the process of finding eligible patients may prove costly. We also may not be able to identify, recruit, and enroll a sufficient number of patients to complete our clinical trials because of the perceived risks and benefits of the product candidate under evaluation, the availability and efficacy of competing therapies and clinical trials, the proximity and availability of clinical trial sites for prospective patients, the availability of genetic sequencing information for patient tumors so that we can identify patients with the targeted genetic mutations, and the patient referral practices of physicians. If patients are unwilling to participate in our studies for any reason, the timeline for recruiting patients, conducting studies, and obtaining regulatory approval of potential products may be delayed. The enrollment of patients further depends on many factors, including:</w:t>
      </w:r>
    </w:p>
    <w:p>
      <w:pPr>
        <w:spacing w:after="0" w:line="93" w:lineRule="exact"/>
        <w:rPr>
          <w:sz w:val="20"/>
          <w:szCs w:val="20"/>
          <w:color w:val="auto"/>
        </w:rPr>
      </w:pPr>
    </w:p>
    <w:p>
      <w:pPr>
        <w:ind w:left="720" w:hanging="360"/>
        <w:spacing w:after="0"/>
        <w:tabs>
          <w:tab w:leader="none" w:pos="720"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proximity of patients to clinical trial sites;</w:t>
      </w:r>
    </w:p>
    <w:p>
      <w:pPr>
        <w:spacing w:after="0" w:line="132" w:lineRule="exact"/>
        <w:rPr>
          <w:rFonts w:ascii="Arial" w:cs="Arial" w:eastAsia="Arial" w:hAnsi="Arial"/>
          <w:sz w:val="19"/>
          <w:szCs w:val="19"/>
          <w:color w:val="auto"/>
        </w:rPr>
      </w:pPr>
    </w:p>
    <w:p>
      <w:pPr>
        <w:ind w:left="720" w:hanging="360"/>
        <w:spacing w:after="0"/>
        <w:tabs>
          <w:tab w:leader="none" w:pos="720" w:val="left"/>
        </w:tabs>
        <w:numPr>
          <w:ilvl w:val="0"/>
          <w:numId w:val="43"/>
        </w:numPr>
        <w:rPr>
          <w:rFonts w:ascii="Arial" w:cs="Arial" w:eastAsia="Arial" w:hAnsi="Arial"/>
          <w:sz w:val="19"/>
          <w:szCs w:val="19"/>
          <w:color w:val="auto"/>
        </w:rPr>
      </w:pPr>
      <w:r>
        <w:rPr>
          <w:rFonts w:ascii="Arial" w:cs="Arial" w:eastAsia="Arial" w:hAnsi="Arial"/>
          <w:sz w:val="19"/>
          <w:szCs w:val="19"/>
          <w:color w:val="auto"/>
        </w:rPr>
        <w:t>patient referral practices of physicians;</w:t>
      </w:r>
    </w:p>
    <w:p>
      <w:pPr>
        <w:spacing w:after="0" w:line="132" w:lineRule="exact"/>
        <w:rPr>
          <w:rFonts w:ascii="Arial" w:cs="Arial" w:eastAsia="Arial" w:hAnsi="Arial"/>
          <w:sz w:val="19"/>
          <w:szCs w:val="19"/>
          <w:color w:val="auto"/>
        </w:rPr>
      </w:pPr>
    </w:p>
    <w:p>
      <w:pPr>
        <w:ind w:left="720" w:hanging="360"/>
        <w:spacing w:after="0"/>
        <w:tabs>
          <w:tab w:leader="none" w:pos="720"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design of the clinical trial, including the number of site visits and invasive assessments required;</w:t>
      </w:r>
    </w:p>
    <w:p>
      <w:pPr>
        <w:spacing w:after="0" w:line="132" w:lineRule="exact"/>
        <w:rPr>
          <w:rFonts w:ascii="Arial" w:cs="Arial" w:eastAsia="Arial" w:hAnsi="Arial"/>
          <w:sz w:val="19"/>
          <w:szCs w:val="19"/>
          <w:color w:val="auto"/>
        </w:rPr>
      </w:pPr>
    </w:p>
    <w:p>
      <w:pPr>
        <w:ind w:left="720" w:hanging="360"/>
        <w:spacing w:after="0"/>
        <w:tabs>
          <w:tab w:leader="none" w:pos="720" w:val="left"/>
        </w:tabs>
        <w:numPr>
          <w:ilvl w:val="0"/>
          <w:numId w:val="43"/>
        </w:numPr>
        <w:rPr>
          <w:rFonts w:ascii="Arial" w:cs="Arial" w:eastAsia="Arial" w:hAnsi="Arial"/>
          <w:sz w:val="19"/>
          <w:szCs w:val="19"/>
          <w:color w:val="auto"/>
        </w:rPr>
      </w:pPr>
      <w:r>
        <w:rPr>
          <w:rFonts w:ascii="Arial" w:cs="Arial" w:eastAsia="Arial" w:hAnsi="Arial"/>
          <w:sz w:val="19"/>
          <w:szCs w:val="19"/>
          <w:color w:val="auto"/>
        </w:rPr>
        <w:t>our ability to recruit clinical trial investigators with the appropriate competencies and experience;</w:t>
      </w:r>
    </w:p>
    <w:p>
      <w:pPr>
        <w:spacing w:after="0" w:line="132" w:lineRule="exact"/>
        <w:rPr>
          <w:rFonts w:ascii="Arial" w:cs="Arial" w:eastAsia="Arial" w:hAnsi="Arial"/>
          <w:sz w:val="19"/>
          <w:szCs w:val="19"/>
          <w:color w:val="auto"/>
        </w:rPr>
      </w:pPr>
    </w:p>
    <w:p>
      <w:pPr>
        <w:ind w:left="720" w:hanging="360"/>
        <w:spacing w:after="0"/>
        <w:tabs>
          <w:tab w:leader="none" w:pos="720" w:val="left"/>
        </w:tabs>
        <w:numPr>
          <w:ilvl w:val="0"/>
          <w:numId w:val="43"/>
        </w:numPr>
        <w:rPr>
          <w:rFonts w:ascii="Arial" w:cs="Arial" w:eastAsia="Arial" w:hAnsi="Arial"/>
          <w:sz w:val="19"/>
          <w:szCs w:val="19"/>
          <w:color w:val="auto"/>
        </w:rPr>
      </w:pPr>
      <w:r>
        <w:rPr>
          <w:rFonts w:ascii="Arial" w:cs="Arial" w:eastAsia="Arial" w:hAnsi="Arial"/>
          <w:sz w:val="19"/>
          <w:szCs w:val="19"/>
          <w:color w:val="auto"/>
        </w:rPr>
        <w:t>our ability to obtain and maintain patient consents;</w:t>
      </w:r>
    </w:p>
    <w:p>
      <w:pPr>
        <w:spacing w:after="0" w:line="132" w:lineRule="exact"/>
        <w:rPr>
          <w:rFonts w:ascii="Arial" w:cs="Arial" w:eastAsia="Arial" w:hAnsi="Arial"/>
          <w:sz w:val="19"/>
          <w:szCs w:val="19"/>
          <w:color w:val="auto"/>
        </w:rPr>
      </w:pPr>
    </w:p>
    <w:p>
      <w:pPr>
        <w:ind w:left="720" w:hanging="360"/>
        <w:spacing w:after="0"/>
        <w:tabs>
          <w:tab w:leader="none" w:pos="720" w:val="left"/>
        </w:tabs>
        <w:numPr>
          <w:ilvl w:val="0"/>
          <w:numId w:val="43"/>
        </w:numPr>
        <w:rPr>
          <w:rFonts w:ascii="Arial" w:cs="Arial" w:eastAsia="Arial" w:hAnsi="Arial"/>
          <w:sz w:val="19"/>
          <w:szCs w:val="19"/>
          <w:color w:val="auto"/>
        </w:rPr>
      </w:pPr>
      <w:r>
        <w:rPr>
          <w:rFonts w:ascii="Arial" w:cs="Arial" w:eastAsia="Arial" w:hAnsi="Arial"/>
          <w:sz w:val="19"/>
          <w:szCs w:val="19"/>
          <w:color w:val="auto"/>
        </w:rPr>
        <w:t>reporting of the preliminary results of any of our clinical trials;</w:t>
      </w:r>
    </w:p>
    <w:p>
      <w:pPr>
        <w:spacing w:after="0" w:line="132" w:lineRule="exact"/>
        <w:rPr>
          <w:rFonts w:ascii="Arial" w:cs="Arial" w:eastAsia="Arial" w:hAnsi="Arial"/>
          <w:sz w:val="19"/>
          <w:szCs w:val="19"/>
          <w:color w:val="auto"/>
        </w:rPr>
      </w:pPr>
    </w:p>
    <w:p>
      <w:pPr>
        <w:ind w:left="720" w:hanging="360"/>
        <w:spacing w:after="0"/>
        <w:tabs>
          <w:tab w:leader="none" w:pos="720"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risk that patients enrolled in clinical trials will drop out of the clinical trials before clinical trial completion; and</w:t>
      </w:r>
    </w:p>
    <w:p>
      <w:pPr>
        <w:spacing w:after="0" w:line="132" w:lineRule="exact"/>
        <w:rPr>
          <w:rFonts w:ascii="Arial" w:cs="Arial" w:eastAsia="Arial" w:hAnsi="Arial"/>
          <w:sz w:val="19"/>
          <w:szCs w:val="19"/>
          <w:color w:val="auto"/>
        </w:rPr>
      </w:pPr>
    </w:p>
    <w:p>
      <w:pPr>
        <w:ind w:left="720" w:right="20" w:hanging="360"/>
        <w:spacing w:after="0" w:line="281" w:lineRule="auto"/>
        <w:tabs>
          <w:tab w:leader="none" w:pos="720" w:val="left"/>
        </w:tabs>
        <w:numPr>
          <w:ilvl w:val="0"/>
          <w:numId w:val="43"/>
        </w:numPr>
        <w:rPr>
          <w:rFonts w:ascii="Arial" w:cs="Arial" w:eastAsia="Arial" w:hAnsi="Arial"/>
          <w:sz w:val="19"/>
          <w:szCs w:val="19"/>
          <w:color w:val="auto"/>
        </w:rPr>
      </w:pPr>
      <w:r>
        <w:rPr>
          <w:rFonts w:ascii="Arial" w:cs="Arial" w:eastAsia="Arial" w:hAnsi="Arial"/>
          <w:sz w:val="19"/>
          <w:szCs w:val="19"/>
          <w:color w:val="auto"/>
        </w:rPr>
        <w:t>factors we may not be able to control, such as any future public health crisis, that may limit patient participation, hiring of principal investigators or staff or clinical site availability.</w:t>
      </w:r>
    </w:p>
    <w:p>
      <w:pPr>
        <w:spacing w:after="0" w:line="45" w:lineRule="exact"/>
        <w:rPr>
          <w:sz w:val="20"/>
          <w:szCs w:val="20"/>
          <w:color w:val="auto"/>
        </w:rPr>
      </w:pPr>
    </w:p>
    <w:p>
      <w:pPr>
        <w:ind w:right="20"/>
        <w:spacing w:after="0" w:line="244" w:lineRule="auto"/>
        <w:rPr>
          <w:sz w:val="20"/>
          <w:szCs w:val="20"/>
          <w:color w:val="auto"/>
        </w:rPr>
      </w:pPr>
      <w:r>
        <w:rPr>
          <w:rFonts w:ascii="Arial" w:cs="Arial" w:eastAsia="Arial" w:hAnsi="Arial"/>
          <w:sz w:val="19"/>
          <w:szCs w:val="19"/>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clinical trials may instead opt to enroll in a clinical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 Moreover, because certain of our product candidates represent a departure from more commonly used methods for cancer treatment and because certain of our product candidates have not been tested in humans before, potential patients and their doctors may be inclined to use conventional therapies, such as chemotherapy, rather than enroll patients in any future clinical trial of our product candidates.</w:t>
      </w:r>
    </w:p>
    <w:p>
      <w:pPr>
        <w:spacing w:after="0" w:line="88" w:lineRule="exact"/>
        <w:rPr>
          <w:sz w:val="20"/>
          <w:szCs w:val="20"/>
          <w:color w:val="auto"/>
        </w:rPr>
      </w:pPr>
    </w:p>
    <w:p>
      <w:pPr>
        <w:jc w:val="both"/>
        <w:ind w:right="180"/>
        <w:spacing w:after="0" w:line="263" w:lineRule="auto"/>
        <w:rPr>
          <w:sz w:val="20"/>
          <w:szCs w:val="20"/>
          <w:color w:val="auto"/>
        </w:rPr>
      </w:pPr>
      <w:r>
        <w:rPr>
          <w:rFonts w:ascii="Arial" w:cs="Arial" w:eastAsia="Arial" w:hAnsi="Arial"/>
          <w:sz w:val="19"/>
          <w:szCs w:val="19"/>
          <w:b w:val="1"/>
          <w:bCs w:val="1"/>
          <w:i w:val="1"/>
          <w:iCs w:val="1"/>
          <w:color w:val="auto"/>
        </w:rPr>
        <w:t>If we experience delays in the completion of, or termination of, any clinical trial of our product candidates, the commercial prospects of our product candidates will be harmed, and our ability to generate product revenue from any of these product candidates could be delayed or prevented.</w:t>
      </w:r>
    </w:p>
    <w:p>
      <w:pPr>
        <w:spacing w:after="0" w:line="53" w:lineRule="exact"/>
        <w:rPr>
          <w:sz w:val="20"/>
          <w:szCs w:val="20"/>
          <w:color w:val="auto"/>
        </w:rPr>
      </w:pPr>
    </w:p>
    <w:p>
      <w:pPr>
        <w:ind w:right="60"/>
        <w:spacing w:after="0" w:line="281" w:lineRule="auto"/>
        <w:rPr>
          <w:sz w:val="20"/>
          <w:szCs w:val="20"/>
          <w:color w:val="auto"/>
        </w:rPr>
      </w:pPr>
      <w:r>
        <w:rPr>
          <w:rFonts w:ascii="Arial" w:cs="Arial" w:eastAsia="Arial" w:hAnsi="Arial"/>
          <w:sz w:val="19"/>
          <w:szCs w:val="19"/>
          <w:color w:val="auto"/>
        </w:rPr>
        <w:t>Even if we receive marketing approval for our current or future product candidates, our current or future product candidates may not achieve broad market acceptance, which would limit the revenue that we generate from their sales.</w:t>
      </w:r>
    </w:p>
    <w:p>
      <w:pPr>
        <w:spacing w:after="0" w:line="45" w:lineRule="exact"/>
        <w:rPr>
          <w:sz w:val="20"/>
          <w:szCs w:val="20"/>
          <w:color w:val="auto"/>
        </w:rPr>
      </w:pPr>
    </w:p>
    <w:p>
      <w:pPr>
        <w:ind w:right="120"/>
        <w:spacing w:after="0" w:line="253" w:lineRule="auto"/>
        <w:rPr>
          <w:sz w:val="20"/>
          <w:szCs w:val="20"/>
          <w:color w:val="auto"/>
        </w:rPr>
      </w:pPr>
      <w:r>
        <w:rPr>
          <w:rFonts w:ascii="Arial" w:cs="Arial" w:eastAsia="Arial" w:hAnsi="Arial"/>
          <w:sz w:val="19"/>
          <w:szCs w:val="19"/>
          <w:color w:val="auto"/>
        </w:rPr>
        <w:t>The commercial success of our current or future product candidates, if approved by the FDA or other applicable regulatory authorities, will depend upon the awareness and acceptance of our current or future product candidates among the medical community, including physicians, patients and healthcare payors. Market acceptance of our current or future product candidates, if approved, will depend on a number of factors, including, among others:</w:t>
      </w:r>
    </w:p>
    <w:p>
      <w:pPr>
        <w:spacing w:after="0" w:line="85" w:lineRule="exact"/>
        <w:rPr>
          <w:sz w:val="20"/>
          <w:szCs w:val="20"/>
          <w:color w:val="auto"/>
        </w:rPr>
      </w:pPr>
    </w:p>
    <w:p>
      <w:pPr>
        <w:jc w:val="both"/>
        <w:ind w:left="720" w:right="60" w:hanging="360"/>
        <w:spacing w:after="0" w:line="260" w:lineRule="auto"/>
        <w:tabs>
          <w:tab w:leader="none" w:pos="720" w:val="left"/>
        </w:tabs>
        <w:numPr>
          <w:ilvl w:val="0"/>
          <w:numId w:val="44"/>
        </w:numPr>
        <w:rPr>
          <w:rFonts w:ascii="Arial" w:cs="Arial" w:eastAsia="Arial" w:hAnsi="Arial"/>
          <w:sz w:val="19"/>
          <w:szCs w:val="19"/>
          <w:color w:val="auto"/>
        </w:rPr>
      </w:pPr>
      <w:r>
        <w:rPr>
          <w:rFonts w:ascii="Arial" w:cs="Arial" w:eastAsia="Arial" w:hAnsi="Arial"/>
          <w:sz w:val="19"/>
          <w:szCs w:val="19"/>
          <w:color w:val="auto"/>
        </w:rPr>
        <w:t>the efficacy of our current or future product candidates as demonstrated in clinical trials, and, if required by any applicable regulatory authority in connection with the approval for the applicable indications, to provide patients with incremental health benefits, as compared to other available medicines;</w:t>
      </w:r>
    </w:p>
    <w:p>
      <w:pPr>
        <w:spacing w:after="0" w:line="78" w:lineRule="exact"/>
        <w:rPr>
          <w:rFonts w:ascii="Arial" w:cs="Arial" w:eastAsia="Arial" w:hAnsi="Arial"/>
          <w:sz w:val="19"/>
          <w:szCs w:val="19"/>
          <w:color w:val="auto"/>
        </w:rPr>
      </w:pPr>
    </w:p>
    <w:p>
      <w:pPr>
        <w:ind w:left="720" w:right="300" w:hanging="360"/>
        <w:spacing w:after="0" w:line="281" w:lineRule="auto"/>
        <w:tabs>
          <w:tab w:leader="none" w:pos="720" w:val="left"/>
        </w:tabs>
        <w:numPr>
          <w:ilvl w:val="0"/>
          <w:numId w:val="44"/>
        </w:numPr>
        <w:rPr>
          <w:rFonts w:ascii="Arial" w:cs="Arial" w:eastAsia="Arial" w:hAnsi="Arial"/>
          <w:sz w:val="19"/>
          <w:szCs w:val="19"/>
          <w:color w:val="auto"/>
        </w:rPr>
      </w:pPr>
      <w:r>
        <w:rPr>
          <w:rFonts w:ascii="Arial" w:cs="Arial" w:eastAsia="Arial" w:hAnsi="Arial"/>
          <w:sz w:val="19"/>
          <w:szCs w:val="19"/>
          <w:color w:val="auto"/>
        </w:rPr>
        <w:t>limitations or warnings contained in the labeling approved for our current or future product candidates by the FDA or other applicable regulatory authorities;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52</w:t>
      </w:r>
    </w:p>
    <w:p>
      <w:pPr>
        <w:sectPr>
          <w:pgSz w:w="12240" w:h="15840" w:orient="portrait"/>
          <w:cols w:equalWidth="0" w:num="1">
            <w:col w:w="10080"/>
          </w:cols>
          <w:pgMar w:left="1080" w:top="1062" w:right="1080" w:bottom="173" w:gutter="0" w:footer="0" w:header="0"/>
        </w:sectPr>
      </w:pPr>
    </w:p>
    <w:bookmarkStart w:id="56" w:name="page57"/>
    <w:bookmarkEnd w:id="56"/>
    <w:p>
      <w:pPr>
        <w:ind w:left="720" w:right="240" w:hanging="360"/>
        <w:spacing w:after="0" w:line="281" w:lineRule="auto"/>
        <w:tabs>
          <w:tab w:leader="none" w:pos="720"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the prevalence and severity of adverse events associated with our product candidates or those products with which they may be co-administered in immuno-oncology and, in particular, viral immunotherapies;</w:t>
      </w:r>
    </w:p>
    <w:p>
      <w:pPr>
        <w:spacing w:after="0" w:line="58" w:lineRule="exact"/>
        <w:rPr>
          <w:rFonts w:ascii="Arial" w:cs="Arial" w:eastAsia="Arial" w:hAnsi="Arial"/>
          <w:sz w:val="19"/>
          <w:szCs w:val="19"/>
          <w:color w:val="auto"/>
        </w:rPr>
      </w:pPr>
    </w:p>
    <w:p>
      <w:pPr>
        <w:ind w:left="720" w:hanging="360"/>
        <w:spacing w:after="0"/>
        <w:tabs>
          <w:tab w:leader="none" w:pos="720"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the clinical indications for which our current or future product candidates are approved;</w:t>
      </w:r>
    </w:p>
    <w:p>
      <w:pPr>
        <w:spacing w:after="0" w:line="132" w:lineRule="exact"/>
        <w:rPr>
          <w:rFonts w:ascii="Arial" w:cs="Arial" w:eastAsia="Arial" w:hAnsi="Arial"/>
          <w:sz w:val="19"/>
          <w:szCs w:val="19"/>
          <w:color w:val="auto"/>
        </w:rPr>
      </w:pPr>
    </w:p>
    <w:p>
      <w:pPr>
        <w:ind w:left="720" w:right="420" w:hanging="360"/>
        <w:spacing w:after="0" w:line="281" w:lineRule="auto"/>
        <w:tabs>
          <w:tab w:leader="none" w:pos="720" w:val="left"/>
        </w:tabs>
        <w:numPr>
          <w:ilvl w:val="0"/>
          <w:numId w:val="45"/>
        </w:numPr>
        <w:rPr>
          <w:rFonts w:ascii="Arial" w:cs="Arial" w:eastAsia="Arial" w:hAnsi="Arial"/>
          <w:sz w:val="19"/>
          <w:szCs w:val="19"/>
          <w:color w:val="auto"/>
        </w:rPr>
      </w:pPr>
      <w:r>
        <w:rPr>
          <w:rFonts w:ascii="Arial" w:cs="Arial" w:eastAsia="Arial" w:hAnsi="Arial"/>
          <w:sz w:val="19"/>
          <w:szCs w:val="19"/>
          <w:color w:val="auto"/>
        </w:rPr>
        <w:t>availability of alternative treatments already approved or expected to be commercially launched in the near future;</w:t>
      </w:r>
    </w:p>
    <w:p>
      <w:pPr>
        <w:spacing w:after="0" w:line="58" w:lineRule="exact"/>
        <w:rPr>
          <w:rFonts w:ascii="Arial" w:cs="Arial" w:eastAsia="Arial" w:hAnsi="Arial"/>
          <w:sz w:val="19"/>
          <w:szCs w:val="19"/>
          <w:color w:val="auto"/>
        </w:rPr>
      </w:pPr>
    </w:p>
    <w:p>
      <w:pPr>
        <w:ind w:left="720" w:right="520" w:hanging="360"/>
        <w:spacing w:after="0" w:line="281" w:lineRule="auto"/>
        <w:tabs>
          <w:tab w:leader="none" w:pos="720"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the potential and perceived advantages of our current or future product candidates over current treatment options or alternative treatments, including future alternative treatments;</w:t>
      </w:r>
    </w:p>
    <w:p>
      <w:pPr>
        <w:spacing w:after="0" w:line="58" w:lineRule="exact"/>
        <w:rPr>
          <w:rFonts w:ascii="Arial" w:cs="Arial" w:eastAsia="Arial" w:hAnsi="Arial"/>
          <w:sz w:val="19"/>
          <w:szCs w:val="19"/>
          <w:color w:val="auto"/>
        </w:rPr>
      </w:pPr>
    </w:p>
    <w:p>
      <w:pPr>
        <w:ind w:left="720" w:right="100" w:hanging="360"/>
        <w:spacing w:after="0" w:line="281" w:lineRule="auto"/>
        <w:tabs>
          <w:tab w:leader="none" w:pos="720"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the willingness of the target patient populations to try new therapies or treatment methods and of physicians to prescribe these therapies or methods in immuno-oncology and, in particular, viral immunotherapies;</w:t>
      </w:r>
    </w:p>
    <w:p>
      <w:pPr>
        <w:spacing w:after="0" w:line="58" w:lineRule="exact"/>
        <w:rPr>
          <w:rFonts w:ascii="Arial" w:cs="Arial" w:eastAsia="Arial" w:hAnsi="Arial"/>
          <w:sz w:val="19"/>
          <w:szCs w:val="19"/>
          <w:color w:val="auto"/>
        </w:rPr>
      </w:pPr>
    </w:p>
    <w:p>
      <w:pPr>
        <w:ind w:left="720" w:hanging="360"/>
        <w:spacing w:after="0"/>
        <w:tabs>
          <w:tab w:leader="none" w:pos="720"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the need to dose such product candidates in combination with other therapeutic agents, and related costs;</w:t>
      </w:r>
    </w:p>
    <w:p>
      <w:pPr>
        <w:spacing w:after="0" w:line="132" w:lineRule="exact"/>
        <w:rPr>
          <w:rFonts w:ascii="Arial" w:cs="Arial" w:eastAsia="Arial" w:hAnsi="Arial"/>
          <w:sz w:val="19"/>
          <w:szCs w:val="19"/>
          <w:color w:val="auto"/>
        </w:rPr>
      </w:pPr>
    </w:p>
    <w:p>
      <w:pPr>
        <w:ind w:left="720" w:hanging="360"/>
        <w:spacing w:after="0"/>
        <w:tabs>
          <w:tab w:leader="none" w:pos="720"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the strength of marketing and distribution support and timing of market introduction of competitive products;</w:t>
      </w:r>
    </w:p>
    <w:p>
      <w:pPr>
        <w:spacing w:after="0" w:line="132" w:lineRule="exact"/>
        <w:rPr>
          <w:rFonts w:ascii="Arial" w:cs="Arial" w:eastAsia="Arial" w:hAnsi="Arial"/>
          <w:sz w:val="19"/>
          <w:szCs w:val="19"/>
          <w:color w:val="auto"/>
        </w:rPr>
      </w:pPr>
    </w:p>
    <w:p>
      <w:pPr>
        <w:ind w:left="720" w:hanging="360"/>
        <w:spacing w:after="0"/>
        <w:tabs>
          <w:tab w:leader="none" w:pos="720" w:val="left"/>
        </w:tabs>
        <w:numPr>
          <w:ilvl w:val="0"/>
          <w:numId w:val="45"/>
        </w:numPr>
        <w:rPr>
          <w:rFonts w:ascii="Arial" w:cs="Arial" w:eastAsia="Arial" w:hAnsi="Arial"/>
          <w:sz w:val="19"/>
          <w:szCs w:val="19"/>
          <w:color w:val="auto"/>
        </w:rPr>
      </w:pPr>
      <w:r>
        <w:rPr>
          <w:rFonts w:ascii="Arial" w:cs="Arial" w:eastAsia="Arial" w:hAnsi="Arial"/>
          <w:sz w:val="19"/>
          <w:szCs w:val="19"/>
          <w:color w:val="auto"/>
        </w:rPr>
        <w:t>publicity concerning our products or competing products and treatments;</w:t>
      </w:r>
    </w:p>
    <w:p>
      <w:pPr>
        <w:spacing w:after="0" w:line="132" w:lineRule="exact"/>
        <w:rPr>
          <w:rFonts w:ascii="Arial" w:cs="Arial" w:eastAsia="Arial" w:hAnsi="Arial"/>
          <w:sz w:val="19"/>
          <w:szCs w:val="19"/>
          <w:color w:val="auto"/>
        </w:rPr>
      </w:pPr>
    </w:p>
    <w:p>
      <w:pPr>
        <w:ind w:left="720" w:hanging="360"/>
        <w:spacing w:after="0"/>
        <w:tabs>
          <w:tab w:leader="none" w:pos="720" w:val="left"/>
        </w:tabs>
        <w:numPr>
          <w:ilvl w:val="0"/>
          <w:numId w:val="45"/>
        </w:numPr>
        <w:rPr>
          <w:rFonts w:ascii="Arial" w:cs="Arial" w:eastAsia="Arial" w:hAnsi="Arial"/>
          <w:sz w:val="19"/>
          <w:szCs w:val="19"/>
          <w:color w:val="auto"/>
        </w:rPr>
      </w:pPr>
      <w:r>
        <w:rPr>
          <w:rFonts w:ascii="Arial" w:cs="Arial" w:eastAsia="Arial" w:hAnsi="Arial"/>
          <w:sz w:val="19"/>
          <w:szCs w:val="19"/>
          <w:color w:val="auto"/>
        </w:rPr>
        <w:t>pricing and cost effectiveness;</w:t>
      </w:r>
    </w:p>
    <w:p>
      <w:pPr>
        <w:spacing w:after="0" w:line="132" w:lineRule="exact"/>
        <w:rPr>
          <w:rFonts w:ascii="Arial" w:cs="Arial" w:eastAsia="Arial" w:hAnsi="Arial"/>
          <w:sz w:val="19"/>
          <w:szCs w:val="19"/>
          <w:color w:val="auto"/>
        </w:rPr>
      </w:pPr>
    </w:p>
    <w:p>
      <w:pPr>
        <w:ind w:left="720" w:hanging="360"/>
        <w:spacing w:after="0"/>
        <w:tabs>
          <w:tab w:leader="none" w:pos="720"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the effectiveness of our sales and marketing strategies;</w:t>
      </w:r>
    </w:p>
    <w:p>
      <w:pPr>
        <w:spacing w:after="0" w:line="132" w:lineRule="exact"/>
        <w:rPr>
          <w:rFonts w:ascii="Arial" w:cs="Arial" w:eastAsia="Arial" w:hAnsi="Arial"/>
          <w:sz w:val="19"/>
          <w:szCs w:val="19"/>
          <w:color w:val="auto"/>
        </w:rPr>
      </w:pPr>
    </w:p>
    <w:p>
      <w:pPr>
        <w:ind w:left="720" w:hanging="360"/>
        <w:spacing w:after="0"/>
        <w:tabs>
          <w:tab w:leader="none" w:pos="720" w:val="left"/>
        </w:tabs>
        <w:numPr>
          <w:ilvl w:val="0"/>
          <w:numId w:val="45"/>
        </w:numPr>
        <w:rPr>
          <w:rFonts w:ascii="Arial" w:cs="Arial" w:eastAsia="Arial" w:hAnsi="Arial"/>
          <w:sz w:val="19"/>
          <w:szCs w:val="19"/>
          <w:color w:val="auto"/>
        </w:rPr>
      </w:pPr>
      <w:r>
        <w:rPr>
          <w:rFonts w:ascii="Arial" w:cs="Arial" w:eastAsia="Arial" w:hAnsi="Arial"/>
          <w:sz w:val="19"/>
          <w:szCs w:val="19"/>
          <w:color w:val="auto"/>
        </w:rPr>
        <w:t>our ability to increase awareness of our current or future product candidates;</w:t>
      </w:r>
    </w:p>
    <w:p>
      <w:pPr>
        <w:spacing w:after="0" w:line="132" w:lineRule="exact"/>
        <w:rPr>
          <w:rFonts w:ascii="Arial" w:cs="Arial" w:eastAsia="Arial" w:hAnsi="Arial"/>
          <w:sz w:val="19"/>
          <w:szCs w:val="19"/>
          <w:color w:val="auto"/>
        </w:rPr>
      </w:pPr>
    </w:p>
    <w:p>
      <w:pPr>
        <w:ind w:left="720" w:hanging="360"/>
        <w:spacing w:after="0"/>
        <w:tabs>
          <w:tab w:leader="none" w:pos="720" w:val="left"/>
        </w:tabs>
        <w:numPr>
          <w:ilvl w:val="0"/>
          <w:numId w:val="45"/>
        </w:numPr>
        <w:rPr>
          <w:rFonts w:ascii="Arial" w:cs="Arial" w:eastAsia="Arial" w:hAnsi="Arial"/>
          <w:sz w:val="19"/>
          <w:szCs w:val="19"/>
          <w:color w:val="auto"/>
        </w:rPr>
      </w:pPr>
      <w:r>
        <w:rPr>
          <w:rFonts w:ascii="Arial" w:cs="Arial" w:eastAsia="Arial" w:hAnsi="Arial"/>
          <w:sz w:val="19"/>
          <w:szCs w:val="19"/>
          <w:color w:val="auto"/>
        </w:rPr>
        <w:t>our ability to obtain sufficient third-party coverage or reimbursement;</w:t>
      </w:r>
    </w:p>
    <w:p>
      <w:pPr>
        <w:spacing w:after="0" w:line="132" w:lineRule="exact"/>
        <w:rPr>
          <w:rFonts w:ascii="Arial" w:cs="Arial" w:eastAsia="Arial" w:hAnsi="Arial"/>
          <w:sz w:val="19"/>
          <w:szCs w:val="19"/>
          <w:color w:val="auto"/>
        </w:rPr>
      </w:pPr>
    </w:p>
    <w:p>
      <w:pPr>
        <w:ind w:left="720" w:hanging="360"/>
        <w:spacing w:after="0"/>
        <w:tabs>
          <w:tab w:leader="none" w:pos="720"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the ability or willingness of patients to pay out-of-pocket in the absence of third-party coverage; and</w:t>
      </w:r>
    </w:p>
    <w:p>
      <w:pPr>
        <w:spacing w:after="0" w:line="132" w:lineRule="exact"/>
        <w:rPr>
          <w:rFonts w:ascii="Arial" w:cs="Arial" w:eastAsia="Arial" w:hAnsi="Arial"/>
          <w:sz w:val="19"/>
          <w:szCs w:val="19"/>
          <w:color w:val="auto"/>
        </w:rPr>
      </w:pPr>
    </w:p>
    <w:p>
      <w:pPr>
        <w:ind w:left="720" w:hanging="360"/>
        <w:spacing w:after="0"/>
        <w:tabs>
          <w:tab w:leader="none" w:pos="720" w:val="left"/>
        </w:tabs>
        <w:numPr>
          <w:ilvl w:val="0"/>
          <w:numId w:val="45"/>
        </w:numPr>
        <w:rPr>
          <w:rFonts w:ascii="Arial" w:cs="Arial" w:eastAsia="Arial" w:hAnsi="Arial"/>
          <w:sz w:val="19"/>
          <w:szCs w:val="19"/>
          <w:color w:val="auto"/>
        </w:rPr>
      </w:pPr>
      <w:r>
        <w:rPr>
          <w:rFonts w:ascii="Arial" w:cs="Arial" w:eastAsia="Arial" w:hAnsi="Arial"/>
          <w:sz w:val="19"/>
          <w:szCs w:val="19"/>
          <w:color w:val="auto"/>
        </w:rPr>
        <w:t>potential product liability claims.</w:t>
      </w:r>
    </w:p>
    <w:p>
      <w:pPr>
        <w:spacing w:after="0" w:line="120" w:lineRule="exact"/>
        <w:rPr>
          <w:sz w:val="20"/>
          <w:szCs w:val="20"/>
          <w:color w:val="auto"/>
        </w:rPr>
      </w:pPr>
    </w:p>
    <w:p>
      <w:pPr>
        <w:ind w:right="180"/>
        <w:spacing w:after="0" w:line="246" w:lineRule="auto"/>
        <w:rPr>
          <w:sz w:val="20"/>
          <w:szCs w:val="20"/>
          <w:color w:val="auto"/>
        </w:rPr>
      </w:pPr>
      <w:r>
        <w:rPr>
          <w:rFonts w:ascii="Arial" w:cs="Arial" w:eastAsia="Arial" w:hAnsi="Arial"/>
          <w:sz w:val="19"/>
          <w:szCs w:val="19"/>
          <w:color w:val="auto"/>
        </w:rPr>
        <w:t>If our current or future product candidates are approved but do not achieve an adequate level of acceptance by patients, physicians and payors, we may not generate sufficient revenue from our current or future product candidates to become or remain profitable. Before granting reimbursement approval, healthcare payors may require us to demonstrate that our current or future product candidates, in addition to treating these target indications, also provide incremental health benefits to patients. Our efforts to educate the medical community, patient organizations and third-party payors about the benefits of our current or future product candidates may require significant resources and may never be successful.</w:t>
      </w:r>
    </w:p>
    <w:p>
      <w:pPr>
        <w:spacing w:after="0" w:line="86" w:lineRule="exact"/>
        <w:rPr>
          <w:sz w:val="20"/>
          <w:szCs w:val="20"/>
          <w:color w:val="auto"/>
        </w:rPr>
      </w:pPr>
    </w:p>
    <w:p>
      <w:pPr>
        <w:ind w:right="660"/>
        <w:spacing w:after="0" w:line="287" w:lineRule="auto"/>
        <w:rPr>
          <w:sz w:val="20"/>
          <w:szCs w:val="20"/>
          <w:color w:val="auto"/>
        </w:rPr>
      </w:pPr>
      <w:r>
        <w:rPr>
          <w:rFonts w:ascii="Arial" w:cs="Arial" w:eastAsia="Arial" w:hAnsi="Arial"/>
          <w:sz w:val="19"/>
          <w:szCs w:val="19"/>
          <w:b w:val="1"/>
          <w:bCs w:val="1"/>
          <w:i w:val="1"/>
          <w:iCs w:val="1"/>
          <w:color w:val="auto"/>
        </w:rPr>
        <w:t>We face substantial competition, which may result in others discovering, developing or commercializing product candidates before or more successfully than we do.</w:t>
      </w:r>
    </w:p>
    <w:p>
      <w:pPr>
        <w:spacing w:after="0" w:line="30" w:lineRule="exact"/>
        <w:rPr>
          <w:sz w:val="20"/>
          <w:szCs w:val="20"/>
          <w:color w:val="auto"/>
        </w:rPr>
      </w:pPr>
    </w:p>
    <w:p>
      <w:pPr>
        <w:ind w:right="80"/>
        <w:spacing w:after="0" w:line="245" w:lineRule="auto"/>
        <w:rPr>
          <w:sz w:val="20"/>
          <w:szCs w:val="20"/>
          <w:color w:val="auto"/>
        </w:rPr>
      </w:pPr>
      <w:r>
        <w:rPr>
          <w:rFonts w:ascii="Arial" w:cs="Arial" w:eastAsia="Arial" w:hAnsi="Arial"/>
          <w:sz w:val="19"/>
          <w:szCs w:val="19"/>
          <w:color w:val="auto"/>
        </w:rPr>
        <w:t>The development and commercialization of new product candidates is highly competitive. We face competition from major pharmaceutical, specialty pharmaceutical and biotechnology companies among others with respect to CAN-2409 and CAN-3110 and will face similar competition with respect to any product candidates that we may seek to develop or commercialize in the future. We compete in pharmaceutical, biotechnology and other related markets that develop immuno-oncology therapies for the treatment of cancer. There are other companies working to develop viral immunotherapies for the treatment of cancer including divisions of large pharmaceutical and biotechnology companies of various sizes. The large pharmaceutical and biotechnology companies that have commercialized and/or are developing immuno-oncology treatments for cancer include AstraZeneca, Bristol-Myers Squibb, Gilead Sciences, Merck, Novartis, Pfizer, Regeneron and Roche/Genentech.</w:t>
      </w:r>
    </w:p>
    <w:p>
      <w:pPr>
        <w:spacing w:after="0" w:line="79" w:lineRule="exact"/>
        <w:rPr>
          <w:sz w:val="20"/>
          <w:szCs w:val="20"/>
          <w:color w:val="auto"/>
        </w:rPr>
      </w:pPr>
    </w:p>
    <w:p>
      <w:pPr>
        <w:spacing w:after="0" w:line="246" w:lineRule="auto"/>
        <w:rPr>
          <w:sz w:val="20"/>
          <w:szCs w:val="20"/>
          <w:color w:val="auto"/>
        </w:rPr>
      </w:pPr>
      <w:r>
        <w:rPr>
          <w:rFonts w:ascii="Arial" w:cs="Arial" w:eastAsia="Arial" w:hAnsi="Arial"/>
          <w:sz w:val="19"/>
          <w:szCs w:val="19"/>
          <w:color w:val="auto"/>
        </w:rPr>
        <w:t>Some of the products and therapies developed by our competitors are based on scientific approaches that are the same as or similar to our approach, including with respect to the use of viral immunotherapy with adenovirus and HSV. Other competitive products and therapies are based on entirely different approaches. We are aware that Replimune, Amgen, ImmVira, FerGene and IconOVir, among others, are developing viral immunotherapies that may have utility for the treatment of indications that we are targeting.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8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Many of the companies we compete against or may compete against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concentration of even more resources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in establishing clinical trial sites and enrolling subjects for our clinical trials and in acquiring technologies complementary to, or necessary for, our programs.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53</w:t>
      </w:r>
    </w:p>
    <w:p>
      <w:pPr>
        <w:sectPr>
          <w:pgSz w:w="12240" w:h="15840" w:orient="portrait"/>
          <w:cols w:equalWidth="0" w:num="1">
            <w:col w:w="10080"/>
          </w:cols>
          <w:pgMar w:left="1080" w:top="1075" w:right="1080" w:bottom="173" w:gutter="0" w:footer="0" w:header="0"/>
        </w:sectPr>
      </w:pPr>
    </w:p>
    <w:bookmarkStart w:id="57" w:name="page58"/>
    <w:bookmarkEnd w:id="57"/>
    <w:p>
      <w:pPr>
        <w:ind w:right="40"/>
        <w:spacing w:after="0" w:line="245" w:lineRule="auto"/>
        <w:rPr>
          <w:sz w:val="20"/>
          <w:szCs w:val="20"/>
          <w:color w:val="auto"/>
        </w:rPr>
      </w:pPr>
      <w:r>
        <w:rPr>
          <w:rFonts w:ascii="Arial" w:cs="Arial" w:eastAsia="Arial" w:hAnsi="Arial"/>
          <w:sz w:val="19"/>
          <w:szCs w:val="19"/>
          <w:color w:val="auto"/>
        </w:rPr>
        <w:t>We could see a reduction or elimination of our commercial opportunity if our competitors develop and commercialize products that are safer, more effective, have fewer or less severe side effects, or are more convenient or are less expensive than any products that we or our collaborators may develop. Our competitors also may obtain FDA or foreign regulatory approval for their products more rapidly than we may obtain approval for ours, which could result in our competitors establishing a strong market position before we are able to enter the market. The key competitive factors affecting the success of all our product candidates, if approved, are likely to be their efficacy, safety, convenience and price, if required, the level of biosimilar or generic competition and the availability of reimbursement from government and other third-party payors.</w:t>
      </w:r>
    </w:p>
    <w:p>
      <w:pPr>
        <w:spacing w:after="0" w:line="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Government Regulation and Commercialization of Our Product Candidates</w:t>
      </w:r>
    </w:p>
    <w:p>
      <w:pPr>
        <w:spacing w:after="0" w:line="128" w:lineRule="exact"/>
        <w:rPr>
          <w:sz w:val="20"/>
          <w:szCs w:val="20"/>
          <w:color w:val="auto"/>
        </w:rPr>
      </w:pPr>
    </w:p>
    <w:p>
      <w:pPr>
        <w:ind w:right="80"/>
        <w:spacing w:after="0" w:line="255" w:lineRule="auto"/>
        <w:rPr>
          <w:sz w:val="20"/>
          <w:szCs w:val="20"/>
          <w:color w:val="auto"/>
        </w:rPr>
      </w:pPr>
      <w:r>
        <w:rPr>
          <w:rFonts w:ascii="Arial" w:cs="Arial" w:eastAsia="Arial" w:hAnsi="Arial"/>
          <w:sz w:val="19"/>
          <w:szCs w:val="19"/>
          <w:b w:val="1"/>
          <w:bCs w:val="1"/>
          <w:i w:val="1"/>
          <w:iCs w:val="1"/>
          <w:color w:val="auto"/>
        </w:rPr>
        <w:t>The regulatory approval processes of the FDA and comparable foreign regulatory authorities are lengthy, time-consuming and inherently unpredictable. If we are not able to obtain, or experience delays in obtaining, required regulatory approvals, we will not be able to commercialize CAN-2409, CAN-3110 and future product candidates as expected, and our ability to generate revenue may be materially impaired.</w:t>
      </w:r>
    </w:p>
    <w:p>
      <w:pPr>
        <w:spacing w:after="0" w:line="61" w:lineRule="exact"/>
        <w:rPr>
          <w:sz w:val="20"/>
          <w:szCs w:val="20"/>
          <w:color w:val="auto"/>
        </w:rPr>
      </w:pPr>
    </w:p>
    <w:p>
      <w:pPr>
        <w:ind w:right="40"/>
        <w:spacing w:after="0" w:line="244" w:lineRule="auto"/>
        <w:rPr>
          <w:sz w:val="20"/>
          <w:szCs w:val="20"/>
          <w:color w:val="auto"/>
        </w:rPr>
      </w:pPr>
      <w:r>
        <w:rPr>
          <w:rFonts w:ascii="Arial" w:cs="Arial" w:eastAsia="Arial" w:hAnsi="Arial"/>
          <w:sz w:val="19"/>
          <w:szCs w:val="19"/>
          <w:color w:val="auto"/>
        </w:rPr>
        <w:t>The time required to obtain approval by the FDA and comparable foreign regulatory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These regulatory requirements may require us to amend our clinical trial protocols, including to comply with the protocols of any applicable SPA we receive from the FDA; conduct additional preclinical studies or clinical trials that may require regulatory or independent IRB approval; or otherwise cause delays in obtaining approval or rejection of an application. Any delay in obtaining or failure to obtain required approvals could materially adversely affect our ability to generate revenue from the particular product candidate, which may materially harm our business, financial condition, results of operations, stock price and prospects.</w:t>
      </w:r>
    </w:p>
    <w:p>
      <w:pPr>
        <w:spacing w:after="0" w:line="84" w:lineRule="exact"/>
        <w:rPr>
          <w:sz w:val="20"/>
          <w:szCs w:val="20"/>
          <w:color w:val="auto"/>
        </w:rPr>
      </w:pPr>
    </w:p>
    <w:p>
      <w:pPr>
        <w:spacing w:after="0" w:line="244" w:lineRule="auto"/>
        <w:rPr>
          <w:sz w:val="20"/>
          <w:szCs w:val="20"/>
          <w:color w:val="auto"/>
        </w:rPr>
      </w:pPr>
      <w:r>
        <w:rPr>
          <w:rFonts w:ascii="Arial" w:cs="Arial" w:eastAsia="Arial" w:hAnsi="Arial"/>
          <w:sz w:val="19"/>
          <w:szCs w:val="19"/>
          <w:color w:val="auto"/>
        </w:rPr>
        <w:t>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The number and types of preclinical studies and clinical trials that will be required for regulatory approval also varies depending on the product candidate, the disease or condition that the product candidate is designed to address, and the regulations applicable to any particular product candidate. Approval policies, regulations or the type and amount of clinical data necessary to gain approval may change during the course of a product candidate’s clinical development and may vary among jurisdictions, and there may be varying interpretations of data obtained from preclinical studies or clinical trials, any of which may cause delays or limitations in the approval or a decision not to approve an application. It is possible that CAN-2409, CAN-3110 and future product candidates will never obtain the appropriate regulatory approvals necessary for us to commence product sales.</w:t>
      </w:r>
    </w:p>
    <w:p>
      <w:pPr>
        <w:spacing w:after="0" w:line="80" w:lineRule="exact"/>
        <w:rPr>
          <w:sz w:val="20"/>
          <w:szCs w:val="20"/>
          <w:color w:val="auto"/>
        </w:rPr>
      </w:pPr>
    </w:p>
    <w:p>
      <w:pPr>
        <w:ind w:right="60"/>
        <w:spacing w:after="0" w:line="272" w:lineRule="auto"/>
        <w:rPr>
          <w:sz w:val="20"/>
          <w:szCs w:val="20"/>
          <w:color w:val="auto"/>
        </w:rPr>
      </w:pPr>
      <w:r>
        <w:rPr>
          <w:rFonts w:ascii="Arial" w:cs="Arial" w:eastAsia="Arial" w:hAnsi="Arial"/>
          <w:sz w:val="18"/>
          <w:szCs w:val="18"/>
          <w:color w:val="auto"/>
        </w:rPr>
        <w:t>If we experience delays in obtaining approval, if we fail to obtain regulatory approval of CAN-2409, CAN-3110 or any future product candidate or if the label for a product candidate does not include the labeling claims necessary or desirable for the successful commercialization of that product candidate, the commercial prospects for such product candidate may be harmed and our ability to generate revenues from that product candidate may be materially impaired.</w:t>
      </w:r>
    </w:p>
    <w:p>
      <w:pPr>
        <w:spacing w:after="0" w:line="56" w:lineRule="exact"/>
        <w:rPr>
          <w:sz w:val="20"/>
          <w:szCs w:val="20"/>
          <w:color w:val="auto"/>
        </w:rPr>
      </w:pPr>
    </w:p>
    <w:p>
      <w:pPr>
        <w:spacing w:after="0" w:line="242" w:lineRule="auto"/>
        <w:rPr>
          <w:sz w:val="20"/>
          <w:szCs w:val="20"/>
          <w:color w:val="auto"/>
        </w:rPr>
      </w:pPr>
      <w:r>
        <w:rPr>
          <w:rFonts w:ascii="Arial" w:cs="Arial" w:eastAsia="Arial" w:hAnsi="Arial"/>
          <w:sz w:val="19"/>
          <w:szCs w:val="19"/>
          <w:color w:val="auto"/>
        </w:rPr>
        <w:t>CAN-2409, CAN-3110 or future product candidates may cause undesirable side effects or have other properties that could delay or prevent their regulatory approval, limit the commercial profile of an approved label, or result in significant negative consequences following marketing approval, if any. Serious adverse events or undesirable side effects caused by CAN-2409, CAN-3110 and future product candidates could cause us, IRBs, and other reviewing entities or regulatory authorities to interrupt, delay, or halt clinical trials and could result in a more restrictive label or the delay or denial of regulatory approval by the FDA or comparable foreign regulatory authorities. For example, if concerns are raised regarding the safety of a new therapeutic as a result of undesirable side effects identified during clinical or preclinical testing, the FDA or comparable foreign regulatory authority may order us to cease further development, decline to approve the product candidate or issue a letter requesting additional data or information prior to making a final decision regarding whether or not to approve the product candidate. The FDA or comparable foreign regulatory authorities, or IRBs and other reviewing entities, may also require, or we may voluntarily develop, strategies for managing adverse events during clinical development, which could include restrictions on our enrollment criteria, the use of stopping criteria, adjustments to a study’s design, or the monitoring of safety data by a data monitoring committee, among other strategies. For example, patients enrolled in our ongoing clinical trials of CAN-2409 and CAN-3110 have experienced mild to moderate adverse events, consisting mainly of flu-like symptoms and injection site reactions. In response to these adverse events, we have implemented prophylactic measures, including intravenous fluids, antiemetics and antipyretics. The FDA’s or a comparable foreign regulatory authority’s requests for additional data or information could also result in substantial delays in the approval of CAN-2409, CAN-3110 and future product candidates.</w:t>
      </w:r>
    </w:p>
    <w:p>
      <w:pPr>
        <w:spacing w:after="0" w:line="87" w:lineRule="exact"/>
        <w:rPr>
          <w:sz w:val="20"/>
          <w:szCs w:val="20"/>
          <w:color w:val="auto"/>
        </w:rPr>
      </w:pPr>
    </w:p>
    <w:p>
      <w:pPr>
        <w:ind w:right="260"/>
        <w:spacing w:after="0" w:line="310" w:lineRule="auto"/>
        <w:rPr>
          <w:sz w:val="20"/>
          <w:szCs w:val="20"/>
          <w:color w:val="auto"/>
        </w:rPr>
      </w:pPr>
      <w:r>
        <w:rPr>
          <w:rFonts w:ascii="Arial" w:cs="Arial" w:eastAsia="Arial" w:hAnsi="Arial"/>
          <w:sz w:val="18"/>
          <w:szCs w:val="18"/>
          <w:color w:val="auto"/>
        </w:rPr>
        <w:t>Further, clinical trials by their nature utilize a sample of the potential patient population. With a limited number of patients and limited duration of exposure, rare and severe side effects of a product candidate may only be uncovered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54</w:t>
      </w:r>
    </w:p>
    <w:p>
      <w:pPr>
        <w:sectPr>
          <w:pgSz w:w="12240" w:h="15840" w:orient="portrait"/>
          <w:cols w:equalWidth="0" w:num="1">
            <w:col w:w="10080"/>
          </w:cols>
          <w:pgMar w:left="1080" w:top="1062" w:right="1080" w:bottom="173" w:gutter="0" w:footer="0" w:header="0"/>
        </w:sectPr>
      </w:pPr>
    </w:p>
    <w:bookmarkStart w:id="58" w:name="page59"/>
    <w:bookmarkEnd w:id="58"/>
    <w:p>
      <w:pPr>
        <w:ind w:right="80"/>
        <w:spacing w:after="0" w:line="281" w:lineRule="auto"/>
        <w:rPr>
          <w:sz w:val="20"/>
          <w:szCs w:val="20"/>
          <w:color w:val="auto"/>
        </w:rPr>
      </w:pPr>
      <w:r>
        <w:rPr>
          <w:rFonts w:ascii="Arial" w:cs="Arial" w:eastAsia="Arial" w:hAnsi="Arial"/>
          <w:sz w:val="19"/>
          <w:szCs w:val="19"/>
          <w:color w:val="auto"/>
        </w:rPr>
        <w:t>when a significantly larger number of patients are exposed to the product candidate or when patients are exposed for a longer period of time.</w:t>
      </w:r>
    </w:p>
    <w:p>
      <w:pPr>
        <w:spacing w:after="0" w:line="45" w:lineRule="exact"/>
        <w:rPr>
          <w:sz w:val="20"/>
          <w:szCs w:val="20"/>
          <w:color w:val="auto"/>
        </w:rPr>
      </w:pPr>
    </w:p>
    <w:p>
      <w:pPr>
        <w:spacing w:after="0" w:line="243" w:lineRule="auto"/>
        <w:rPr>
          <w:sz w:val="20"/>
          <w:szCs w:val="20"/>
          <w:color w:val="auto"/>
        </w:rPr>
      </w:pPr>
      <w:r>
        <w:rPr>
          <w:rFonts w:ascii="Arial" w:cs="Arial" w:eastAsia="Arial" w:hAnsi="Arial"/>
          <w:sz w:val="19"/>
          <w:szCs w:val="19"/>
          <w:color w:val="auto"/>
        </w:rPr>
        <w:t>Undesirable side effects caused by CAN-2409, CAN-3110 or any future product candidates could also result in denial of regulatory approval by the FDA or comparable foreign regulatory authorities for any or all targeted indications or the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may result in requirements for costly post-marketing testing and surveillance, or other requirements, including the submission of a Risk Evaluation and Mitigation Strategy (REMS) to monitor the safety or efficacy of the products, and in turn prevent us from commercializing and generating revenues from the sale of CAN-2409, CAN-3110 and future product candidates. Any such limitations or restrictions could similarly impact any supplemental marketing approvals we may obtain for CAN-2409 and CAN-3110. Undesirable side effects may limit the potential market for any approved products or could result in restrictions on manufacturing processes, the discontinuation of the sales and marketing of the product, or withdrawal of product approvals. We could also be sued and held liable for harm caused to patients, or become subject to fines, injunctions or the imposition of civil or criminal penalties.</w:t>
      </w:r>
    </w:p>
    <w:p>
      <w:pPr>
        <w:spacing w:after="0" w:line="84" w:lineRule="exact"/>
        <w:rPr>
          <w:sz w:val="20"/>
          <w:szCs w:val="20"/>
          <w:color w:val="auto"/>
        </w:rPr>
      </w:pPr>
    </w:p>
    <w:p>
      <w:pPr>
        <w:spacing w:after="0" w:line="246" w:lineRule="auto"/>
        <w:rPr>
          <w:sz w:val="20"/>
          <w:szCs w:val="20"/>
          <w:color w:val="auto"/>
        </w:rPr>
      </w:pPr>
      <w:r>
        <w:rPr>
          <w:rFonts w:ascii="Arial" w:cs="Arial" w:eastAsia="Arial" w:hAnsi="Arial"/>
          <w:sz w:val="19"/>
          <w:szCs w:val="19"/>
          <w:color w:val="auto"/>
        </w:rPr>
        <w:t>If CAN-2409, CAN-3110 and future product candidates are associated with serious adverse events or undesirable side effects or have properties that are unexpected, we may need to abandon development or limit development of that product candidate to certain uses or subpopulations in which the undesirable side effects or other characteristics are less prevalent, less severe or more acceptable from a risk-benefit perspective. The therapeutic-related side effects could affect patient recruitment or the ability of enrolled patients to complete the trial or result in potential product liability claims. Any of these occurrences may materially harm our business, financial condition, results of operations, stock price and prospects.</w:t>
      </w:r>
    </w:p>
    <w:p>
      <w:pPr>
        <w:spacing w:after="0" w:line="86" w:lineRule="exact"/>
        <w:rPr>
          <w:sz w:val="20"/>
          <w:szCs w:val="20"/>
          <w:color w:val="auto"/>
        </w:rPr>
      </w:pPr>
    </w:p>
    <w:p>
      <w:pPr>
        <w:ind w:right="20"/>
        <w:spacing w:after="0" w:line="255" w:lineRule="auto"/>
        <w:rPr>
          <w:sz w:val="20"/>
          <w:szCs w:val="20"/>
          <w:color w:val="auto"/>
        </w:rPr>
      </w:pPr>
      <w:r>
        <w:rPr>
          <w:rFonts w:ascii="Arial" w:cs="Arial" w:eastAsia="Arial" w:hAnsi="Arial"/>
          <w:sz w:val="19"/>
          <w:szCs w:val="19"/>
          <w:b w:val="1"/>
          <w:bCs w:val="1"/>
          <w:i w:val="1"/>
          <w:iCs w:val="1"/>
          <w:color w:val="auto"/>
        </w:rPr>
        <w:t>The FDA’s agreement to a Special Protocol Assessment with respect to the study design of our pivotal phase 3 clinical trial of CAN-2409 in newly diagnosed localized prostate cancer in intermediate and high-risk patients does not guarantee any particular outcome from regulatory review, including ultimate approval, and may not lead to a successful review or approval process.</w:t>
      </w:r>
    </w:p>
    <w:p>
      <w:pPr>
        <w:spacing w:after="0" w:line="61" w:lineRule="exact"/>
        <w:rPr>
          <w:sz w:val="20"/>
          <w:szCs w:val="20"/>
          <w:color w:val="auto"/>
        </w:rPr>
      </w:pPr>
    </w:p>
    <w:p>
      <w:pPr>
        <w:spacing w:after="0" w:line="243" w:lineRule="auto"/>
        <w:rPr>
          <w:sz w:val="20"/>
          <w:szCs w:val="20"/>
          <w:color w:val="auto"/>
        </w:rPr>
      </w:pPr>
      <w:r>
        <w:rPr>
          <w:rFonts w:ascii="Arial" w:cs="Arial" w:eastAsia="Arial" w:hAnsi="Arial"/>
          <w:sz w:val="19"/>
          <w:szCs w:val="19"/>
          <w:color w:val="auto"/>
        </w:rPr>
        <w:t>We have obtained agreement from the FDA on the design and size of our pivotal phase 3 clinical trial of CAN-2409 in newly diagnosed localized prostate cancer in intermediate- and high-risk patients in combination with the SoC through a Special Protocol Assessment (SPA). The FDA’s SPA process is designed to facilitate the FDA’s review and approval of drugs and biologics by allowing the FDA to evaluate the proposed design and size of certain clinical or animal studies, including clinical trials that are intended to form the primary basis for determining a product candidate’s efficacy. Upon specific request by a clinical trial sponsor, the FDA will evaluate the protocol and respond to a sponsor’s questions regarding protocol design and scientific and regulatory requirements. The FDA aims to complete SPA reviews within 45 days of receipt of the request. The FDA ultimately assesses whether specific elements of the protocol design of the trial, such as entry criteria, dose selection, endpoints and/or planned analyses, are acceptable to support regulatory approval of the product with respect to the effectiveness of the indication studied. All exchanges between the FDA and the sponsor regarding an SPA must be clearly documented in an SPA letter or the minutes of a meeting between the sponsor and the FDA.</w:t>
      </w:r>
    </w:p>
    <w:p>
      <w:pPr>
        <w:spacing w:after="0" w:line="87" w:lineRule="exact"/>
        <w:rPr>
          <w:sz w:val="20"/>
          <w:szCs w:val="20"/>
          <w:color w:val="auto"/>
        </w:rPr>
      </w:pPr>
    </w:p>
    <w:p>
      <w:pPr>
        <w:ind w:right="20"/>
        <w:spacing w:after="0" w:line="245" w:lineRule="auto"/>
        <w:rPr>
          <w:sz w:val="20"/>
          <w:szCs w:val="20"/>
          <w:color w:val="auto"/>
        </w:rPr>
      </w:pPr>
      <w:r>
        <w:rPr>
          <w:rFonts w:ascii="Arial" w:cs="Arial" w:eastAsia="Arial" w:hAnsi="Arial"/>
          <w:sz w:val="19"/>
          <w:szCs w:val="19"/>
          <w:color w:val="auto"/>
        </w:rPr>
        <w:t>Although the FDA may agree to an SPA, an SPA agreement does not guarantee approval of a product. Even if the FDA agrees to the design, execution, and analysis proposed in protocols reviewed under the SPA process, the FDA may revoke or alter its agreement in certain circumstances. In particular, an SPA agreement is not binding on the FDA if public health concerns emerge that were unrecognized at the time of the SPA agreement, other new scientific concerns regarding product safety or efficacy arise, the sponsor company fails to comply with the agreed upon trial protocols, or the relevant data, assumptions or information provided by the sponsor in a request for the SPA change or are found to be false or omit relevant facts. While we have obtained an SPA agreement for our phase 3 clinical trial, we have subsequently made minor amendments to the protocol and have not obtained an SPA amendment in connection with the amended protocol.</w:t>
      </w:r>
    </w:p>
    <w:p>
      <w:pPr>
        <w:spacing w:after="0" w:line="79" w:lineRule="exact"/>
        <w:rPr>
          <w:sz w:val="20"/>
          <w:szCs w:val="20"/>
          <w:color w:val="auto"/>
        </w:rPr>
      </w:pPr>
    </w:p>
    <w:p>
      <w:pPr>
        <w:ind w:right="80"/>
        <w:spacing w:after="0" w:line="250" w:lineRule="auto"/>
        <w:rPr>
          <w:sz w:val="20"/>
          <w:szCs w:val="20"/>
          <w:color w:val="auto"/>
        </w:rPr>
      </w:pPr>
      <w:r>
        <w:rPr>
          <w:rFonts w:ascii="Arial" w:cs="Arial" w:eastAsia="Arial" w:hAnsi="Arial"/>
          <w:sz w:val="19"/>
          <w:szCs w:val="19"/>
          <w:color w:val="auto"/>
        </w:rPr>
        <w:t>In addition, even after an SPA agreement is finalized, the SPA agreement may be modified, and such modification will be deemed binding on the FDA review division, except under the circumstances described above, if the FDA and the sponsor agree in writing to modify the protocol. Generally, such modification is intended to improve the study. The FDA retains significant latitude and discretion in interpreting the terms of the SPA agreement and the data and results from any study that is the subject of the SPA agreement.</w:t>
      </w:r>
    </w:p>
    <w:p>
      <w:pPr>
        <w:spacing w:after="0" w:line="74"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Moreover, if the FDA revokes or alters its agreement under the SPA, or interprets the data collected from the clinical trial differently than we do, the FDA may not deem the data sufficient to support an application for regulatory approval of CAN-2409 in prostate cancer.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55</w:t>
      </w:r>
    </w:p>
    <w:p>
      <w:pPr>
        <w:sectPr>
          <w:pgSz w:w="12240" w:h="15840" w:orient="portrait"/>
          <w:cols w:equalWidth="0" w:num="1">
            <w:col w:w="10060"/>
          </w:cols>
          <w:pgMar w:left="1080" w:top="1062" w:right="1100" w:bottom="173" w:gutter="0" w:footer="0" w:header="0"/>
        </w:sectPr>
      </w:pPr>
    </w:p>
    <w:bookmarkStart w:id="59" w:name="page60"/>
    <w:bookmarkEnd w:id="59"/>
    <w:p>
      <w:pPr>
        <w:ind w:right="320"/>
        <w:spacing w:after="0" w:line="263" w:lineRule="auto"/>
        <w:rPr>
          <w:sz w:val="20"/>
          <w:szCs w:val="20"/>
          <w:color w:val="auto"/>
        </w:rPr>
      </w:pPr>
      <w:r>
        <w:rPr>
          <w:rFonts w:ascii="Arial" w:cs="Arial" w:eastAsia="Arial" w:hAnsi="Arial"/>
          <w:sz w:val="19"/>
          <w:szCs w:val="19"/>
          <w:b w:val="1"/>
          <w:bCs w:val="1"/>
          <w:i w:val="1"/>
          <w:iCs w:val="1"/>
          <w:color w:val="auto"/>
        </w:rPr>
        <w:t>A fast track designation by the FDA, even though granted for CAN-2409 and CAN-3110, or if received for any other future product candidates, may not lead to a faster development or regulatory review or approval process, and does not increase the likelihood that our product candidates will receive marketing approval.</w:t>
      </w:r>
    </w:p>
    <w:p>
      <w:pPr>
        <w:spacing w:after="0" w:line="53"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If a drug or biologic is intended for the treatment of a serious or life-threatening condition and the product demonstrates the potential to address unmet medical needs for this condition, the product sponsor may apply for FDA fast track designation for a particular indication. We have been granted fast track designation for the use of CAN-2409 for: (1) the treatment of localized, primary prostate cancer in combination with radiation therapy to improve the local control rate;</w:t>
      </w:r>
    </w:p>
    <w:p>
      <w:pPr>
        <w:spacing w:after="0" w:line="1" w:lineRule="exact"/>
        <w:rPr>
          <w:sz w:val="20"/>
          <w:szCs w:val="20"/>
          <w:color w:val="auto"/>
        </w:rPr>
      </w:pPr>
    </w:p>
    <w:p>
      <w:pPr>
        <w:spacing w:after="0"/>
        <w:tabs>
          <w:tab w:leader="none" w:pos="285" w:val="left"/>
        </w:tabs>
        <w:numPr>
          <w:ilvl w:val="0"/>
          <w:numId w:val="46"/>
        </w:numPr>
        <w:rPr>
          <w:rFonts w:ascii="Arial" w:cs="Arial" w:eastAsia="Arial" w:hAnsi="Arial"/>
          <w:sz w:val="19"/>
          <w:szCs w:val="19"/>
          <w:color w:val="auto"/>
        </w:rPr>
      </w:pPr>
      <w:r>
        <w:rPr>
          <w:rFonts w:ascii="Arial" w:cs="Arial" w:eastAsia="Arial" w:hAnsi="Arial"/>
          <w:sz w:val="19"/>
          <w:szCs w:val="19"/>
          <w:color w:val="auto"/>
        </w:rPr>
        <w:t>with valacyclovir in combination with pembrolizumab in order to improve survival or delay progression in patients with stage III/IV NSCLC who are resistant to first line PD-(L)1 inhibitor therapy and who do not have activating molecular driver mutations; and (3) with prodrug (valacyclovir) for the treatment of patients with pancreatic ductal adenocarcinoma (PDAC) to improve overall survival. CAN-3110 was also granted fast track designation for the treatment of patients with recurrent high-grade glioma to improve overall survival. We may also seek fast track designation for certain of our future product candidates, as appropriate. However, there is no assurance that the FDA will grant this status to CAN-3110, CAN-2409, or any of our proposed product candidates. Marketing applications filed by sponsors of products in fast track development may qualify for priority review under the policies and procedures offered by the FDA, but the fast track designation does not assure any such qualification or ultimate marketing approval by the FDA. The FDA has broad discretion whether or not to grant fast track designation, so even if we believe a particular product candidate is eligible for this designation, there can be no assurance that the FDA would decide to grant it. Even though we have received fast track designation for CAN-2409 and CAN-3110 or even if we receive fast track designation for our future product candidates or for additional indications in CAN-2409 and CAN-3110, we may not experience a faster development process, review or approval compared to conventional FDA procedures, and receiving a fast track designation does not provide assurance of ultimate FDA approval. In addition, the FDA may withdraw fast track designation if it believes that the designation is no longer supported by data from our clinical development program. In addition, the FDA may withdraw any fast track designation at any time.</w:t>
      </w:r>
    </w:p>
    <w:p>
      <w:pPr>
        <w:spacing w:after="0" w:line="100" w:lineRule="exact"/>
        <w:rPr>
          <w:sz w:val="20"/>
          <w:szCs w:val="20"/>
          <w:color w:val="auto"/>
        </w:rPr>
      </w:pPr>
    </w:p>
    <w:p>
      <w:pPr>
        <w:ind w:right="280"/>
        <w:spacing w:after="0" w:line="263" w:lineRule="auto"/>
        <w:rPr>
          <w:sz w:val="20"/>
          <w:szCs w:val="20"/>
          <w:color w:val="auto"/>
        </w:rPr>
      </w:pPr>
      <w:r>
        <w:rPr>
          <w:rFonts w:ascii="Arial" w:cs="Arial" w:eastAsia="Arial" w:hAnsi="Arial"/>
          <w:sz w:val="19"/>
          <w:szCs w:val="19"/>
          <w:b w:val="1"/>
          <w:bCs w:val="1"/>
          <w:i w:val="1"/>
          <w:iCs w:val="1"/>
          <w:color w:val="auto"/>
        </w:rPr>
        <w:t>A breakthrough therapy designation by the FDA, even if granted for any of our product candidates, may not lead to a faster development or regulatory review or approval process and it does not increase the likelihood that our product candidates will receive marketing approval.</w:t>
      </w:r>
    </w:p>
    <w:p>
      <w:pPr>
        <w:spacing w:after="0" w:line="53" w:lineRule="exact"/>
        <w:rPr>
          <w:sz w:val="20"/>
          <w:szCs w:val="20"/>
          <w:color w:val="auto"/>
        </w:rPr>
      </w:pPr>
    </w:p>
    <w:p>
      <w:pPr>
        <w:ind w:right="80"/>
        <w:spacing w:after="0" w:line="245" w:lineRule="auto"/>
        <w:rPr>
          <w:sz w:val="20"/>
          <w:szCs w:val="20"/>
          <w:color w:val="auto"/>
        </w:rPr>
      </w:pPr>
      <w:r>
        <w:rPr>
          <w:rFonts w:ascii="Arial" w:cs="Arial" w:eastAsia="Arial" w:hAnsi="Arial"/>
          <w:sz w:val="19"/>
          <w:szCs w:val="19"/>
          <w:color w:val="auto"/>
        </w:rPr>
        <w:t>We may seek breakthrough therapy designation for some or all of our future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Sponsors of product candidates that have been designated as breakthrough therapies are eligible to receive more intensive FDA guidance on developing an efficient drug development program, an organizational commitment involving senior managers, and eligibility for rolling review and priority review. Drugs and biologics designated as breakthrough therapies by the FDA may also be eligible for other expedited approval programs, including accelerated approval.</w:t>
      </w:r>
    </w:p>
    <w:p>
      <w:pPr>
        <w:spacing w:after="0" w:line="79" w:lineRule="exact"/>
        <w:rPr>
          <w:sz w:val="20"/>
          <w:szCs w:val="20"/>
          <w:color w:val="auto"/>
        </w:rPr>
      </w:pPr>
    </w:p>
    <w:p>
      <w:pPr>
        <w:ind w:right="20"/>
        <w:spacing w:after="0" w:line="244" w:lineRule="auto"/>
        <w:rPr>
          <w:sz w:val="20"/>
          <w:szCs w:val="20"/>
          <w:color w:val="auto"/>
        </w:rPr>
      </w:pPr>
      <w:r>
        <w:rPr>
          <w:rFonts w:ascii="Arial" w:cs="Arial" w:eastAsia="Arial" w:hAnsi="Arial"/>
          <w:sz w:val="19"/>
          <w:szCs w:val="19"/>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product candidates developed and considered for approval that have not received breakthrough therapy designation and does not assure ultimate approval by the FDA. In addition, even if one or more of our product candidates qualify as breakthrough therapies, the FDA may later decide that the product no longer meets the conditions for qualification. Thus, even though we may seek breakthrough therapy designation for CAN-2409, CAN-3110 or some or all of our future product candidates for the treatment of various cancers, there can be no assurance that we will receive breakthrough therapy designation.</w:t>
      </w:r>
    </w:p>
    <w:p>
      <w:pPr>
        <w:spacing w:after="0" w:line="88" w:lineRule="exact"/>
        <w:rPr>
          <w:sz w:val="20"/>
          <w:szCs w:val="20"/>
          <w:color w:val="auto"/>
        </w:rPr>
      </w:pPr>
    </w:p>
    <w:p>
      <w:pPr>
        <w:ind w:right="240"/>
        <w:spacing w:after="0" w:line="263" w:lineRule="auto"/>
        <w:rPr>
          <w:sz w:val="20"/>
          <w:szCs w:val="20"/>
          <w:color w:val="auto"/>
        </w:rPr>
      </w:pPr>
      <w:r>
        <w:rPr>
          <w:rFonts w:ascii="Arial" w:cs="Arial" w:eastAsia="Arial" w:hAnsi="Arial"/>
          <w:sz w:val="19"/>
          <w:szCs w:val="19"/>
          <w:b w:val="1"/>
          <w:bCs w:val="1"/>
          <w:i w:val="1"/>
          <w:iCs w:val="1"/>
          <w:color w:val="auto"/>
        </w:rPr>
        <w:t>Accelerated approval by the FDA, even if granted for certain of our current or future product candidates, may not lead to a faster development or regulatory review or approval process and it does not increase the likelihood that our product candidates will receive marketing approval.</w:t>
      </w:r>
    </w:p>
    <w:p>
      <w:pPr>
        <w:spacing w:after="0" w:line="53"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We may seek approval of certain of our current or future product candidates using the FDA’s accelerated approval pathway. A product may be eligible for accelerated approval if it treats a serious or life-threatening condition, generally provides a meaningful advantage over available therapies, and demonstrates an effect on a surrogate endpoint that is reasonably likely to predict clinical benefit. As a condition of approval, the FDA may require that a sponsor of a product receiving accelerated approval perform adequate and well-controlled post-marketing clinical trials. These confirmatory trials must be completed with due diligence by the sponsor and, under the Food and Drug Omnibus Reform Act of 2022 (FDORA), the FDA is permitted to require, as appropriate, that such trials be underway prior to approval or within a specified time period after the date accelerated approval is granted. FDORA also requires sponsors to send updates to the FDA every 180 days on the status of such confirmatory trials, including progress toward enrollment targets, and the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56</w:t>
      </w:r>
    </w:p>
    <w:p>
      <w:pPr>
        <w:sectPr>
          <w:pgSz w:w="12240" w:h="15840" w:orient="portrait"/>
          <w:cols w:equalWidth="0" w:num="1">
            <w:col w:w="10080"/>
          </w:cols>
          <w:pgMar w:left="1080" w:top="1066" w:right="1080" w:bottom="173" w:gutter="0" w:footer="0" w:header="0"/>
        </w:sectPr>
      </w:pPr>
    </w:p>
    <w:bookmarkStart w:id="60" w:name="page61"/>
    <w:bookmarkEnd w:id="60"/>
    <w:p>
      <w:pPr>
        <w:ind w:right="120"/>
        <w:spacing w:after="0" w:line="244" w:lineRule="auto"/>
        <w:rPr>
          <w:sz w:val="20"/>
          <w:szCs w:val="20"/>
          <w:color w:val="auto"/>
        </w:rPr>
      </w:pPr>
      <w:r>
        <w:rPr>
          <w:rFonts w:ascii="Arial" w:cs="Arial" w:eastAsia="Arial" w:hAnsi="Arial"/>
          <w:sz w:val="19"/>
          <w:szCs w:val="19"/>
          <w:color w:val="auto"/>
        </w:rPr>
        <w:t>FDA must promptly post this information publicly. FDORA also gives the FDA increased authority to withdraw approval of a drug or biologic granted accelerated approval on an expedited basis if the sponsor fails to conduct such trials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trial or submit timely reports to the agency on their progress. In addition, the FDA currently requires, unless otherwise informed by the agency, pre-approval of promotional materials for products receiving accelerated approval, which could adversely impact the timing of the commercial launch of the product. Even if we do receive accelerated approval, we may not experience a faster development or regulatory review or approval process, and receiving accelerated approval does not provide assurance that the product's accelerated approval will eventually be converted to a traditional FDA approval.</w:t>
      </w:r>
    </w:p>
    <w:p>
      <w:pPr>
        <w:spacing w:after="0" w:line="88" w:lineRule="exact"/>
        <w:rPr>
          <w:sz w:val="20"/>
          <w:szCs w:val="20"/>
          <w:color w:val="auto"/>
        </w:rPr>
      </w:pPr>
    </w:p>
    <w:p>
      <w:pPr>
        <w:ind w:right="40"/>
        <w:spacing w:after="0" w:line="263" w:lineRule="auto"/>
        <w:rPr>
          <w:sz w:val="20"/>
          <w:szCs w:val="20"/>
          <w:color w:val="auto"/>
        </w:rPr>
      </w:pPr>
      <w:r>
        <w:rPr>
          <w:rFonts w:ascii="Arial" w:cs="Arial" w:eastAsia="Arial" w:hAnsi="Arial"/>
          <w:sz w:val="19"/>
          <w:szCs w:val="19"/>
          <w:b w:val="1"/>
          <w:bCs w:val="1"/>
          <w:i w:val="1"/>
          <w:iCs w:val="1"/>
          <w:color w:val="auto"/>
        </w:rPr>
        <w:t>We may seek approval of our product candidate into Real-Time Oncology Review (RTOR). This program may not lead to a faster regulatory review or approval process and does not increase the likelihood that our product candidate(s) will receive marketing approval.</w:t>
      </w:r>
    </w:p>
    <w:p>
      <w:pPr>
        <w:spacing w:after="0" w:line="53" w:lineRule="exact"/>
        <w:rPr>
          <w:sz w:val="20"/>
          <w:szCs w:val="20"/>
          <w:color w:val="auto"/>
        </w:rPr>
      </w:pPr>
    </w:p>
    <w:p>
      <w:pPr>
        <w:ind w:right="100"/>
        <w:spacing w:after="0" w:line="248" w:lineRule="auto"/>
        <w:rPr>
          <w:sz w:val="20"/>
          <w:szCs w:val="20"/>
          <w:color w:val="auto"/>
        </w:rPr>
      </w:pPr>
      <w:r>
        <w:rPr>
          <w:rFonts w:ascii="Arial" w:cs="Arial" w:eastAsia="Arial" w:hAnsi="Arial"/>
          <w:sz w:val="19"/>
          <w:szCs w:val="19"/>
          <w:color w:val="auto"/>
        </w:rPr>
        <w:t>Participation in RTOR is voluntary. Our acceptance into RTOR does not guarantee or influence approval of our application, which is subject to the same statutory and regulatory requirements for approval as applications that are not included in RTOR. Although early approvals have occurred with applications selected for RTOR, this may not be the case for our application even if it is selected for RTOR. If at any time the FDA determines our participation in RTOR, if selected, is no longer appropriate, the FDA may rescind our acceptance and instruct us to follow routine submission procedures for marketing approval.</w:t>
      </w:r>
    </w:p>
    <w:p>
      <w:pPr>
        <w:spacing w:after="0" w:line="80" w:lineRule="exact"/>
        <w:rPr>
          <w:sz w:val="20"/>
          <w:szCs w:val="20"/>
          <w:color w:val="auto"/>
        </w:rPr>
      </w:pPr>
    </w:p>
    <w:p>
      <w:pPr>
        <w:spacing w:after="0" w:line="249" w:lineRule="auto"/>
        <w:rPr>
          <w:sz w:val="20"/>
          <w:szCs w:val="20"/>
          <w:color w:val="auto"/>
        </w:rPr>
      </w:pPr>
      <w:r>
        <w:rPr>
          <w:rFonts w:ascii="Arial" w:cs="Arial" w:eastAsia="Arial" w:hAnsi="Arial"/>
          <w:sz w:val="19"/>
          <w:szCs w:val="19"/>
          <w:b w:val="1"/>
          <w:bCs w:val="1"/>
          <w:i w:val="1"/>
          <w:iCs w:val="1"/>
          <w:color w:val="auto"/>
        </w:rPr>
        <w:t>Even if our development efforts are successful, we may not obtain regulatory approval of CAN-2409, CAN-3110 or any future product candidates in the United States or other jurisdictions, which would prevent us from commercializing CAN-2409, CAN-3110 and future product candidates. Even if we obtain regulatory approval for CAN -2409, CAN-3110 and future product candidates, any such approval may be subject to limitations, including with respect to the approved indications or patient populations, which could impair our ability to successfully commercialize CAN-2409, CAN-3110 or any future product candidates.</w:t>
      </w:r>
    </w:p>
    <w:p>
      <w:pPr>
        <w:spacing w:after="0" w:line="67" w:lineRule="exact"/>
        <w:rPr>
          <w:sz w:val="20"/>
          <w:szCs w:val="20"/>
          <w:color w:val="auto"/>
        </w:rPr>
      </w:pPr>
    </w:p>
    <w:p>
      <w:pPr>
        <w:ind w:right="100"/>
        <w:spacing w:after="0" w:line="243" w:lineRule="auto"/>
        <w:rPr>
          <w:sz w:val="20"/>
          <w:szCs w:val="20"/>
          <w:color w:val="auto"/>
        </w:rPr>
      </w:pPr>
      <w:r>
        <w:rPr>
          <w:rFonts w:ascii="Arial" w:cs="Arial" w:eastAsia="Arial" w:hAnsi="Arial"/>
          <w:sz w:val="19"/>
          <w:szCs w:val="19"/>
          <w:color w:val="auto"/>
        </w:rPr>
        <w:t>We are not permitted to market or promote or sell CAN-2409, CAN-3110 or any future product candidates before we receive regulatory approval from the FDA or comparable foreign regulatory authorities, and we may never receive such regulatory approval. Securing marketing approval requires the submission of extensive preclinical and clinical data and supporting information to regulatory authorities for each therapeutic indication to establish the product candidate’s safety and efficacy for that indication. Securing marketing approval also requires the submission of information about the product manufacturing process to, and inspection of manufacturing facilities and clinical trial sites by the regulatory authorities. If we do not receive approval from the FDA and comparable foreign regulatory authorities for any of CAN-2409, CAN-3110 and future product candidates, we will not be able to commercialize such product candidates in the United States or in other jurisdictions. If significant delays in obtaining approval for and commercializing CAN-2409, CAN-3110 and future product candidates occur in any jurisdictions, our business, financial condition, results of operations, stock price and prospects will be materially harmed. Even if CAN-2409, CAN-3110 and future product candidates are approved, they may:</w:t>
      </w:r>
    </w:p>
    <w:p>
      <w:pPr>
        <w:spacing w:after="0" w:line="100" w:lineRule="exact"/>
        <w:rPr>
          <w:sz w:val="20"/>
          <w:szCs w:val="20"/>
          <w:color w:val="auto"/>
        </w:rPr>
      </w:pPr>
    </w:p>
    <w:p>
      <w:pPr>
        <w:ind w:left="720" w:right="860" w:hanging="360"/>
        <w:spacing w:after="0" w:line="281" w:lineRule="auto"/>
        <w:tabs>
          <w:tab w:leader="none" w:pos="720" w:val="left"/>
        </w:tabs>
        <w:numPr>
          <w:ilvl w:val="0"/>
          <w:numId w:val="47"/>
        </w:numPr>
        <w:rPr>
          <w:rFonts w:ascii="Arial" w:cs="Arial" w:eastAsia="Arial" w:hAnsi="Arial"/>
          <w:sz w:val="19"/>
          <w:szCs w:val="19"/>
          <w:color w:val="auto"/>
        </w:rPr>
      </w:pPr>
      <w:r>
        <w:rPr>
          <w:rFonts w:ascii="Arial" w:cs="Arial" w:eastAsia="Arial" w:hAnsi="Arial"/>
          <w:sz w:val="19"/>
          <w:szCs w:val="19"/>
          <w:color w:val="auto"/>
        </w:rPr>
        <w:t>be subject to limitations on the indicated uses or patient populations for which they may be marketed, distribution restrictions, or other conditions of approval;</w:t>
      </w:r>
    </w:p>
    <w:p>
      <w:pPr>
        <w:spacing w:after="0" w:line="58" w:lineRule="exact"/>
        <w:rPr>
          <w:rFonts w:ascii="Arial" w:cs="Arial" w:eastAsia="Arial" w:hAnsi="Arial"/>
          <w:sz w:val="19"/>
          <w:szCs w:val="19"/>
          <w:color w:val="auto"/>
        </w:rPr>
      </w:pPr>
    </w:p>
    <w:p>
      <w:pPr>
        <w:ind w:left="720" w:hanging="360"/>
        <w:spacing w:after="0"/>
        <w:tabs>
          <w:tab w:leader="none" w:pos="720" w:val="left"/>
        </w:tabs>
        <w:numPr>
          <w:ilvl w:val="0"/>
          <w:numId w:val="47"/>
        </w:numPr>
        <w:rPr>
          <w:rFonts w:ascii="Arial" w:cs="Arial" w:eastAsia="Arial" w:hAnsi="Arial"/>
          <w:sz w:val="19"/>
          <w:szCs w:val="19"/>
          <w:color w:val="auto"/>
        </w:rPr>
      </w:pPr>
      <w:r>
        <w:rPr>
          <w:rFonts w:ascii="Arial" w:cs="Arial" w:eastAsia="Arial" w:hAnsi="Arial"/>
          <w:sz w:val="19"/>
          <w:szCs w:val="19"/>
          <w:color w:val="auto"/>
        </w:rPr>
        <w:t>not be approved with label statements necessary or desirable for successful commercialization; or</w:t>
      </w:r>
    </w:p>
    <w:p>
      <w:pPr>
        <w:spacing w:after="0" w:line="132" w:lineRule="exact"/>
        <w:rPr>
          <w:rFonts w:ascii="Arial" w:cs="Arial" w:eastAsia="Arial" w:hAnsi="Arial"/>
          <w:sz w:val="19"/>
          <w:szCs w:val="19"/>
          <w:color w:val="auto"/>
        </w:rPr>
      </w:pPr>
    </w:p>
    <w:p>
      <w:pPr>
        <w:ind w:left="720" w:right="580" w:hanging="360"/>
        <w:spacing w:after="0" w:line="281" w:lineRule="auto"/>
        <w:tabs>
          <w:tab w:leader="none" w:pos="720" w:val="left"/>
        </w:tabs>
        <w:numPr>
          <w:ilvl w:val="0"/>
          <w:numId w:val="47"/>
        </w:numPr>
        <w:rPr>
          <w:rFonts w:ascii="Arial" w:cs="Arial" w:eastAsia="Arial" w:hAnsi="Arial"/>
          <w:sz w:val="19"/>
          <w:szCs w:val="19"/>
          <w:color w:val="auto"/>
        </w:rPr>
      </w:pPr>
      <w:r>
        <w:rPr>
          <w:rFonts w:ascii="Arial" w:cs="Arial" w:eastAsia="Arial" w:hAnsi="Arial"/>
          <w:sz w:val="19"/>
          <w:szCs w:val="19"/>
          <w:color w:val="auto"/>
        </w:rPr>
        <w:t>contain requirements for costly post-market testing and surveillance, or other requirements, including the submission of a REMS, to monitor the safety or efficacy of the products.</w:t>
      </w:r>
    </w:p>
    <w:p>
      <w:pPr>
        <w:spacing w:after="0" w:line="45" w:lineRule="exact"/>
        <w:rPr>
          <w:sz w:val="20"/>
          <w:szCs w:val="20"/>
          <w:color w:val="auto"/>
        </w:rPr>
      </w:pPr>
    </w:p>
    <w:p>
      <w:pPr>
        <w:ind w:right="140"/>
        <w:spacing w:after="0" w:line="253" w:lineRule="auto"/>
        <w:rPr>
          <w:sz w:val="20"/>
          <w:szCs w:val="20"/>
          <w:color w:val="auto"/>
        </w:rPr>
      </w:pPr>
      <w:r>
        <w:rPr>
          <w:rFonts w:ascii="Arial" w:cs="Arial" w:eastAsia="Arial" w:hAnsi="Arial"/>
          <w:sz w:val="19"/>
          <w:szCs w:val="19"/>
          <w:color w:val="auto"/>
        </w:rPr>
        <w:t>We have not previously submitted a Biologics License Application (BLA), to the FDA, or a similar marketing application to comparable foreign regulatory authorities, for CAN-2409, CAN-3110 or any product candidate, and we can provide no assurance that we will ultimately be successful in obtaining regulatory approval for claims that are necessary or desirable for successful marketing, if at all.</w:t>
      </w:r>
    </w:p>
    <w:p>
      <w:pPr>
        <w:spacing w:after="0" w:line="7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Changes in product candidate manufacturing or formulation may result in additional costs or delay.</w:t>
      </w:r>
    </w:p>
    <w:p>
      <w:pPr>
        <w:spacing w:after="0" w:line="116" w:lineRule="exact"/>
        <w:rPr>
          <w:sz w:val="20"/>
          <w:szCs w:val="20"/>
          <w:color w:val="auto"/>
        </w:rPr>
      </w:pPr>
    </w:p>
    <w:p>
      <w:pPr>
        <w:ind w:right="40"/>
        <w:spacing w:after="0" w:line="245" w:lineRule="auto"/>
        <w:rPr>
          <w:sz w:val="20"/>
          <w:szCs w:val="20"/>
          <w:color w:val="auto"/>
        </w:rPr>
      </w:pPr>
      <w:r>
        <w:rPr>
          <w:rFonts w:ascii="Arial" w:cs="Arial" w:eastAsia="Arial" w:hAnsi="Arial"/>
          <w:sz w:val="19"/>
          <w:szCs w:val="19"/>
          <w:color w:val="auto"/>
        </w:rPr>
        <w:t>As product candidates are developed through preclinical studies to later-stage clinical trials towards approval and commercialization, it is common that various aspects of the development program, such as manufacturing methods and formulation, are altered along the way in an effort to optimize processes and results. Any of these changes could cause CAN-2409, CAN-3110 or any future product candidates to perform differently and affect the results of planned clinical trials or other future clinical trials conducted with the altered materials. Changes in third-party manufacturers and manufacturing processes may also require additional testing, or notification to, or approval by the FDA or a comparable foreign regulatory authority. Such changes could be further delayed due to development of clinical-scale manufacturing and commercial-scale manufacturing operations. This could delay completion of clinical trials, require the conduct of bridging clinical trials or studies, require the repetition of one or more clinical trials, increase clinical trial costs, delay</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57</w:t>
      </w:r>
    </w:p>
    <w:p>
      <w:pPr>
        <w:sectPr>
          <w:pgSz w:w="12240" w:h="15840" w:orient="portrait"/>
          <w:cols w:equalWidth="0" w:num="1">
            <w:col w:w="10080"/>
          </w:cols>
          <w:pgMar w:left="1080" w:top="1062" w:right="1080" w:bottom="173" w:gutter="0" w:footer="0" w:header="0"/>
        </w:sectPr>
      </w:pPr>
    </w:p>
    <w:bookmarkStart w:id="61" w:name="page62"/>
    <w:bookmarkEnd w:id="61"/>
    <w:p>
      <w:pPr>
        <w:ind w:right="100"/>
        <w:spacing w:after="0" w:line="281" w:lineRule="auto"/>
        <w:rPr>
          <w:sz w:val="20"/>
          <w:szCs w:val="20"/>
          <w:color w:val="auto"/>
        </w:rPr>
      </w:pPr>
      <w:r>
        <w:rPr>
          <w:rFonts w:ascii="Arial" w:cs="Arial" w:eastAsia="Arial" w:hAnsi="Arial"/>
          <w:sz w:val="19"/>
          <w:szCs w:val="19"/>
          <w:color w:val="auto"/>
        </w:rPr>
        <w:t>approval of CAN-2409, CAN-3110 and future product candidates and jeopardize our ability to commence product sales and generate revenue.</w:t>
      </w:r>
    </w:p>
    <w:p>
      <w:pPr>
        <w:spacing w:after="0" w:line="49" w:lineRule="exact"/>
        <w:rPr>
          <w:sz w:val="20"/>
          <w:szCs w:val="20"/>
          <w:color w:val="auto"/>
        </w:rPr>
      </w:pPr>
    </w:p>
    <w:p>
      <w:pPr>
        <w:ind w:right="200"/>
        <w:spacing w:after="0" w:line="255" w:lineRule="auto"/>
        <w:rPr>
          <w:sz w:val="20"/>
          <w:szCs w:val="20"/>
          <w:color w:val="auto"/>
        </w:rPr>
      </w:pPr>
      <w:r>
        <w:rPr>
          <w:rFonts w:ascii="Arial" w:cs="Arial" w:eastAsia="Arial" w:hAnsi="Arial"/>
          <w:sz w:val="19"/>
          <w:szCs w:val="19"/>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61" w:lineRule="exact"/>
        <w:rPr>
          <w:sz w:val="20"/>
          <w:szCs w:val="20"/>
          <w:color w:val="auto"/>
        </w:rPr>
      </w:pPr>
    </w:p>
    <w:p>
      <w:pPr>
        <w:ind w:right="20"/>
        <w:spacing w:after="0" w:line="248" w:lineRule="auto"/>
        <w:rPr>
          <w:sz w:val="20"/>
          <w:szCs w:val="20"/>
          <w:color w:val="auto"/>
        </w:rPr>
      </w:pPr>
      <w:r>
        <w:rPr>
          <w:rFonts w:ascii="Arial" w:cs="Arial" w:eastAsia="Arial" w:hAnsi="Arial"/>
          <w:sz w:val="19"/>
          <w:szCs w:val="19"/>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76" w:lineRule="exact"/>
        <w:rPr>
          <w:sz w:val="20"/>
          <w:szCs w:val="20"/>
          <w:color w:val="auto"/>
        </w:rPr>
      </w:pPr>
    </w:p>
    <w:p>
      <w:pPr>
        <w:ind w:right="60"/>
        <w:spacing w:after="0" w:line="244" w:lineRule="auto"/>
        <w:rPr>
          <w:sz w:val="20"/>
          <w:szCs w:val="20"/>
          <w:color w:val="auto"/>
        </w:rPr>
      </w:pPr>
      <w:r>
        <w:rPr>
          <w:rFonts w:ascii="Arial" w:cs="Arial" w:eastAsia="Arial" w:hAnsi="Arial"/>
          <w:sz w:val="19"/>
          <w:szCs w:val="19"/>
          <w:color w:val="auto"/>
        </w:rPr>
        <w:t>Disruptions at the FDA and other agencies may also slow the time necessary for new product candidates to be reviewed and/or approved by necessary government agencies, which would adversely affect our business. For example, over the last several years the U.S. federal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A potential U.S. federal government shutdown may also increase uncertainty and volatility in the global economy and financial markets, which could negatively impact our business. Further, future government shutdowns could impact our ability to access the public markets and obtain necessary capital in order to properly capitalize and continue our operations.</w:t>
      </w:r>
    </w:p>
    <w:p>
      <w:pPr>
        <w:spacing w:after="0" w:line="88" w:lineRule="exact"/>
        <w:rPr>
          <w:sz w:val="20"/>
          <w:szCs w:val="20"/>
          <w:color w:val="auto"/>
        </w:rPr>
      </w:pPr>
    </w:p>
    <w:p>
      <w:pPr>
        <w:spacing w:after="0" w:line="263" w:lineRule="auto"/>
        <w:rPr>
          <w:sz w:val="20"/>
          <w:szCs w:val="20"/>
          <w:color w:val="auto"/>
        </w:rPr>
      </w:pPr>
      <w:r>
        <w:rPr>
          <w:rFonts w:ascii="Arial" w:cs="Arial" w:eastAsia="Arial" w:hAnsi="Arial"/>
          <w:sz w:val="19"/>
          <w:szCs w:val="19"/>
          <w:b w:val="1"/>
          <w:bCs w:val="1"/>
          <w:i w:val="1"/>
          <w:iCs w:val="1"/>
          <w:color w:val="auto"/>
        </w:rPr>
        <w:t>Even if CAN-2409, CAN-3110 or any future product candidates receive regulatory approval, we will be subject to ongoing obligations and continued regulatory review, which may result in significant additional expense and limit how we manufacture and market our products.</w:t>
      </w:r>
    </w:p>
    <w:p>
      <w:pPr>
        <w:spacing w:after="0" w:line="53" w:lineRule="exact"/>
        <w:rPr>
          <w:sz w:val="20"/>
          <w:szCs w:val="20"/>
          <w:color w:val="auto"/>
        </w:rPr>
      </w:pPr>
    </w:p>
    <w:p>
      <w:pPr>
        <w:ind w:right="40"/>
        <w:spacing w:after="0" w:line="245" w:lineRule="auto"/>
        <w:rPr>
          <w:sz w:val="20"/>
          <w:szCs w:val="20"/>
          <w:color w:val="auto"/>
        </w:rPr>
      </w:pPr>
      <w:r>
        <w:rPr>
          <w:rFonts w:ascii="Arial" w:cs="Arial" w:eastAsia="Arial" w:hAnsi="Arial"/>
          <w:sz w:val="19"/>
          <w:szCs w:val="19"/>
          <w:color w:val="auto"/>
        </w:rPr>
        <w:t>Any product candidate for which we may obtain marketing approval will be subject to extensive and ongoing requirements of and review by the FDA and comparable foreign regulatory authorities, including requirements related to the manufacturing processes, post-approval clinical data, labeling, packaging, distribution, adverse event reporting, storage, recordkeeping, export, import, advertising, marketing, and promotional activities for such product. These requirements further include submissions of safety and other post-marketing information, including manufacturing deviations and reports, registration and listing requirements, the payment of annual fees, continued compliance with current good manufacturing practice (cGMP), requirements relating to manufacturing, quality control, quality assurance, and corresponding maintenance of records and documents, and good clinical practices (GCPs), for any clinical trials that we conduct post-approval.</w:t>
      </w:r>
    </w:p>
    <w:p>
      <w:pPr>
        <w:spacing w:after="0" w:line="79" w:lineRule="exact"/>
        <w:rPr>
          <w:sz w:val="20"/>
          <w:szCs w:val="20"/>
          <w:color w:val="auto"/>
        </w:rPr>
      </w:pPr>
    </w:p>
    <w:p>
      <w:pPr>
        <w:ind w:right="60"/>
        <w:spacing w:after="0" w:line="248" w:lineRule="auto"/>
        <w:rPr>
          <w:sz w:val="20"/>
          <w:szCs w:val="20"/>
          <w:color w:val="auto"/>
        </w:rPr>
      </w:pPr>
      <w:r>
        <w:rPr>
          <w:rFonts w:ascii="Arial" w:cs="Arial" w:eastAsia="Arial" w:hAnsi="Arial"/>
          <w:sz w:val="19"/>
          <w:szCs w:val="19"/>
          <w:color w:val="auto"/>
        </w:rPr>
        <w:t>The FDA and comparable foreign regulatory authorities will continue to closely monitor the safety profile of any product even after approval. If the FDA or comparable foreign regulatory authorities become aware of new safety information after approval of any of CAN-2409, CAN-3110 and future product candidates, they may withdraw approval, issue public safety alerts, require labeling changes or establishment of a REMS or similar strategy, impose significant restrictions on a product’s indicated uses or marketing, or impose ongoing requirements for potentially costly post-approval studies or post-market surveillance. Any such restrictions could limit sales of the product.</w:t>
      </w:r>
    </w:p>
    <w:p>
      <w:pPr>
        <w:spacing w:after="0" w:line="7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and any of our suppliers or collaborators, including our CDMOs, could be subject to periodic unannounced inspections by the FDA to monitor and ensure compliance with cGMPs and other FDA regulatory requirements. Manufacturers and manufacturers’ facilities are required to comply with extensive FDA and comparable foreign regulatory authority requirements, including ensuring that quality control and manufacturing procedures conform to cGMP regulations and applicable product tracking and tracing requirements. Application holders must further notify the FDA, and depending on the nature of the change, obtain FDA pre-approval for product and manufacturing changes.</w:t>
      </w:r>
    </w:p>
    <w:p>
      <w:pPr>
        <w:spacing w:after="0" w:line="65" w:lineRule="exact"/>
        <w:rPr>
          <w:sz w:val="20"/>
          <w:szCs w:val="20"/>
          <w:color w:val="auto"/>
        </w:rPr>
      </w:pPr>
    </w:p>
    <w:p>
      <w:pPr>
        <w:ind w:right="340"/>
        <w:spacing w:after="0" w:line="260" w:lineRule="auto"/>
        <w:rPr>
          <w:sz w:val="20"/>
          <w:szCs w:val="20"/>
          <w:color w:val="auto"/>
        </w:rPr>
      </w:pPr>
      <w:r>
        <w:rPr>
          <w:rFonts w:ascii="Arial" w:cs="Arial" w:eastAsia="Arial" w:hAnsi="Arial"/>
          <w:sz w:val="19"/>
          <w:szCs w:val="19"/>
          <w:color w:val="auto"/>
        </w:rPr>
        <w:t>In addition, later discovery of previously unknown adverse events or that the product is less effective than previously thought or other problems with any products, manufacturers or manufacturing processes, or failure to comply with regulatory requirements both before and after approval, may yield various negative results, including:</w:t>
      </w:r>
    </w:p>
    <w:p>
      <w:pPr>
        <w:spacing w:after="0" w:line="78" w:lineRule="exact"/>
        <w:rPr>
          <w:sz w:val="20"/>
          <w:szCs w:val="20"/>
          <w:color w:val="auto"/>
        </w:rPr>
      </w:pPr>
    </w:p>
    <w:p>
      <w:pPr>
        <w:ind w:left="720" w:hanging="360"/>
        <w:spacing w:after="0"/>
        <w:tabs>
          <w:tab w:leader="none" w:pos="720" w:val="left"/>
        </w:tabs>
        <w:numPr>
          <w:ilvl w:val="0"/>
          <w:numId w:val="48"/>
        </w:numPr>
        <w:rPr>
          <w:rFonts w:ascii="Arial" w:cs="Arial" w:eastAsia="Arial" w:hAnsi="Arial"/>
          <w:sz w:val="19"/>
          <w:szCs w:val="19"/>
          <w:color w:val="auto"/>
        </w:rPr>
      </w:pPr>
      <w:r>
        <w:rPr>
          <w:rFonts w:ascii="Arial" w:cs="Arial" w:eastAsia="Arial" w:hAnsi="Arial"/>
          <w:sz w:val="19"/>
          <w:szCs w:val="19"/>
          <w:color w:val="auto"/>
        </w:rPr>
        <w:t>restrictions on manufacturing, distribution, or marketing of such products;</w:t>
      </w:r>
    </w:p>
    <w:p>
      <w:pPr>
        <w:spacing w:after="0" w:line="132" w:lineRule="exact"/>
        <w:rPr>
          <w:rFonts w:ascii="Arial" w:cs="Arial" w:eastAsia="Arial" w:hAnsi="Arial"/>
          <w:sz w:val="19"/>
          <w:szCs w:val="19"/>
          <w:color w:val="auto"/>
        </w:rPr>
      </w:pPr>
    </w:p>
    <w:p>
      <w:pPr>
        <w:ind w:left="720" w:right="140" w:hanging="360"/>
        <w:spacing w:after="0" w:line="281" w:lineRule="auto"/>
        <w:tabs>
          <w:tab w:leader="none" w:pos="720" w:val="left"/>
        </w:tabs>
        <w:numPr>
          <w:ilvl w:val="0"/>
          <w:numId w:val="48"/>
        </w:numPr>
        <w:rPr>
          <w:rFonts w:ascii="Arial" w:cs="Arial" w:eastAsia="Arial" w:hAnsi="Arial"/>
          <w:sz w:val="19"/>
          <w:szCs w:val="19"/>
          <w:color w:val="auto"/>
        </w:rPr>
      </w:pPr>
      <w:r>
        <w:rPr>
          <w:rFonts w:ascii="Arial" w:cs="Arial" w:eastAsia="Arial" w:hAnsi="Arial"/>
          <w:sz w:val="19"/>
          <w:szCs w:val="19"/>
          <w:color w:val="auto"/>
        </w:rPr>
        <w:t>restrictions on the labeling, including required additional warnings, such as boxed warnings, contraindications, precautions, and restrictions on the approved indication or use;</w:t>
      </w:r>
    </w:p>
    <w:p>
      <w:pPr>
        <w:spacing w:after="0" w:line="58" w:lineRule="exact"/>
        <w:rPr>
          <w:rFonts w:ascii="Arial" w:cs="Arial" w:eastAsia="Arial" w:hAnsi="Arial"/>
          <w:sz w:val="19"/>
          <w:szCs w:val="19"/>
          <w:color w:val="auto"/>
        </w:rPr>
      </w:pPr>
    </w:p>
    <w:p>
      <w:pPr>
        <w:ind w:left="720" w:right="1140" w:hanging="360"/>
        <w:spacing w:after="0" w:line="281" w:lineRule="auto"/>
        <w:tabs>
          <w:tab w:leader="none" w:pos="720" w:val="left"/>
        </w:tabs>
        <w:numPr>
          <w:ilvl w:val="0"/>
          <w:numId w:val="48"/>
        </w:numPr>
        <w:rPr>
          <w:rFonts w:ascii="Arial" w:cs="Arial" w:eastAsia="Arial" w:hAnsi="Arial"/>
          <w:sz w:val="19"/>
          <w:szCs w:val="19"/>
          <w:color w:val="auto"/>
        </w:rPr>
      </w:pPr>
      <w:r>
        <w:rPr>
          <w:rFonts w:ascii="Arial" w:cs="Arial" w:eastAsia="Arial" w:hAnsi="Arial"/>
          <w:sz w:val="19"/>
          <w:szCs w:val="19"/>
          <w:color w:val="auto"/>
        </w:rPr>
        <w:t>manufacturing delays and supply disruptions where regulatory inspections identify observations of noncompliance requiring remediation;</w:t>
      </w:r>
    </w:p>
    <w:p>
      <w:pPr>
        <w:spacing w:after="0" w:line="58" w:lineRule="exact"/>
        <w:rPr>
          <w:rFonts w:ascii="Arial" w:cs="Arial" w:eastAsia="Arial" w:hAnsi="Arial"/>
          <w:sz w:val="19"/>
          <w:szCs w:val="19"/>
          <w:color w:val="auto"/>
        </w:rPr>
      </w:pPr>
    </w:p>
    <w:p>
      <w:pPr>
        <w:ind w:left="720" w:hanging="360"/>
        <w:spacing w:after="0"/>
        <w:tabs>
          <w:tab w:leader="none" w:pos="720" w:val="left"/>
        </w:tabs>
        <w:numPr>
          <w:ilvl w:val="0"/>
          <w:numId w:val="48"/>
        </w:numPr>
        <w:rPr>
          <w:rFonts w:ascii="Arial" w:cs="Arial" w:eastAsia="Arial" w:hAnsi="Arial"/>
          <w:sz w:val="19"/>
          <w:szCs w:val="19"/>
          <w:color w:val="auto"/>
        </w:rPr>
      </w:pPr>
      <w:r>
        <w:rPr>
          <w:rFonts w:ascii="Arial" w:cs="Arial" w:eastAsia="Arial" w:hAnsi="Arial"/>
          <w:sz w:val="19"/>
          <w:szCs w:val="19"/>
          <w:color w:val="auto"/>
        </w:rPr>
        <w:t>modifications to promotional pieces;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58</w:t>
      </w:r>
    </w:p>
    <w:p>
      <w:pPr>
        <w:sectPr>
          <w:pgSz w:w="12240" w:h="15840" w:orient="portrait"/>
          <w:cols w:equalWidth="0" w:num="1">
            <w:col w:w="10080"/>
          </w:cols>
          <w:pgMar w:left="1080" w:top="1062" w:right="1080" w:bottom="173" w:gutter="0" w:footer="0" w:header="0"/>
        </w:sectPr>
      </w:pPr>
    </w:p>
    <w:bookmarkStart w:id="62" w:name="page63"/>
    <w:bookmarkEnd w:id="62"/>
    <w:p>
      <w:pPr>
        <w:ind w:left="720" w:hanging="360"/>
        <w:spacing w:after="0"/>
        <w:tabs>
          <w:tab w:leader="none" w:pos="720" w:val="left"/>
        </w:tabs>
        <w:numPr>
          <w:ilvl w:val="0"/>
          <w:numId w:val="49"/>
        </w:numPr>
        <w:rPr>
          <w:rFonts w:ascii="Arial" w:cs="Arial" w:eastAsia="Arial" w:hAnsi="Arial"/>
          <w:sz w:val="19"/>
          <w:szCs w:val="19"/>
          <w:color w:val="auto"/>
        </w:rPr>
      </w:pPr>
      <w:r>
        <w:rPr>
          <w:rFonts w:ascii="Arial" w:cs="Arial" w:eastAsia="Arial" w:hAnsi="Arial"/>
          <w:sz w:val="19"/>
          <w:szCs w:val="19"/>
          <w:color w:val="auto"/>
        </w:rPr>
        <w:t>issuance of corrective information;</w:t>
      </w:r>
    </w:p>
    <w:p>
      <w:pPr>
        <w:spacing w:after="0" w:line="132" w:lineRule="exact"/>
        <w:rPr>
          <w:rFonts w:ascii="Arial" w:cs="Arial" w:eastAsia="Arial" w:hAnsi="Arial"/>
          <w:sz w:val="19"/>
          <w:szCs w:val="19"/>
          <w:color w:val="auto"/>
        </w:rPr>
      </w:pPr>
    </w:p>
    <w:p>
      <w:pPr>
        <w:ind w:left="720" w:hanging="360"/>
        <w:spacing w:after="0"/>
        <w:tabs>
          <w:tab w:leader="none" w:pos="720" w:val="left"/>
        </w:tabs>
        <w:numPr>
          <w:ilvl w:val="0"/>
          <w:numId w:val="49"/>
        </w:numPr>
        <w:rPr>
          <w:rFonts w:ascii="Arial" w:cs="Arial" w:eastAsia="Arial" w:hAnsi="Arial"/>
          <w:sz w:val="19"/>
          <w:szCs w:val="19"/>
          <w:color w:val="auto"/>
        </w:rPr>
      </w:pPr>
      <w:r>
        <w:rPr>
          <w:rFonts w:ascii="Arial" w:cs="Arial" w:eastAsia="Arial" w:hAnsi="Arial"/>
          <w:sz w:val="19"/>
          <w:szCs w:val="19"/>
          <w:color w:val="auto"/>
        </w:rPr>
        <w:t>requirements to conduct post-marketing studies or other clinical trials;</w:t>
      </w:r>
    </w:p>
    <w:p>
      <w:pPr>
        <w:spacing w:after="0" w:line="132" w:lineRule="exact"/>
        <w:rPr>
          <w:rFonts w:ascii="Arial" w:cs="Arial" w:eastAsia="Arial" w:hAnsi="Arial"/>
          <w:sz w:val="19"/>
          <w:szCs w:val="19"/>
          <w:color w:val="auto"/>
        </w:rPr>
      </w:pPr>
    </w:p>
    <w:p>
      <w:pPr>
        <w:ind w:left="720" w:hanging="360"/>
        <w:spacing w:after="0"/>
        <w:tabs>
          <w:tab w:leader="none" w:pos="720" w:val="left"/>
        </w:tabs>
        <w:numPr>
          <w:ilvl w:val="0"/>
          <w:numId w:val="49"/>
        </w:numPr>
        <w:rPr>
          <w:rFonts w:ascii="Arial" w:cs="Arial" w:eastAsia="Arial" w:hAnsi="Arial"/>
          <w:sz w:val="19"/>
          <w:szCs w:val="19"/>
          <w:color w:val="auto"/>
        </w:rPr>
      </w:pPr>
      <w:r>
        <w:rPr>
          <w:rFonts w:ascii="Arial" w:cs="Arial" w:eastAsia="Arial" w:hAnsi="Arial"/>
          <w:sz w:val="19"/>
          <w:szCs w:val="19"/>
          <w:color w:val="auto"/>
        </w:rPr>
        <w:t>clinical holds or termination of clinical trials;</w:t>
      </w:r>
    </w:p>
    <w:p>
      <w:pPr>
        <w:spacing w:after="0" w:line="132" w:lineRule="exact"/>
        <w:rPr>
          <w:rFonts w:ascii="Arial" w:cs="Arial" w:eastAsia="Arial" w:hAnsi="Arial"/>
          <w:sz w:val="19"/>
          <w:szCs w:val="19"/>
          <w:color w:val="auto"/>
        </w:rPr>
      </w:pPr>
    </w:p>
    <w:p>
      <w:pPr>
        <w:ind w:left="720" w:hanging="360"/>
        <w:spacing w:after="0"/>
        <w:tabs>
          <w:tab w:leader="none" w:pos="720" w:val="left"/>
        </w:tabs>
        <w:numPr>
          <w:ilvl w:val="0"/>
          <w:numId w:val="49"/>
        </w:numPr>
        <w:rPr>
          <w:rFonts w:ascii="Arial" w:cs="Arial" w:eastAsia="Arial" w:hAnsi="Arial"/>
          <w:sz w:val="19"/>
          <w:szCs w:val="19"/>
          <w:color w:val="auto"/>
        </w:rPr>
      </w:pPr>
      <w:r>
        <w:rPr>
          <w:rFonts w:ascii="Arial" w:cs="Arial" w:eastAsia="Arial" w:hAnsi="Arial"/>
          <w:sz w:val="19"/>
          <w:szCs w:val="19"/>
          <w:color w:val="auto"/>
        </w:rPr>
        <w:t>requirements to establish or modify a REMS or similar strategy;</w:t>
      </w:r>
    </w:p>
    <w:p>
      <w:pPr>
        <w:spacing w:after="0" w:line="132" w:lineRule="exact"/>
        <w:rPr>
          <w:rFonts w:ascii="Arial" w:cs="Arial" w:eastAsia="Arial" w:hAnsi="Arial"/>
          <w:sz w:val="19"/>
          <w:szCs w:val="19"/>
          <w:color w:val="auto"/>
        </w:rPr>
      </w:pPr>
    </w:p>
    <w:p>
      <w:pPr>
        <w:ind w:left="720" w:hanging="360"/>
        <w:spacing w:after="0"/>
        <w:tabs>
          <w:tab w:leader="none" w:pos="720" w:val="left"/>
        </w:tabs>
        <w:numPr>
          <w:ilvl w:val="0"/>
          <w:numId w:val="49"/>
        </w:numPr>
        <w:rPr>
          <w:rFonts w:ascii="Arial" w:cs="Arial" w:eastAsia="Arial" w:hAnsi="Arial"/>
          <w:sz w:val="19"/>
          <w:szCs w:val="19"/>
          <w:color w:val="auto"/>
        </w:rPr>
      </w:pPr>
      <w:r>
        <w:rPr>
          <w:rFonts w:ascii="Arial" w:cs="Arial" w:eastAsia="Arial" w:hAnsi="Arial"/>
          <w:sz w:val="19"/>
          <w:szCs w:val="19"/>
          <w:color w:val="auto"/>
        </w:rPr>
        <w:t>changes to the way the product is administered to patients;</w:t>
      </w:r>
    </w:p>
    <w:p>
      <w:pPr>
        <w:spacing w:after="0" w:line="132" w:lineRule="exact"/>
        <w:rPr>
          <w:rFonts w:ascii="Arial" w:cs="Arial" w:eastAsia="Arial" w:hAnsi="Arial"/>
          <w:sz w:val="19"/>
          <w:szCs w:val="19"/>
          <w:color w:val="auto"/>
        </w:rPr>
      </w:pPr>
    </w:p>
    <w:p>
      <w:pPr>
        <w:ind w:left="720" w:hanging="360"/>
        <w:spacing w:after="0"/>
        <w:tabs>
          <w:tab w:leader="none" w:pos="720" w:val="left"/>
        </w:tabs>
        <w:numPr>
          <w:ilvl w:val="0"/>
          <w:numId w:val="49"/>
        </w:numPr>
        <w:rPr>
          <w:rFonts w:ascii="Arial" w:cs="Arial" w:eastAsia="Arial" w:hAnsi="Arial"/>
          <w:sz w:val="19"/>
          <w:szCs w:val="19"/>
          <w:color w:val="auto"/>
        </w:rPr>
      </w:pPr>
      <w:r>
        <w:rPr>
          <w:rFonts w:ascii="Arial" w:cs="Arial" w:eastAsia="Arial" w:hAnsi="Arial"/>
          <w:sz w:val="19"/>
          <w:szCs w:val="19"/>
          <w:color w:val="auto"/>
        </w:rPr>
        <w:t>liability for harm caused to patients or subjects;</w:t>
      </w:r>
    </w:p>
    <w:p>
      <w:pPr>
        <w:spacing w:after="0" w:line="132" w:lineRule="exact"/>
        <w:rPr>
          <w:rFonts w:ascii="Arial" w:cs="Arial" w:eastAsia="Arial" w:hAnsi="Arial"/>
          <w:sz w:val="19"/>
          <w:szCs w:val="19"/>
          <w:color w:val="auto"/>
        </w:rPr>
      </w:pPr>
    </w:p>
    <w:p>
      <w:pPr>
        <w:ind w:left="720" w:hanging="360"/>
        <w:spacing w:after="0"/>
        <w:tabs>
          <w:tab w:leader="none" w:pos="720" w:val="left"/>
        </w:tabs>
        <w:numPr>
          <w:ilvl w:val="0"/>
          <w:numId w:val="49"/>
        </w:numPr>
        <w:rPr>
          <w:rFonts w:ascii="Arial" w:cs="Arial" w:eastAsia="Arial" w:hAnsi="Arial"/>
          <w:sz w:val="19"/>
          <w:szCs w:val="19"/>
          <w:color w:val="auto"/>
        </w:rPr>
      </w:pPr>
      <w:r>
        <w:rPr>
          <w:rFonts w:ascii="Arial" w:cs="Arial" w:eastAsia="Arial" w:hAnsi="Arial"/>
          <w:sz w:val="19"/>
          <w:szCs w:val="19"/>
          <w:color w:val="auto"/>
        </w:rPr>
        <w:t>reputational harm;</w:t>
      </w:r>
    </w:p>
    <w:p>
      <w:pPr>
        <w:spacing w:after="0" w:line="132" w:lineRule="exact"/>
        <w:rPr>
          <w:rFonts w:ascii="Arial" w:cs="Arial" w:eastAsia="Arial" w:hAnsi="Arial"/>
          <w:sz w:val="19"/>
          <w:szCs w:val="19"/>
          <w:color w:val="auto"/>
        </w:rPr>
      </w:pPr>
    </w:p>
    <w:p>
      <w:pPr>
        <w:ind w:left="720" w:hanging="360"/>
        <w:spacing w:after="0"/>
        <w:tabs>
          <w:tab w:leader="none" w:pos="720"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the product becoming less competitive;</w:t>
      </w:r>
    </w:p>
    <w:p>
      <w:pPr>
        <w:spacing w:after="0" w:line="132" w:lineRule="exact"/>
        <w:rPr>
          <w:rFonts w:ascii="Arial" w:cs="Arial" w:eastAsia="Arial" w:hAnsi="Arial"/>
          <w:sz w:val="19"/>
          <w:szCs w:val="19"/>
          <w:color w:val="auto"/>
        </w:rPr>
      </w:pPr>
    </w:p>
    <w:p>
      <w:pPr>
        <w:ind w:left="720" w:hanging="360"/>
        <w:spacing w:after="0"/>
        <w:tabs>
          <w:tab w:leader="none" w:pos="720" w:val="left"/>
        </w:tabs>
        <w:numPr>
          <w:ilvl w:val="0"/>
          <w:numId w:val="49"/>
        </w:numPr>
        <w:rPr>
          <w:rFonts w:ascii="Arial" w:cs="Arial" w:eastAsia="Arial" w:hAnsi="Arial"/>
          <w:sz w:val="19"/>
          <w:szCs w:val="19"/>
          <w:color w:val="auto"/>
        </w:rPr>
      </w:pPr>
      <w:r>
        <w:rPr>
          <w:rFonts w:ascii="Arial" w:cs="Arial" w:eastAsia="Arial" w:hAnsi="Arial"/>
          <w:sz w:val="19"/>
          <w:szCs w:val="19"/>
          <w:color w:val="auto"/>
        </w:rPr>
        <w:t>warning or untitled letters;</w:t>
      </w:r>
    </w:p>
    <w:p>
      <w:pPr>
        <w:spacing w:after="0" w:line="132" w:lineRule="exact"/>
        <w:rPr>
          <w:rFonts w:ascii="Arial" w:cs="Arial" w:eastAsia="Arial" w:hAnsi="Arial"/>
          <w:sz w:val="19"/>
          <w:szCs w:val="19"/>
          <w:color w:val="auto"/>
        </w:rPr>
      </w:pPr>
    </w:p>
    <w:p>
      <w:pPr>
        <w:ind w:left="720" w:hanging="360"/>
        <w:spacing w:after="0"/>
        <w:tabs>
          <w:tab w:leader="none" w:pos="720" w:val="left"/>
        </w:tabs>
        <w:numPr>
          <w:ilvl w:val="0"/>
          <w:numId w:val="49"/>
        </w:numPr>
        <w:rPr>
          <w:rFonts w:ascii="Arial" w:cs="Arial" w:eastAsia="Arial" w:hAnsi="Arial"/>
          <w:sz w:val="19"/>
          <w:szCs w:val="19"/>
          <w:color w:val="auto"/>
        </w:rPr>
      </w:pPr>
      <w:r>
        <w:rPr>
          <w:rFonts w:ascii="Arial" w:cs="Arial" w:eastAsia="Arial" w:hAnsi="Arial"/>
          <w:sz w:val="19"/>
          <w:szCs w:val="19"/>
          <w:color w:val="auto"/>
        </w:rPr>
        <w:t>suspension of marketing or withdrawal of the products from the market;</w:t>
      </w:r>
    </w:p>
    <w:p>
      <w:pPr>
        <w:spacing w:after="0" w:line="132" w:lineRule="exact"/>
        <w:rPr>
          <w:rFonts w:ascii="Arial" w:cs="Arial" w:eastAsia="Arial" w:hAnsi="Arial"/>
          <w:sz w:val="19"/>
          <w:szCs w:val="19"/>
          <w:color w:val="auto"/>
        </w:rPr>
      </w:pPr>
    </w:p>
    <w:p>
      <w:pPr>
        <w:ind w:left="720" w:right="720" w:hanging="360"/>
        <w:spacing w:after="0" w:line="281" w:lineRule="auto"/>
        <w:tabs>
          <w:tab w:leader="none" w:pos="720" w:val="left"/>
        </w:tabs>
        <w:numPr>
          <w:ilvl w:val="0"/>
          <w:numId w:val="49"/>
        </w:numPr>
        <w:rPr>
          <w:rFonts w:ascii="Arial" w:cs="Arial" w:eastAsia="Arial" w:hAnsi="Arial"/>
          <w:sz w:val="19"/>
          <w:szCs w:val="19"/>
          <w:color w:val="auto"/>
        </w:rPr>
      </w:pPr>
      <w:r>
        <w:rPr>
          <w:rFonts w:ascii="Arial" w:cs="Arial" w:eastAsia="Arial" w:hAnsi="Arial"/>
          <w:sz w:val="19"/>
          <w:szCs w:val="19"/>
          <w:color w:val="auto"/>
        </w:rPr>
        <w:t>regulatory authority issuance of safety alerts, Dear Healthcare Provider letters, press releases, or other communications containing warnings or other safety information about the product;</w:t>
      </w:r>
    </w:p>
    <w:p>
      <w:pPr>
        <w:spacing w:after="0" w:line="58" w:lineRule="exact"/>
        <w:rPr>
          <w:rFonts w:ascii="Arial" w:cs="Arial" w:eastAsia="Arial" w:hAnsi="Arial"/>
          <w:sz w:val="19"/>
          <w:szCs w:val="19"/>
          <w:color w:val="auto"/>
        </w:rPr>
      </w:pPr>
    </w:p>
    <w:p>
      <w:pPr>
        <w:ind w:left="720" w:hanging="360"/>
        <w:spacing w:after="0"/>
        <w:tabs>
          <w:tab w:leader="none" w:pos="720" w:val="left"/>
        </w:tabs>
        <w:numPr>
          <w:ilvl w:val="0"/>
          <w:numId w:val="49"/>
        </w:numPr>
        <w:rPr>
          <w:rFonts w:ascii="Arial" w:cs="Arial" w:eastAsia="Arial" w:hAnsi="Arial"/>
          <w:sz w:val="19"/>
          <w:szCs w:val="19"/>
          <w:color w:val="auto"/>
        </w:rPr>
      </w:pPr>
      <w:r>
        <w:rPr>
          <w:rFonts w:ascii="Arial" w:cs="Arial" w:eastAsia="Arial" w:hAnsi="Arial"/>
          <w:sz w:val="19"/>
          <w:szCs w:val="19"/>
          <w:color w:val="auto"/>
        </w:rPr>
        <w:t>refusal to approve pending applications or supplements to approved applications that we submit;</w:t>
      </w:r>
    </w:p>
    <w:p>
      <w:pPr>
        <w:spacing w:after="0" w:line="132" w:lineRule="exact"/>
        <w:rPr>
          <w:rFonts w:ascii="Arial" w:cs="Arial" w:eastAsia="Arial" w:hAnsi="Arial"/>
          <w:sz w:val="19"/>
          <w:szCs w:val="19"/>
          <w:color w:val="auto"/>
        </w:rPr>
      </w:pPr>
    </w:p>
    <w:p>
      <w:pPr>
        <w:ind w:left="720" w:hanging="360"/>
        <w:spacing w:after="0"/>
        <w:tabs>
          <w:tab w:leader="none" w:pos="720" w:val="left"/>
        </w:tabs>
        <w:numPr>
          <w:ilvl w:val="0"/>
          <w:numId w:val="49"/>
        </w:numPr>
        <w:rPr>
          <w:rFonts w:ascii="Arial" w:cs="Arial" w:eastAsia="Arial" w:hAnsi="Arial"/>
          <w:sz w:val="19"/>
          <w:szCs w:val="19"/>
          <w:color w:val="auto"/>
        </w:rPr>
      </w:pPr>
      <w:r>
        <w:rPr>
          <w:rFonts w:ascii="Arial" w:cs="Arial" w:eastAsia="Arial" w:hAnsi="Arial"/>
          <w:sz w:val="19"/>
          <w:szCs w:val="19"/>
          <w:color w:val="auto"/>
        </w:rPr>
        <w:t>recalls of products;</w:t>
      </w:r>
    </w:p>
    <w:p>
      <w:pPr>
        <w:spacing w:after="0" w:line="132" w:lineRule="exact"/>
        <w:rPr>
          <w:rFonts w:ascii="Arial" w:cs="Arial" w:eastAsia="Arial" w:hAnsi="Arial"/>
          <w:sz w:val="19"/>
          <w:szCs w:val="19"/>
          <w:color w:val="auto"/>
        </w:rPr>
      </w:pPr>
    </w:p>
    <w:p>
      <w:pPr>
        <w:ind w:left="720" w:hanging="360"/>
        <w:spacing w:after="0"/>
        <w:tabs>
          <w:tab w:leader="none" w:pos="720" w:val="left"/>
        </w:tabs>
        <w:numPr>
          <w:ilvl w:val="0"/>
          <w:numId w:val="49"/>
        </w:numPr>
        <w:rPr>
          <w:rFonts w:ascii="Arial" w:cs="Arial" w:eastAsia="Arial" w:hAnsi="Arial"/>
          <w:sz w:val="19"/>
          <w:szCs w:val="19"/>
          <w:color w:val="auto"/>
        </w:rPr>
      </w:pPr>
      <w:r>
        <w:rPr>
          <w:rFonts w:ascii="Arial" w:cs="Arial" w:eastAsia="Arial" w:hAnsi="Arial"/>
          <w:sz w:val="19"/>
          <w:szCs w:val="19"/>
          <w:color w:val="auto"/>
        </w:rPr>
        <w:t>fines, restitution or disgorgement of profits or revenues;</w:t>
      </w:r>
    </w:p>
    <w:p>
      <w:pPr>
        <w:spacing w:after="0" w:line="132" w:lineRule="exact"/>
        <w:rPr>
          <w:rFonts w:ascii="Arial" w:cs="Arial" w:eastAsia="Arial" w:hAnsi="Arial"/>
          <w:sz w:val="19"/>
          <w:szCs w:val="19"/>
          <w:color w:val="auto"/>
        </w:rPr>
      </w:pPr>
    </w:p>
    <w:p>
      <w:pPr>
        <w:ind w:left="720" w:hanging="360"/>
        <w:spacing w:after="0"/>
        <w:tabs>
          <w:tab w:leader="none" w:pos="720" w:val="left"/>
        </w:tabs>
        <w:numPr>
          <w:ilvl w:val="0"/>
          <w:numId w:val="49"/>
        </w:numPr>
        <w:rPr>
          <w:rFonts w:ascii="Arial" w:cs="Arial" w:eastAsia="Arial" w:hAnsi="Arial"/>
          <w:sz w:val="19"/>
          <w:szCs w:val="19"/>
          <w:color w:val="auto"/>
        </w:rPr>
      </w:pPr>
      <w:r>
        <w:rPr>
          <w:rFonts w:ascii="Arial" w:cs="Arial" w:eastAsia="Arial" w:hAnsi="Arial"/>
          <w:sz w:val="19"/>
          <w:szCs w:val="19"/>
          <w:color w:val="auto"/>
        </w:rPr>
        <w:t>suspension or withdrawal of marketing approvals;</w:t>
      </w:r>
    </w:p>
    <w:p>
      <w:pPr>
        <w:spacing w:after="0" w:line="132" w:lineRule="exact"/>
        <w:rPr>
          <w:rFonts w:ascii="Arial" w:cs="Arial" w:eastAsia="Arial" w:hAnsi="Arial"/>
          <w:sz w:val="19"/>
          <w:szCs w:val="19"/>
          <w:color w:val="auto"/>
        </w:rPr>
      </w:pPr>
    </w:p>
    <w:p>
      <w:pPr>
        <w:ind w:left="720" w:hanging="360"/>
        <w:spacing w:after="0"/>
        <w:tabs>
          <w:tab w:leader="none" w:pos="720" w:val="left"/>
        </w:tabs>
        <w:numPr>
          <w:ilvl w:val="0"/>
          <w:numId w:val="49"/>
        </w:numPr>
        <w:rPr>
          <w:rFonts w:ascii="Arial" w:cs="Arial" w:eastAsia="Arial" w:hAnsi="Arial"/>
          <w:sz w:val="19"/>
          <w:szCs w:val="19"/>
          <w:color w:val="auto"/>
        </w:rPr>
      </w:pPr>
      <w:r>
        <w:rPr>
          <w:rFonts w:ascii="Arial" w:cs="Arial" w:eastAsia="Arial" w:hAnsi="Arial"/>
          <w:sz w:val="19"/>
          <w:szCs w:val="19"/>
          <w:color w:val="auto"/>
        </w:rPr>
        <w:t>refusal to permit the import or export of our products;</w:t>
      </w:r>
    </w:p>
    <w:p>
      <w:pPr>
        <w:spacing w:after="0" w:line="132" w:lineRule="exact"/>
        <w:rPr>
          <w:rFonts w:ascii="Arial" w:cs="Arial" w:eastAsia="Arial" w:hAnsi="Arial"/>
          <w:sz w:val="19"/>
          <w:szCs w:val="19"/>
          <w:color w:val="auto"/>
        </w:rPr>
      </w:pPr>
    </w:p>
    <w:p>
      <w:pPr>
        <w:ind w:left="720" w:hanging="360"/>
        <w:spacing w:after="0"/>
        <w:tabs>
          <w:tab w:leader="none" w:pos="720" w:val="left"/>
        </w:tabs>
        <w:numPr>
          <w:ilvl w:val="0"/>
          <w:numId w:val="49"/>
        </w:numPr>
        <w:rPr>
          <w:rFonts w:ascii="Arial" w:cs="Arial" w:eastAsia="Arial" w:hAnsi="Arial"/>
          <w:sz w:val="19"/>
          <w:szCs w:val="19"/>
          <w:color w:val="auto"/>
        </w:rPr>
      </w:pPr>
      <w:r>
        <w:rPr>
          <w:rFonts w:ascii="Arial" w:cs="Arial" w:eastAsia="Arial" w:hAnsi="Arial"/>
          <w:sz w:val="19"/>
          <w:szCs w:val="19"/>
          <w:color w:val="auto"/>
        </w:rPr>
        <w:t>product seizure or detention;</w:t>
      </w:r>
    </w:p>
    <w:p>
      <w:pPr>
        <w:spacing w:after="0" w:line="132" w:lineRule="exact"/>
        <w:rPr>
          <w:rFonts w:ascii="Arial" w:cs="Arial" w:eastAsia="Arial" w:hAnsi="Arial"/>
          <w:sz w:val="19"/>
          <w:szCs w:val="19"/>
          <w:color w:val="auto"/>
        </w:rPr>
      </w:pPr>
    </w:p>
    <w:p>
      <w:pPr>
        <w:ind w:left="720" w:right="220" w:hanging="360"/>
        <w:spacing w:after="0" w:line="260" w:lineRule="auto"/>
        <w:tabs>
          <w:tab w:leader="none" w:pos="720" w:val="left"/>
        </w:tabs>
        <w:numPr>
          <w:ilvl w:val="0"/>
          <w:numId w:val="49"/>
        </w:numPr>
        <w:rPr>
          <w:rFonts w:ascii="Arial" w:cs="Arial" w:eastAsia="Arial" w:hAnsi="Arial"/>
          <w:sz w:val="19"/>
          <w:szCs w:val="19"/>
          <w:color w:val="auto"/>
        </w:rPr>
      </w:pPr>
      <w:r>
        <w:rPr>
          <w:rFonts w:ascii="Arial" w:cs="Arial" w:eastAsia="Arial" w:hAnsi="Arial"/>
          <w:sz w:val="19"/>
          <w:szCs w:val="19"/>
          <w:color w:val="auto"/>
        </w:rPr>
        <w:t>FDA debarment, suspension and debarment from government contracts, and refusal of orders under existing government contracts, exclusion from federal healthcare programs, consent decrees, or corporate integrity agreements; or</w:t>
      </w:r>
    </w:p>
    <w:p>
      <w:pPr>
        <w:spacing w:after="0" w:line="78" w:lineRule="exact"/>
        <w:rPr>
          <w:rFonts w:ascii="Arial" w:cs="Arial" w:eastAsia="Arial" w:hAnsi="Arial"/>
          <w:sz w:val="19"/>
          <w:szCs w:val="19"/>
          <w:color w:val="auto"/>
        </w:rPr>
      </w:pPr>
    </w:p>
    <w:p>
      <w:pPr>
        <w:ind w:left="720" w:hanging="360"/>
        <w:spacing w:after="0"/>
        <w:tabs>
          <w:tab w:leader="none" w:pos="720" w:val="left"/>
        </w:tabs>
        <w:numPr>
          <w:ilvl w:val="0"/>
          <w:numId w:val="49"/>
        </w:numPr>
        <w:rPr>
          <w:rFonts w:ascii="Arial" w:cs="Arial" w:eastAsia="Arial" w:hAnsi="Arial"/>
          <w:sz w:val="19"/>
          <w:szCs w:val="19"/>
          <w:color w:val="auto"/>
        </w:rPr>
      </w:pPr>
      <w:r>
        <w:rPr>
          <w:rFonts w:ascii="Arial" w:cs="Arial" w:eastAsia="Arial" w:hAnsi="Arial"/>
          <w:sz w:val="19"/>
          <w:szCs w:val="19"/>
          <w:color w:val="auto"/>
        </w:rPr>
        <w:t>injunctions or the imposition of civil, criminal or administrative penalties, including imprisonment.</w:t>
      </w:r>
    </w:p>
    <w:p>
      <w:pPr>
        <w:spacing w:after="0" w:line="120" w:lineRule="exact"/>
        <w:rPr>
          <w:sz w:val="20"/>
          <w:szCs w:val="20"/>
          <w:color w:val="auto"/>
        </w:rPr>
      </w:pPr>
    </w:p>
    <w:p>
      <w:pPr>
        <w:ind w:right="220"/>
        <w:spacing w:after="0" w:line="250" w:lineRule="auto"/>
        <w:rPr>
          <w:sz w:val="20"/>
          <w:szCs w:val="20"/>
          <w:color w:val="auto"/>
        </w:rPr>
      </w:pPr>
      <w:r>
        <w:rPr>
          <w:rFonts w:ascii="Arial" w:cs="Arial" w:eastAsia="Arial" w:hAnsi="Arial"/>
          <w:sz w:val="19"/>
          <w:szCs w:val="19"/>
          <w:color w:val="auto"/>
        </w:rPr>
        <w:t>Any of these events could prevent us from achieving or maintaining market acceptance of any particular product or could substantially increase the costs and expenses of commercializing such product, which in turn could delay or prevent us from generating significant revenues from its marketing and sale. Any of these events could further have other material and adverse effects on our operations and business and could adversely impact our business, financial condition, results of operations, stock price and prospects.</w:t>
      </w:r>
    </w:p>
    <w:p>
      <w:pPr>
        <w:spacing w:after="0" w:line="74" w:lineRule="exact"/>
        <w:rPr>
          <w:sz w:val="20"/>
          <w:szCs w:val="20"/>
          <w:color w:val="auto"/>
        </w:rPr>
      </w:pPr>
    </w:p>
    <w:p>
      <w:pPr>
        <w:ind w:right="40"/>
        <w:spacing w:after="0" w:line="248" w:lineRule="auto"/>
        <w:rPr>
          <w:sz w:val="20"/>
          <w:szCs w:val="20"/>
          <w:color w:val="auto"/>
        </w:rPr>
      </w:pPr>
      <w:r>
        <w:rPr>
          <w:rFonts w:ascii="Arial" w:cs="Arial" w:eastAsia="Arial" w:hAnsi="Arial"/>
          <w:sz w:val="19"/>
          <w:szCs w:val="19"/>
          <w:color w:val="auto"/>
        </w:rPr>
        <w:t>Further, the FDA’s policies or those of comparable foreign regulatory authorities may change and could impose extensive and ongoing regulatory requirements and obligations on any product candidate for which we obtain marketing approval. If we are slow or unable to adapt to changes in existing requirements or the adoption of new requirements or policies, or if we are not able to maintain regulatory compliance, we may lose any marketing approval that we may have obtained and be subject to regulatory enforcement action, which would adversely affect our business, prospects and ability to achieve or sustain profitability.</w:t>
      </w:r>
    </w:p>
    <w:p>
      <w:pPr>
        <w:spacing w:after="0" w:line="80" w:lineRule="exact"/>
        <w:rPr>
          <w:sz w:val="20"/>
          <w:szCs w:val="20"/>
          <w:color w:val="auto"/>
        </w:rPr>
      </w:pPr>
    </w:p>
    <w:p>
      <w:pPr>
        <w:ind w:right="300"/>
        <w:spacing w:after="0" w:line="251" w:lineRule="auto"/>
        <w:rPr>
          <w:sz w:val="20"/>
          <w:szCs w:val="20"/>
          <w:color w:val="auto"/>
        </w:rPr>
      </w:pPr>
      <w:r>
        <w:rPr>
          <w:rFonts w:ascii="Arial" w:cs="Arial" w:eastAsia="Arial" w:hAnsi="Arial"/>
          <w:sz w:val="19"/>
          <w:szCs w:val="19"/>
          <w:b w:val="1"/>
          <w:bCs w:val="1"/>
          <w:i w:val="1"/>
          <w:iCs w:val="1"/>
          <w:color w:val="auto"/>
        </w:rPr>
        <w:t>Regulatory approval by the FDA or comparable foreign regulatory authorities is limited to those specific indications and conditions for which approval has been granted, and we may be subject to substantial fines, criminal penalties, injunctions or other enforcement actions if we are determined to be promoting the use of our products for unapproved or “off-label” uses, or in a manner inconsistent with the approved labeling, resulting in damage to our reputation and business.</w:t>
      </w:r>
    </w:p>
    <w:p>
      <w:pPr>
        <w:spacing w:after="0" w:line="66" w:lineRule="exact"/>
        <w:rPr>
          <w:sz w:val="20"/>
          <w:szCs w:val="20"/>
          <w:color w:val="auto"/>
        </w:rPr>
      </w:pPr>
    </w:p>
    <w:p>
      <w:pPr>
        <w:spacing w:after="0" w:line="245" w:lineRule="auto"/>
        <w:rPr>
          <w:sz w:val="20"/>
          <w:szCs w:val="20"/>
          <w:color w:val="auto"/>
        </w:rPr>
      </w:pPr>
      <w:r>
        <w:rPr>
          <w:rFonts w:ascii="Arial" w:cs="Arial" w:eastAsia="Arial" w:hAnsi="Arial"/>
          <w:sz w:val="19"/>
          <w:szCs w:val="19"/>
          <w:color w:val="auto"/>
        </w:rPr>
        <w:t>We must comply with requirements concerning advertising and promotion for any product candidates for which we obtain marketing approval. Promotional communications with respect to therapeutics are subject to a variety of legal and regulatory restrictions and continuing review by the FDA, Department of Justice, the Office of Inspector General for the Department of Health and Human Services (HHS),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approval for desired uses or indications for CAN-2409, CAN-3110 and future product candidates, we may not market or promote them for those indications and uses, referred to as off-label uses, and our business, financial condition, results of operations, stock price and prospects will be materially harmed. We also must sufficiently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59</w:t>
      </w:r>
    </w:p>
    <w:p>
      <w:pPr>
        <w:sectPr>
          <w:pgSz w:w="12240" w:h="15840" w:orient="portrait"/>
          <w:cols w:equalWidth="0" w:num="1">
            <w:col w:w="10080"/>
          </w:cols>
          <w:pgMar w:left="1080" w:top="1075" w:right="1080" w:bottom="173" w:gutter="0" w:footer="0" w:header="0"/>
        </w:sectPr>
      </w:pPr>
    </w:p>
    <w:bookmarkStart w:id="63" w:name="page64"/>
    <w:bookmarkEnd w:id="63"/>
    <w:p>
      <w:pPr>
        <w:ind w:right="100"/>
        <w:spacing w:after="0" w:line="310" w:lineRule="auto"/>
        <w:rPr>
          <w:sz w:val="20"/>
          <w:szCs w:val="20"/>
          <w:color w:val="auto"/>
        </w:rPr>
      </w:pPr>
      <w:r>
        <w:rPr>
          <w:rFonts w:ascii="Arial" w:cs="Arial" w:eastAsia="Arial" w:hAnsi="Arial"/>
          <w:sz w:val="18"/>
          <w:szCs w:val="18"/>
          <w:color w:val="auto"/>
        </w:rPr>
        <w:t>substantiate any claims that we make for any products, including claims comparing those products to other companies’ products, and must abide by the FDA’s strict requirements regarding the content of promotion and advertising.</w:t>
      </w:r>
    </w:p>
    <w:p>
      <w:pPr>
        <w:spacing w:after="0" w:line="22" w:lineRule="exact"/>
        <w:rPr>
          <w:sz w:val="20"/>
          <w:szCs w:val="20"/>
          <w:color w:val="auto"/>
        </w:rPr>
      </w:pPr>
    </w:p>
    <w:p>
      <w:pPr>
        <w:ind w:right="20"/>
        <w:spacing w:after="0" w:line="250" w:lineRule="auto"/>
        <w:rPr>
          <w:sz w:val="20"/>
          <w:szCs w:val="20"/>
          <w:color w:val="auto"/>
        </w:rPr>
      </w:pPr>
      <w:r>
        <w:rPr>
          <w:rFonts w:ascii="Arial" w:cs="Arial" w:eastAsia="Arial" w:hAnsi="Arial"/>
          <w:sz w:val="19"/>
          <w:szCs w:val="19"/>
          <w:color w:val="auto"/>
        </w:rPr>
        <w:t>Physicians may choose to prescribe products for uses that are not described in the product’s labeling and for uses that differ from those tested in clinical trials and approved by the regulatory authorities. Regulatory authorities in the United States generally do not restrict or regulate the behavior of physicians in their choice of treatment within the practice of medicine. Regulatory authorities do, however, restrict communications by biopharmaceutical companies concerning off-label use.</w:t>
      </w:r>
    </w:p>
    <w:p>
      <w:pPr>
        <w:spacing w:after="0" w:line="74" w:lineRule="exact"/>
        <w:rPr>
          <w:sz w:val="20"/>
          <w:szCs w:val="20"/>
          <w:color w:val="auto"/>
        </w:rPr>
      </w:pPr>
    </w:p>
    <w:p>
      <w:pPr>
        <w:ind w:right="40"/>
        <w:spacing w:after="0" w:line="241" w:lineRule="auto"/>
        <w:rPr>
          <w:sz w:val="20"/>
          <w:szCs w:val="20"/>
          <w:color w:val="auto"/>
        </w:rPr>
      </w:pPr>
      <w:r>
        <w:rPr>
          <w:rFonts w:ascii="Arial" w:cs="Arial" w:eastAsia="Arial" w:hAnsi="Arial"/>
          <w:sz w:val="19"/>
          <w:szCs w:val="19"/>
          <w:color w:val="auto"/>
        </w:rPr>
        <w:t>If we are found to have impermissibly promoted any of CAN-2409, CAN-3110 and future product candidates, we may become subject to significant liability and government fines. The FDA and other agencies actively enforce the laws and regulations regarding product promotion, particularly those prohibiting the promotion of off-label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 In the United States, engaging in the impermissible promotion of any products, following approval, for off-label uses can also subject us to false claims and other litigation under federal and state statutes. These include fraud and abuse and consumer protection laws, which can lead to civil and criminal penalties and fines, agreements with governmental authorities that materially restrict the manner in which we promote or distribute therapeutic products and conduct our business. These restrictions could include corporate integrity agreements, suspension or exclusion from participation in federal and state healthcare programs, and suspension and debarment from government contracts and refusal of orders under existing government contracts. These False Claims Act lawsuits against manufacturers of drugs and biologics have increased significantly in volume and breadth, leading to several substantial civil and criminal settlements pertaining to certain sales practices and promoting off-label uses. In addition, False Claims Act lawsuits may expose manufacturers to follow-on claims by private payers based on fraudulent marketing practices. This growth in litigation has increased the risk that a biopharmaceutical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do not lawfully promote our approved products, if any, we may become subject to such litigation and, if we do not successfully defend against such actions, those actions may have a material adverse effect on our business, financial condition, results of operations, stock price and prospects.</w:t>
      </w:r>
    </w:p>
    <w:p>
      <w:pPr>
        <w:spacing w:after="0" w:line="99" w:lineRule="exact"/>
        <w:rPr>
          <w:sz w:val="20"/>
          <w:szCs w:val="20"/>
          <w:color w:val="auto"/>
        </w:rPr>
      </w:pPr>
    </w:p>
    <w:p>
      <w:pPr>
        <w:ind w:right="60"/>
        <w:spacing w:after="0" w:line="244" w:lineRule="auto"/>
        <w:rPr>
          <w:sz w:val="20"/>
          <w:szCs w:val="20"/>
          <w:color w:val="auto"/>
        </w:rPr>
      </w:pPr>
      <w:r>
        <w:rPr>
          <w:rFonts w:ascii="Arial" w:cs="Arial" w:eastAsia="Arial" w:hAnsi="Arial"/>
          <w:sz w:val="19"/>
          <w:szCs w:val="19"/>
          <w:color w:val="auto"/>
        </w:rPr>
        <w:t>In the United States, the promotion of biopharmaceutical products is subject to additional FDA requirements and restrictions on promotional statements. If, after CAN-2409, CAN-3110 or any future product candidates obtains marketing approval, the FDA determines that our promotional activities violate its regulations and policies pertaining to product promotion, it could request that we modify our promotional materials or subject us to regulatory or other enforcement actions, including issuance of warning letters or untitled letters, suspension or withdrawal of an approved product from the market, requests for recalls, payment of civil fines, disgorgement of money, imposition of operating restrictions, injunctions or criminal prosecution, and other enforcement actions. Similarly, industry codes in foreign jurisdictions may prohibit companies from engaging in certain promotional activities, and regulatory agencies in various countries may enforce violations of such codes with civil penalties. If we become subject to regulatory and enforcement actions, our business, financial condition, results of operations, stock price and prospects will be materially harmed.</w:t>
      </w:r>
    </w:p>
    <w:p>
      <w:pPr>
        <w:spacing w:after="0" w:line="88" w:lineRule="exact"/>
        <w:rPr>
          <w:sz w:val="20"/>
          <w:szCs w:val="20"/>
          <w:color w:val="auto"/>
        </w:rPr>
      </w:pPr>
    </w:p>
    <w:p>
      <w:pPr>
        <w:ind w:right="160"/>
        <w:spacing w:after="0" w:line="317" w:lineRule="auto"/>
        <w:rPr>
          <w:sz w:val="20"/>
          <w:szCs w:val="20"/>
          <w:color w:val="auto"/>
        </w:rPr>
      </w:pPr>
      <w:r>
        <w:rPr>
          <w:rFonts w:ascii="Arial" w:cs="Arial" w:eastAsia="Arial" w:hAnsi="Arial"/>
          <w:sz w:val="18"/>
          <w:szCs w:val="18"/>
          <w:b w:val="1"/>
          <w:bCs w:val="1"/>
          <w:i w:val="1"/>
          <w:iCs w:val="1"/>
          <w:color w:val="auto"/>
        </w:rPr>
        <w:t>We may not be able to file INDs or IND amendments to commence additional clinical trials on the timelines we expect, and even if we are able to, the FDA or a comparable foreign regulatory may not permit us to proceed.</w:t>
      </w:r>
    </w:p>
    <w:p>
      <w:pPr>
        <w:spacing w:after="0" w:line="6" w:lineRule="exact"/>
        <w:rPr>
          <w:sz w:val="20"/>
          <w:szCs w:val="20"/>
          <w:color w:val="auto"/>
        </w:rPr>
      </w:pPr>
    </w:p>
    <w:p>
      <w:pPr>
        <w:spacing w:after="0" w:line="243" w:lineRule="auto"/>
        <w:rPr>
          <w:sz w:val="20"/>
          <w:szCs w:val="20"/>
          <w:color w:val="auto"/>
        </w:rPr>
      </w:pPr>
      <w:r>
        <w:rPr>
          <w:rFonts w:ascii="Arial" w:cs="Arial" w:eastAsia="Arial" w:hAnsi="Arial"/>
          <w:sz w:val="19"/>
          <w:szCs w:val="19"/>
          <w:color w:val="auto"/>
        </w:rPr>
        <w:t>The FDA or comparable foreign regulatory authorities may require us to file separate INDs for additional clinical trials we plan to conduct with our current most advanced product candidates, CAN-2409 and CAN-3110. We may not be able to file any additional INDs required for our current product candidates and any future product candidates on the timelines we expect. For example, we may experience delays if we are unable to access earlier data from inactive or withdrawn INDs. Moreover, we cannot be sure that submission of an IND will result in the FDA or comparable foreign regulatory authorities allowing further clinical trials to begin, or that, once begun, issues will not arise that suspend or terminate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expected timelines to obtain regulatory approvals for our trials may prevent us from completing our clinical trials or commercializing our products on a timely basis, if at all. There are similar risks related to the review and authorization of our protocols and amendments by comparable foreign regulatory authorities.</w:t>
      </w:r>
    </w:p>
    <w:p>
      <w:pPr>
        <w:spacing w:after="0" w:line="91" w:lineRule="exact"/>
        <w:rPr>
          <w:sz w:val="20"/>
          <w:szCs w:val="20"/>
          <w:color w:val="auto"/>
        </w:rPr>
      </w:pPr>
    </w:p>
    <w:p>
      <w:pPr>
        <w:ind w:right="800"/>
        <w:spacing w:after="0" w:line="287" w:lineRule="auto"/>
        <w:rPr>
          <w:sz w:val="20"/>
          <w:szCs w:val="20"/>
          <w:color w:val="auto"/>
        </w:rPr>
      </w:pPr>
      <w:r>
        <w:rPr>
          <w:rFonts w:ascii="Arial" w:cs="Arial" w:eastAsia="Arial" w:hAnsi="Arial"/>
          <w:sz w:val="19"/>
          <w:szCs w:val="19"/>
          <w:b w:val="1"/>
          <w:bCs w:val="1"/>
          <w:i w:val="1"/>
          <w:iCs w:val="1"/>
          <w:color w:val="auto"/>
        </w:rPr>
        <w:t>If approved, our investigational products regulated as biologics may face competition from biosimilars approved through an abbreviated regulatory pathway.</w:t>
      </w:r>
    </w:p>
    <w:p>
      <w:pPr>
        <w:spacing w:after="0" w:line="30" w:lineRule="exact"/>
        <w:rPr>
          <w:sz w:val="20"/>
          <w:szCs w:val="20"/>
          <w:color w:val="auto"/>
        </w:rPr>
      </w:pPr>
    </w:p>
    <w:p>
      <w:pPr>
        <w:ind w:right="260"/>
        <w:spacing w:after="0" w:line="281" w:lineRule="auto"/>
        <w:rPr>
          <w:sz w:val="20"/>
          <w:szCs w:val="20"/>
          <w:color w:val="auto"/>
        </w:rPr>
      </w:pPr>
      <w:r>
        <w:rPr>
          <w:rFonts w:ascii="Arial" w:cs="Arial" w:eastAsia="Arial" w:hAnsi="Arial"/>
          <w:sz w:val="19"/>
          <w:szCs w:val="19"/>
          <w:color w:val="auto"/>
        </w:rPr>
        <w:t>The Patient Protection and Affordable Care Act, as amended by the Health Care and Education Reconciliation Act of 2010 (collectively, the ACA), includes a subtitle called the Biologics Price Competition and Innovation Act of 2009</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60</w:t>
      </w:r>
    </w:p>
    <w:p>
      <w:pPr>
        <w:sectPr>
          <w:pgSz w:w="12240" w:h="15840" w:orient="portrait"/>
          <w:cols w:equalWidth="0" w:num="1">
            <w:col w:w="10060"/>
          </w:cols>
          <w:pgMar w:left="1080" w:top="1062" w:right="1100" w:bottom="173" w:gutter="0" w:footer="0" w:header="0"/>
        </w:sectPr>
      </w:pPr>
    </w:p>
    <w:bookmarkStart w:id="64" w:name="page65"/>
    <w:bookmarkEnd w:id="64"/>
    <w:p>
      <w:pPr>
        <w:spacing w:after="0" w:line="245" w:lineRule="auto"/>
        <w:rPr>
          <w:sz w:val="20"/>
          <w:szCs w:val="20"/>
          <w:color w:val="auto"/>
        </w:rPr>
      </w:pPr>
      <w:r>
        <w:rPr>
          <w:rFonts w:ascii="Arial" w:cs="Arial" w:eastAsia="Arial" w:hAnsi="Arial"/>
          <w:sz w:val="19"/>
          <w:szCs w:val="19"/>
          <w:color w:val="auto"/>
        </w:rPr>
        <w:t>(BPCIA), which created an abbreviated approval pathway for biologic products that are biosimilar to or interchangeable with an FDA-licensed reference biologic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w:t>
      </w:r>
    </w:p>
    <w:p>
      <w:pPr>
        <w:spacing w:after="0" w:line="79" w:lineRule="exact"/>
        <w:rPr>
          <w:sz w:val="20"/>
          <w:szCs w:val="20"/>
          <w:color w:val="auto"/>
        </w:rPr>
      </w:pPr>
    </w:p>
    <w:p>
      <w:pPr>
        <w:ind w:right="260"/>
        <w:spacing w:after="0" w:line="245" w:lineRule="auto"/>
        <w:rPr>
          <w:sz w:val="20"/>
          <w:szCs w:val="20"/>
          <w:color w:val="auto"/>
        </w:rPr>
      </w:pPr>
      <w:r>
        <w:rPr>
          <w:rFonts w:ascii="Arial" w:cs="Arial" w:eastAsia="Arial" w:hAnsi="Arial"/>
          <w:sz w:val="19"/>
          <w:szCs w:val="19"/>
          <w:color w:val="auto"/>
        </w:rPr>
        <w:t>We believe that any of our product candidates approved as a biologic product under a BLA should qualify for the 12-year period of exclusivity. However, there is a risk that this exclusivity could be shortened or unavailable due to congressional action, a determination that approval of one of our candidates does not constitute “first licensure” or otherwise, or that the FDA will not consider our investigational medicines to be reference products for competing products, potentially creating the opportunity for generic competition sooner than anticipated. Moreover, the extent to which a biosimilar, once licensed, will be substituted for any one of our reference products in a way that is similar to traditional generic substitution for non-biologic products is not yet clear, and will depend on a number of marketplace and regulatory factors that are still developing.</w:t>
      </w:r>
    </w:p>
    <w:p>
      <w:pPr>
        <w:spacing w:after="0" w:line="84" w:lineRule="exact"/>
        <w:rPr>
          <w:sz w:val="20"/>
          <w:szCs w:val="20"/>
          <w:color w:val="auto"/>
        </w:rPr>
      </w:pPr>
    </w:p>
    <w:p>
      <w:pPr>
        <w:ind w:right="100"/>
        <w:spacing w:after="0" w:line="281" w:lineRule="auto"/>
        <w:rPr>
          <w:sz w:val="20"/>
          <w:szCs w:val="20"/>
          <w:color w:val="auto"/>
        </w:rPr>
      </w:pPr>
      <w:r>
        <w:rPr>
          <w:rFonts w:ascii="Arial" w:cs="Arial" w:eastAsia="Arial" w:hAnsi="Arial"/>
          <w:sz w:val="19"/>
          <w:szCs w:val="19"/>
          <w:color w:val="auto"/>
        </w:rPr>
        <w:t>If competitors are able to obtain marketing approval for biosimilars referencing our products, our products may become subject to competition from such biosimilars, with the attendant competitive pressure and consequences.</w:t>
      </w:r>
    </w:p>
    <w:p>
      <w:pPr>
        <w:spacing w:after="0" w:line="49" w:lineRule="exact"/>
        <w:rPr>
          <w:sz w:val="20"/>
          <w:szCs w:val="20"/>
          <w:color w:val="auto"/>
        </w:rPr>
      </w:pPr>
    </w:p>
    <w:p>
      <w:pPr>
        <w:ind w:right="80"/>
        <w:spacing w:after="0" w:line="287" w:lineRule="auto"/>
        <w:rPr>
          <w:sz w:val="20"/>
          <w:szCs w:val="20"/>
          <w:color w:val="auto"/>
        </w:rPr>
      </w:pPr>
      <w:r>
        <w:rPr>
          <w:rFonts w:ascii="Arial" w:cs="Arial" w:eastAsia="Arial" w:hAnsi="Arial"/>
          <w:sz w:val="19"/>
          <w:szCs w:val="19"/>
          <w:b w:val="1"/>
          <w:bCs w:val="1"/>
          <w:i w:val="1"/>
          <w:iCs w:val="1"/>
          <w:color w:val="auto"/>
        </w:rPr>
        <w:t>The size of the potential market for our product candidates is difficult to estimate and, if any of our assumptions are inaccurate, the actual markets for our product candidates may be smaller than our estimates.</w:t>
      </w:r>
    </w:p>
    <w:p>
      <w:pPr>
        <w:spacing w:after="0" w:line="30" w:lineRule="exact"/>
        <w:rPr>
          <w:sz w:val="20"/>
          <w:szCs w:val="20"/>
          <w:color w:val="auto"/>
        </w:rPr>
      </w:pPr>
    </w:p>
    <w:p>
      <w:pPr>
        <w:ind w:right="40"/>
        <w:spacing w:after="0" w:line="244" w:lineRule="auto"/>
        <w:rPr>
          <w:sz w:val="20"/>
          <w:szCs w:val="20"/>
          <w:color w:val="auto"/>
        </w:rPr>
      </w:pPr>
      <w:r>
        <w:rPr>
          <w:rFonts w:ascii="Arial" w:cs="Arial" w:eastAsia="Arial" w:hAnsi="Arial"/>
          <w:sz w:val="19"/>
          <w:szCs w:val="19"/>
          <w:color w:val="auto"/>
        </w:rPr>
        <w:t>Our current and future target patient populations are based on our beliefs and estimates regarding the incidence or prevalence of certain types of the indications that may be addressable by our product candidates, which is derived from a variety of sources, including scientific literature and surveys of clinics. Our projections may prove to be incorrect and the number of potential patients may turn out to be lower than expected. The total addressable market opportunity for our product candidates will ultimately depend upon a number of factors including the diagnosis and treatment criteria included in the final label, if approved for sale in specified indications, acceptance by the medical community, patient access, the success of competing therapies and product pricing and reimbursement. Further, the market opportunity for viral immunotherapies is hard to estimate given that it is an emerging field with few globally or FDA-approved therapies, none of which have yet to enjoy broad market acceptance. Even if we obtain significant market share for our product candidates, because the potential target populations could be small, we may never achieve profitability without obtaining regulatory approval for additional indications.</w:t>
      </w:r>
    </w:p>
    <w:p>
      <w:pPr>
        <w:spacing w:after="0" w:line="8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Healthcare reform measures may have a material adverse effect on our business and results of operations.</w:t>
      </w:r>
    </w:p>
    <w:p>
      <w:pPr>
        <w:spacing w:after="0" w:line="1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United States and many foreign jurisdictions have enacted or proposed legislative and regulatory changes affecting the healthcare system that could prevent or delay marketing approval of our current or future product candidates or any future product candidates, restrict or regulate post-approval activities and affect our ability to profitably sell a product for which we obtain marketing approval. Among policy-makers and payers in the United States and elsewhere, there is significant interest in promoting changes in healthcare systems with the stated goals of containing healthcare costs, improving quality and/or expanding access to healthcare. In the United States, the pharmaceutical industry has been a particular focus of these efforts and has been significantly affected by major legislative initiatives. There have been, and likely will continue to be, legislative and regulatory proposals at the federal and state levels directed at broadening the availability of healthcare and containing or lowering the cost of healthcare. We cannot predict the initiatives that may be adopted in the future. For more information, see Part I, Item 1 “Business - Health Reform”.</w:t>
      </w:r>
    </w:p>
    <w:p>
      <w:pPr>
        <w:spacing w:after="0" w:line="71" w:lineRule="exact"/>
        <w:rPr>
          <w:sz w:val="20"/>
          <w:szCs w:val="20"/>
          <w:color w:val="auto"/>
        </w:rPr>
      </w:pPr>
    </w:p>
    <w:p>
      <w:pPr>
        <w:ind w:right="560"/>
        <w:spacing w:after="0" w:line="281" w:lineRule="auto"/>
        <w:rPr>
          <w:sz w:val="20"/>
          <w:szCs w:val="20"/>
          <w:color w:val="auto"/>
        </w:rPr>
      </w:pPr>
      <w:r>
        <w:rPr>
          <w:rFonts w:ascii="Arial" w:cs="Arial" w:eastAsia="Arial" w:hAnsi="Arial"/>
          <w:sz w:val="19"/>
          <w:szCs w:val="19"/>
          <w:color w:val="auto"/>
        </w:rPr>
        <w:t>The continuing efforts of the government, insurance companies, managed care organizations and other payers of healthcare services to contain or reduce costs of healthcare may adversely affect:</w:t>
      </w:r>
    </w:p>
    <w:p>
      <w:pPr>
        <w:spacing w:after="0" w:line="58" w:lineRule="exact"/>
        <w:rPr>
          <w:sz w:val="20"/>
          <w:szCs w:val="20"/>
          <w:color w:val="auto"/>
        </w:rPr>
      </w:pPr>
    </w:p>
    <w:p>
      <w:pPr>
        <w:ind w:left="720" w:hanging="360"/>
        <w:spacing w:after="0"/>
        <w:tabs>
          <w:tab w:leader="none" w:pos="720"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the demand for any of our product candidates, if approved;</w:t>
      </w:r>
    </w:p>
    <w:p>
      <w:pPr>
        <w:spacing w:after="0" w:line="132" w:lineRule="exact"/>
        <w:rPr>
          <w:rFonts w:ascii="Arial" w:cs="Arial" w:eastAsia="Arial" w:hAnsi="Arial"/>
          <w:sz w:val="19"/>
          <w:szCs w:val="19"/>
          <w:color w:val="auto"/>
        </w:rPr>
      </w:pPr>
    </w:p>
    <w:p>
      <w:pPr>
        <w:ind w:left="720" w:hanging="360"/>
        <w:spacing w:after="0"/>
        <w:tabs>
          <w:tab w:leader="none" w:pos="720"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the ability to set a price that we believe is fair for any of our product candidates, if approved;</w:t>
      </w:r>
    </w:p>
    <w:p>
      <w:pPr>
        <w:spacing w:after="0" w:line="132" w:lineRule="exact"/>
        <w:rPr>
          <w:rFonts w:ascii="Arial" w:cs="Arial" w:eastAsia="Arial" w:hAnsi="Arial"/>
          <w:sz w:val="19"/>
          <w:szCs w:val="19"/>
          <w:color w:val="auto"/>
        </w:rPr>
      </w:pPr>
    </w:p>
    <w:p>
      <w:pPr>
        <w:ind w:left="720" w:hanging="360"/>
        <w:spacing w:after="0"/>
        <w:tabs>
          <w:tab w:leader="none" w:pos="720" w:val="left"/>
        </w:tabs>
        <w:numPr>
          <w:ilvl w:val="0"/>
          <w:numId w:val="50"/>
        </w:numPr>
        <w:rPr>
          <w:rFonts w:ascii="Arial" w:cs="Arial" w:eastAsia="Arial" w:hAnsi="Arial"/>
          <w:sz w:val="19"/>
          <w:szCs w:val="19"/>
          <w:color w:val="auto"/>
        </w:rPr>
      </w:pPr>
      <w:r>
        <w:rPr>
          <w:rFonts w:ascii="Arial" w:cs="Arial" w:eastAsia="Arial" w:hAnsi="Arial"/>
          <w:sz w:val="19"/>
          <w:szCs w:val="19"/>
          <w:color w:val="auto"/>
        </w:rPr>
        <w:t>our ability to generate revenues and achieve or maintain profitability;</w:t>
      </w:r>
    </w:p>
    <w:p>
      <w:pPr>
        <w:spacing w:after="0" w:line="132" w:lineRule="exact"/>
        <w:rPr>
          <w:rFonts w:ascii="Arial" w:cs="Arial" w:eastAsia="Arial" w:hAnsi="Arial"/>
          <w:sz w:val="19"/>
          <w:szCs w:val="19"/>
          <w:color w:val="auto"/>
        </w:rPr>
      </w:pPr>
    </w:p>
    <w:p>
      <w:pPr>
        <w:ind w:left="720" w:hanging="360"/>
        <w:spacing w:after="0"/>
        <w:tabs>
          <w:tab w:leader="none" w:pos="720"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the level of taxes that we are required to pay; and</w:t>
      </w:r>
    </w:p>
    <w:p>
      <w:pPr>
        <w:spacing w:after="0" w:line="132" w:lineRule="exact"/>
        <w:rPr>
          <w:rFonts w:ascii="Arial" w:cs="Arial" w:eastAsia="Arial" w:hAnsi="Arial"/>
          <w:sz w:val="19"/>
          <w:szCs w:val="19"/>
          <w:color w:val="auto"/>
        </w:rPr>
      </w:pPr>
    </w:p>
    <w:p>
      <w:pPr>
        <w:ind w:left="720" w:hanging="360"/>
        <w:spacing w:after="0"/>
        <w:tabs>
          <w:tab w:leader="none" w:pos="720"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the availability of capital.</w:t>
      </w:r>
    </w:p>
    <w:p>
      <w:pPr>
        <w:spacing w:after="0" w:line="120" w:lineRule="exact"/>
        <w:rPr>
          <w:sz w:val="20"/>
          <w:szCs w:val="20"/>
          <w:color w:val="auto"/>
        </w:rPr>
      </w:pPr>
    </w:p>
    <w:p>
      <w:pPr>
        <w:ind w:right="20"/>
        <w:spacing w:after="0" w:line="253" w:lineRule="auto"/>
        <w:rPr>
          <w:sz w:val="20"/>
          <w:szCs w:val="20"/>
          <w:color w:val="auto"/>
        </w:rPr>
      </w:pPr>
      <w:r>
        <w:rPr>
          <w:rFonts w:ascii="Arial" w:cs="Arial" w:eastAsia="Arial" w:hAnsi="Arial"/>
          <w:sz w:val="19"/>
          <w:szCs w:val="19"/>
          <w:color w:val="auto"/>
        </w:rPr>
        <w:t>Legislative and regulatory proposals have been made to expand post-approval requirements and restrict sales and promotional activities for pharmaceutical and biologic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61</w:t>
      </w:r>
    </w:p>
    <w:p>
      <w:pPr>
        <w:sectPr>
          <w:pgSz w:w="12240" w:h="15840" w:orient="portrait"/>
          <w:cols w:equalWidth="0" w:num="1">
            <w:col w:w="10060"/>
          </w:cols>
          <w:pgMar w:left="1080" w:top="1062" w:right="1100" w:bottom="173" w:gutter="0" w:footer="0" w:header="0"/>
        </w:sectPr>
      </w:pPr>
    </w:p>
    <w:bookmarkStart w:id="65" w:name="page66"/>
    <w:bookmarkEnd w:id="65"/>
    <w:p>
      <w:pPr>
        <w:ind w:right="40"/>
        <w:spacing w:after="0" w:line="281" w:lineRule="auto"/>
        <w:rPr>
          <w:sz w:val="20"/>
          <w:szCs w:val="20"/>
          <w:color w:val="auto"/>
        </w:rPr>
      </w:pPr>
      <w:r>
        <w:rPr>
          <w:rFonts w:ascii="Arial" w:cs="Arial" w:eastAsia="Arial" w:hAnsi="Arial"/>
          <w:sz w:val="19"/>
          <w:szCs w:val="19"/>
          <w:color w:val="auto"/>
        </w:rPr>
        <w:t>Congress of the FDA’s approval process may significantly delay or prevent marketing approval, as well as subject us to more stringent product labeling and post-marketing testing and other requirements.</w:t>
      </w:r>
    </w:p>
    <w:p>
      <w:pPr>
        <w:spacing w:after="0" w:line="45" w:lineRule="exact"/>
        <w:rPr>
          <w:sz w:val="20"/>
          <w:szCs w:val="20"/>
          <w:color w:val="auto"/>
        </w:rPr>
      </w:pPr>
    </w:p>
    <w:p>
      <w:pPr>
        <w:ind w:right="20"/>
        <w:spacing w:after="0" w:line="250" w:lineRule="auto"/>
        <w:rPr>
          <w:sz w:val="20"/>
          <w:szCs w:val="20"/>
          <w:color w:val="auto"/>
        </w:rPr>
      </w:pPr>
      <w:r>
        <w:rPr>
          <w:rFonts w:ascii="Arial" w:cs="Arial" w:eastAsia="Arial" w:hAnsi="Arial"/>
          <w:sz w:val="19"/>
          <w:szCs w:val="19"/>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United States with respect to specialty drug pricing practices.</w:t>
      </w:r>
    </w:p>
    <w:p>
      <w:pPr>
        <w:spacing w:after="0" w:line="74" w:lineRule="exact"/>
        <w:rPr>
          <w:sz w:val="20"/>
          <w:szCs w:val="20"/>
          <w:color w:val="auto"/>
        </w:rPr>
      </w:pPr>
    </w:p>
    <w:p>
      <w:pPr>
        <w:ind w:right="160"/>
        <w:spacing w:after="0" w:line="248" w:lineRule="auto"/>
        <w:rPr>
          <w:sz w:val="20"/>
          <w:szCs w:val="20"/>
          <w:color w:val="auto"/>
        </w:rPr>
      </w:pPr>
      <w:r>
        <w:rPr>
          <w:rFonts w:ascii="Arial" w:cs="Arial" w:eastAsia="Arial" w:hAnsi="Arial"/>
          <w:sz w:val="19"/>
          <w:szCs w:val="19"/>
          <w:color w:val="auto"/>
        </w:rPr>
        <w:t>We expect that the healthcare reform measures that have been adopted and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80" w:lineRule="exact"/>
        <w:rPr>
          <w:sz w:val="20"/>
          <w:szCs w:val="20"/>
          <w:color w:val="auto"/>
        </w:rPr>
      </w:pPr>
    </w:p>
    <w:p>
      <w:pPr>
        <w:ind w:right="60"/>
        <w:spacing w:after="0" w:line="255" w:lineRule="auto"/>
        <w:rPr>
          <w:sz w:val="20"/>
          <w:szCs w:val="20"/>
          <w:color w:val="auto"/>
        </w:rPr>
      </w:pPr>
      <w:r>
        <w:rPr>
          <w:rFonts w:ascii="Arial" w:cs="Arial" w:eastAsia="Arial" w:hAnsi="Arial"/>
          <w:sz w:val="19"/>
          <w:szCs w:val="19"/>
          <w:b w:val="1"/>
          <w:bCs w:val="1"/>
          <w:i w:val="1"/>
          <w:iCs w:val="1"/>
          <w:color w:val="auto"/>
        </w:rPr>
        <w:t>If, in the future, we are unable to establish sales and marketing and patient support capabilities or enter into agreements with third parties to sell and market our current or future product candidates, we may not be successful in commercializing our current or future product candidates if and when they are approved, and we may not be able to generate any revenue.</w:t>
      </w:r>
    </w:p>
    <w:p>
      <w:pPr>
        <w:spacing w:after="0" w:line="61" w:lineRule="exact"/>
        <w:rPr>
          <w:sz w:val="20"/>
          <w:szCs w:val="20"/>
          <w:color w:val="auto"/>
        </w:rPr>
      </w:pPr>
    </w:p>
    <w:p>
      <w:pPr>
        <w:spacing w:after="0" w:line="248" w:lineRule="auto"/>
        <w:rPr>
          <w:sz w:val="20"/>
          <w:szCs w:val="20"/>
          <w:color w:val="auto"/>
        </w:rPr>
      </w:pPr>
      <w:r>
        <w:rPr>
          <w:rFonts w:ascii="Arial" w:cs="Arial" w:eastAsia="Arial" w:hAnsi="Arial"/>
          <w:sz w:val="19"/>
          <w:szCs w:val="19"/>
          <w:color w:val="auto"/>
        </w:rPr>
        <w:t>We do not currently have a sales or marketing infrastructure and have limited experience in the sales, marketing, patient support or distribution of products. To achieve commercial success for any approved product candidate for which we retain sales and marketing responsibilities, we must build our sales, marketing, patient support, managerial and other non-technical capabilities or make arrangements with third parties to perform these services. In the future, we may choose to build a focused sales and marketing infrastructure to sell, or participate in sales activities with our collaborators for, some of our current or future product candidates if and when they are approved.</w:t>
      </w:r>
    </w:p>
    <w:p>
      <w:pPr>
        <w:spacing w:after="0" w:line="76" w:lineRule="exact"/>
        <w:rPr>
          <w:sz w:val="20"/>
          <w:szCs w:val="20"/>
          <w:color w:val="auto"/>
        </w:rPr>
      </w:pPr>
    </w:p>
    <w:p>
      <w:pPr>
        <w:ind w:right="180"/>
        <w:spacing w:after="0" w:line="248" w:lineRule="auto"/>
        <w:rPr>
          <w:sz w:val="20"/>
          <w:szCs w:val="20"/>
          <w:color w:val="auto"/>
        </w:rPr>
      </w:pPr>
      <w:r>
        <w:rPr>
          <w:rFonts w:ascii="Arial" w:cs="Arial" w:eastAsia="Arial" w:hAnsi="Arial"/>
          <w:sz w:val="19"/>
          <w:szCs w:val="19"/>
          <w:color w:val="auto"/>
        </w:rPr>
        <w:t>There are risks involved with both establishing our own sales and marketing and patient support capabilities and entering into arrangements with third parties to perform these services. For example, recruiting and training a sales force is expensive and time consuming and could delay any drug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76" w:lineRule="exact"/>
        <w:rPr>
          <w:sz w:val="20"/>
          <w:szCs w:val="20"/>
          <w:color w:val="auto"/>
        </w:rPr>
      </w:pPr>
    </w:p>
    <w:p>
      <w:pPr>
        <w:spacing w:after="0"/>
        <w:rPr>
          <w:sz w:val="20"/>
          <w:szCs w:val="20"/>
          <w:color w:val="auto"/>
        </w:rPr>
      </w:pPr>
      <w:r>
        <w:rPr>
          <w:rFonts w:ascii="Arial" w:cs="Arial" w:eastAsia="Arial" w:hAnsi="Arial"/>
          <w:sz w:val="19"/>
          <w:szCs w:val="19"/>
          <w:color w:val="auto"/>
        </w:rPr>
        <w:t>Factors that may inhibit our efforts to commercialize our current or future product candidates on our own include:</w:t>
      </w:r>
    </w:p>
    <w:p>
      <w:pPr>
        <w:spacing w:after="0" w:line="133" w:lineRule="exact"/>
        <w:rPr>
          <w:sz w:val="20"/>
          <w:szCs w:val="20"/>
          <w:color w:val="auto"/>
        </w:rPr>
      </w:pPr>
    </w:p>
    <w:p>
      <w:pPr>
        <w:ind w:left="720" w:hanging="360"/>
        <w:spacing w:after="0"/>
        <w:tabs>
          <w:tab w:leader="none" w:pos="720" w:val="left"/>
        </w:tabs>
        <w:numPr>
          <w:ilvl w:val="0"/>
          <w:numId w:val="51"/>
        </w:numPr>
        <w:rPr>
          <w:rFonts w:ascii="Arial" w:cs="Arial" w:eastAsia="Arial" w:hAnsi="Arial"/>
          <w:sz w:val="19"/>
          <w:szCs w:val="19"/>
          <w:color w:val="auto"/>
        </w:rPr>
      </w:pPr>
      <w:r>
        <w:rPr>
          <w:rFonts w:ascii="Arial" w:cs="Arial" w:eastAsia="Arial" w:hAnsi="Arial"/>
          <w:sz w:val="19"/>
          <w:szCs w:val="19"/>
          <w:color w:val="auto"/>
        </w:rPr>
        <w:t>our inability to recruit and retain adequate numbers of effective sales and marketing personnel;</w:t>
      </w:r>
    </w:p>
    <w:p>
      <w:pPr>
        <w:spacing w:after="0" w:line="132" w:lineRule="exact"/>
        <w:rPr>
          <w:rFonts w:ascii="Arial" w:cs="Arial" w:eastAsia="Arial" w:hAnsi="Arial"/>
          <w:sz w:val="19"/>
          <w:szCs w:val="19"/>
          <w:color w:val="auto"/>
        </w:rPr>
      </w:pPr>
    </w:p>
    <w:p>
      <w:pPr>
        <w:ind w:left="720" w:right="140" w:hanging="360"/>
        <w:spacing w:after="0" w:line="281" w:lineRule="auto"/>
        <w:tabs>
          <w:tab w:leader="none" w:pos="720" w:val="left"/>
        </w:tabs>
        <w:numPr>
          <w:ilvl w:val="0"/>
          <w:numId w:val="51"/>
        </w:numPr>
        <w:rPr>
          <w:rFonts w:ascii="Arial" w:cs="Arial" w:eastAsia="Arial" w:hAnsi="Arial"/>
          <w:sz w:val="19"/>
          <w:szCs w:val="19"/>
          <w:color w:val="auto"/>
        </w:rPr>
      </w:pPr>
      <w:r>
        <w:rPr>
          <w:rFonts w:ascii="Arial" w:cs="Arial" w:eastAsia="Arial" w:hAnsi="Arial"/>
          <w:sz w:val="19"/>
          <w:szCs w:val="19"/>
          <w:color w:val="auto"/>
        </w:rPr>
        <w:t>the inability of sales personnel to obtain access to physicians or persuade adequate numbers of physicians to use any future products;</w:t>
      </w:r>
    </w:p>
    <w:p>
      <w:pPr>
        <w:spacing w:after="0" w:line="58" w:lineRule="exact"/>
        <w:rPr>
          <w:rFonts w:ascii="Arial" w:cs="Arial" w:eastAsia="Arial" w:hAnsi="Arial"/>
          <w:sz w:val="19"/>
          <w:szCs w:val="19"/>
          <w:color w:val="auto"/>
        </w:rPr>
      </w:pPr>
    </w:p>
    <w:p>
      <w:pPr>
        <w:ind w:left="720" w:right="600" w:hanging="360"/>
        <w:spacing w:after="0" w:line="281" w:lineRule="auto"/>
        <w:tabs>
          <w:tab w:leader="none" w:pos="720" w:val="left"/>
        </w:tabs>
        <w:numPr>
          <w:ilvl w:val="0"/>
          <w:numId w:val="51"/>
        </w:numPr>
        <w:rPr>
          <w:rFonts w:ascii="Arial" w:cs="Arial" w:eastAsia="Arial" w:hAnsi="Arial"/>
          <w:sz w:val="19"/>
          <w:szCs w:val="19"/>
          <w:color w:val="auto"/>
        </w:rPr>
      </w:pPr>
      <w:r>
        <w:rPr>
          <w:rFonts w:ascii="Arial" w:cs="Arial" w:eastAsia="Arial" w:hAnsi="Arial"/>
          <w:sz w:val="19"/>
          <w:szCs w:val="19"/>
          <w:color w:val="auto"/>
        </w:rPr>
        <w:t>the lack of complementary products to be offered by sales personnel, which may put us at a competitive disadvantage relative to companies with more extensive product lines; and</w:t>
      </w:r>
    </w:p>
    <w:p>
      <w:pPr>
        <w:spacing w:after="0" w:line="58" w:lineRule="exact"/>
        <w:rPr>
          <w:rFonts w:ascii="Arial" w:cs="Arial" w:eastAsia="Arial" w:hAnsi="Arial"/>
          <w:sz w:val="19"/>
          <w:szCs w:val="19"/>
          <w:color w:val="auto"/>
        </w:rPr>
      </w:pPr>
    </w:p>
    <w:p>
      <w:pPr>
        <w:ind w:left="720" w:hanging="360"/>
        <w:spacing w:after="0"/>
        <w:tabs>
          <w:tab w:leader="none" w:pos="720" w:val="left"/>
        </w:tabs>
        <w:numPr>
          <w:ilvl w:val="0"/>
          <w:numId w:val="51"/>
        </w:numPr>
        <w:rPr>
          <w:rFonts w:ascii="Arial" w:cs="Arial" w:eastAsia="Arial" w:hAnsi="Arial"/>
          <w:sz w:val="19"/>
          <w:szCs w:val="19"/>
          <w:color w:val="auto"/>
        </w:rPr>
      </w:pPr>
      <w:r>
        <w:rPr>
          <w:rFonts w:ascii="Arial" w:cs="Arial" w:eastAsia="Arial" w:hAnsi="Arial"/>
          <w:sz w:val="19"/>
          <w:szCs w:val="19"/>
          <w:color w:val="auto"/>
        </w:rPr>
        <w:t>unforeseen costs and expenses associated with creating an independent sales and marketing organization.</w:t>
      </w:r>
    </w:p>
    <w:p>
      <w:pPr>
        <w:spacing w:after="0" w:line="120" w:lineRule="exact"/>
        <w:rPr>
          <w:sz w:val="20"/>
          <w:szCs w:val="20"/>
          <w:color w:val="auto"/>
        </w:rPr>
      </w:pPr>
    </w:p>
    <w:p>
      <w:pPr>
        <w:ind w:right="200"/>
        <w:spacing w:after="0" w:line="245" w:lineRule="auto"/>
        <w:rPr>
          <w:sz w:val="20"/>
          <w:szCs w:val="20"/>
          <w:color w:val="auto"/>
        </w:rPr>
      </w:pPr>
      <w:r>
        <w:rPr>
          <w:rFonts w:ascii="Arial" w:cs="Arial" w:eastAsia="Arial" w:hAnsi="Arial"/>
          <w:sz w:val="19"/>
          <w:szCs w:val="19"/>
          <w:color w:val="auto"/>
        </w:rPr>
        <w:t>If we enter into arrangements with third parties to perform sales, marketing, patient support and distribution services, our drug revenues or the profitability of these drug revenues to us are likely to be lower than if we were to market and sell any current or future product candidates that we develop ourselves. In addition, we may not be successful in entering into arrangements with third parties to sell and market our current or future product candidates or may be unable to do so on terms that are favorable to us. We likely will have little control over such third parties, and any of them may fail to devote the necessary resources and attention to sell and market our current or future product candidates effectively. If we do not establish sales and marketing capabilities successfully, either on our own or in collaboration with third parties, we will not be successful in commercializing our current or future product candidates. Further, our business, results of operations, financial condition and prospects will be materially adversely affected.</w:t>
      </w:r>
    </w:p>
    <w:p>
      <w:pPr>
        <w:spacing w:after="0" w:line="83" w:lineRule="exact"/>
        <w:rPr>
          <w:sz w:val="20"/>
          <w:szCs w:val="20"/>
          <w:color w:val="auto"/>
        </w:rPr>
      </w:pPr>
    </w:p>
    <w:p>
      <w:pPr>
        <w:ind w:right="160"/>
        <w:spacing w:after="0" w:line="263" w:lineRule="auto"/>
        <w:rPr>
          <w:sz w:val="20"/>
          <w:szCs w:val="20"/>
          <w:color w:val="auto"/>
        </w:rPr>
      </w:pPr>
      <w:r>
        <w:rPr>
          <w:rFonts w:ascii="Arial" w:cs="Arial" w:eastAsia="Arial" w:hAnsi="Arial"/>
          <w:sz w:val="19"/>
          <w:szCs w:val="19"/>
          <w:b w:val="1"/>
          <w:bCs w:val="1"/>
          <w:i w:val="1"/>
          <w:iCs w:val="1"/>
          <w:color w:val="auto"/>
        </w:rPr>
        <w:t>If any product candidate for which we receive regulatory approval does not achieve broad market acceptance among physicians, patients, healthcare payors, and the medical community, the revenues that we generate from its sales will be limited.</w:t>
      </w:r>
    </w:p>
    <w:p>
      <w:pPr>
        <w:spacing w:after="0" w:line="53" w:lineRule="exact"/>
        <w:rPr>
          <w:sz w:val="20"/>
          <w:szCs w:val="20"/>
          <w:color w:val="auto"/>
        </w:rPr>
      </w:pPr>
    </w:p>
    <w:p>
      <w:pPr>
        <w:ind w:right="140"/>
        <w:spacing w:after="0" w:line="250" w:lineRule="auto"/>
        <w:rPr>
          <w:sz w:val="20"/>
          <w:szCs w:val="20"/>
          <w:color w:val="auto"/>
        </w:rPr>
      </w:pPr>
      <w:r>
        <w:rPr>
          <w:rFonts w:ascii="Arial" w:cs="Arial" w:eastAsia="Arial" w:hAnsi="Arial"/>
          <w:sz w:val="19"/>
          <w:szCs w:val="19"/>
          <w:color w:val="auto"/>
        </w:rPr>
        <w:t>Even if our product candidates receive regulatory approval, they may not gain market acceptance among physicians, patients, healthcare payors, and others in the medical community. Commercial success also will depend, in large part, on the coverage and reimbursement of our product candidates by third-party payors, including private insurance providers and government payors. The degree of market acceptance of any approved product would depend on a number of factors, including:</w:t>
      </w:r>
    </w:p>
    <w:p>
      <w:pPr>
        <w:spacing w:after="0" w:line="87" w:lineRule="exact"/>
        <w:rPr>
          <w:sz w:val="20"/>
          <w:szCs w:val="20"/>
          <w:color w:val="auto"/>
        </w:rPr>
      </w:pPr>
    </w:p>
    <w:p>
      <w:pPr>
        <w:ind w:left="4940" w:right="3680" w:hanging="4580"/>
        <w:spacing w:after="0" w:line="588" w:lineRule="auto"/>
        <w:tabs>
          <w:tab w:leader="none" w:pos="726"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 efficacy, safety and tolerability as demonstrated in clinical trials; 62</w:t>
      </w:r>
    </w:p>
    <w:p>
      <w:pPr>
        <w:sectPr>
          <w:pgSz w:w="12240" w:h="15840" w:orient="portrait"/>
          <w:cols w:equalWidth="0" w:num="1">
            <w:col w:w="10040"/>
          </w:cols>
          <w:pgMar w:left="1080" w:top="1062" w:right="1120" w:bottom="0" w:gutter="0" w:footer="0" w:header="0"/>
        </w:sectPr>
      </w:pPr>
    </w:p>
    <w:bookmarkStart w:id="66" w:name="page67"/>
    <w:bookmarkEnd w:id="66"/>
    <w:p>
      <w:pPr>
        <w:ind w:left="720" w:hanging="360"/>
        <w:spacing w:after="0"/>
        <w:tabs>
          <w:tab w:leader="none" w:pos="720" w:val="left"/>
        </w:tabs>
        <w:numPr>
          <w:ilvl w:val="0"/>
          <w:numId w:val="53"/>
        </w:numPr>
        <w:rPr>
          <w:rFonts w:ascii="Arial" w:cs="Arial" w:eastAsia="Arial" w:hAnsi="Arial"/>
          <w:sz w:val="19"/>
          <w:szCs w:val="19"/>
          <w:color w:val="auto"/>
        </w:rPr>
      </w:pPr>
      <w:r>
        <w:rPr>
          <w:rFonts w:ascii="Arial" w:cs="Arial" w:eastAsia="Arial" w:hAnsi="Arial"/>
          <w:sz w:val="19"/>
          <w:szCs w:val="19"/>
          <w:color w:val="auto"/>
        </w:rPr>
        <w:t>the timing of market introduction of such product candidate as well as competitive products;</w:t>
      </w:r>
    </w:p>
    <w:p>
      <w:pPr>
        <w:spacing w:after="0" w:line="132" w:lineRule="exact"/>
        <w:rPr>
          <w:rFonts w:ascii="Arial" w:cs="Arial" w:eastAsia="Arial" w:hAnsi="Arial"/>
          <w:sz w:val="19"/>
          <w:szCs w:val="19"/>
          <w:color w:val="auto"/>
        </w:rPr>
      </w:pPr>
    </w:p>
    <w:p>
      <w:pPr>
        <w:ind w:left="720" w:hanging="360"/>
        <w:spacing w:after="0"/>
        <w:tabs>
          <w:tab w:leader="none" w:pos="720" w:val="left"/>
        </w:tabs>
        <w:numPr>
          <w:ilvl w:val="0"/>
          <w:numId w:val="53"/>
        </w:numPr>
        <w:rPr>
          <w:rFonts w:ascii="Arial" w:cs="Arial" w:eastAsia="Arial" w:hAnsi="Arial"/>
          <w:sz w:val="19"/>
          <w:szCs w:val="19"/>
          <w:color w:val="auto"/>
        </w:rPr>
      </w:pPr>
      <w:r>
        <w:rPr>
          <w:rFonts w:ascii="Arial" w:cs="Arial" w:eastAsia="Arial" w:hAnsi="Arial"/>
          <w:sz w:val="19"/>
          <w:szCs w:val="19"/>
          <w:color w:val="auto"/>
        </w:rPr>
        <w:t>the clinical indications for which the product is approved;</w:t>
      </w:r>
    </w:p>
    <w:p>
      <w:pPr>
        <w:spacing w:after="0" w:line="132" w:lineRule="exact"/>
        <w:rPr>
          <w:rFonts w:ascii="Arial" w:cs="Arial" w:eastAsia="Arial" w:hAnsi="Arial"/>
          <w:sz w:val="19"/>
          <w:szCs w:val="19"/>
          <w:color w:val="auto"/>
        </w:rPr>
      </w:pPr>
    </w:p>
    <w:p>
      <w:pPr>
        <w:ind w:left="720" w:right="60" w:hanging="360"/>
        <w:spacing w:after="0" w:line="281" w:lineRule="auto"/>
        <w:tabs>
          <w:tab w:leader="none" w:pos="720" w:val="left"/>
        </w:tabs>
        <w:numPr>
          <w:ilvl w:val="0"/>
          <w:numId w:val="53"/>
        </w:numPr>
        <w:rPr>
          <w:rFonts w:ascii="Arial" w:cs="Arial" w:eastAsia="Arial" w:hAnsi="Arial"/>
          <w:sz w:val="19"/>
          <w:szCs w:val="19"/>
          <w:color w:val="auto"/>
        </w:rPr>
      </w:pPr>
      <w:r>
        <w:rPr>
          <w:rFonts w:ascii="Arial" w:cs="Arial" w:eastAsia="Arial" w:hAnsi="Arial"/>
          <w:sz w:val="19"/>
          <w:szCs w:val="19"/>
          <w:color w:val="auto"/>
        </w:rPr>
        <w:t>acceptance by physicians, major operators of cancer or neurology clinics and patients of the product as a safe, tolerable and effective treatment;</w:t>
      </w:r>
    </w:p>
    <w:p>
      <w:pPr>
        <w:spacing w:after="0" w:line="58" w:lineRule="exact"/>
        <w:rPr>
          <w:rFonts w:ascii="Arial" w:cs="Arial" w:eastAsia="Arial" w:hAnsi="Arial"/>
          <w:sz w:val="19"/>
          <w:szCs w:val="19"/>
          <w:color w:val="auto"/>
        </w:rPr>
      </w:pPr>
    </w:p>
    <w:p>
      <w:pPr>
        <w:ind w:left="720" w:hanging="360"/>
        <w:spacing w:after="0"/>
        <w:tabs>
          <w:tab w:leader="none" w:pos="720" w:val="left"/>
        </w:tabs>
        <w:numPr>
          <w:ilvl w:val="0"/>
          <w:numId w:val="53"/>
        </w:numPr>
        <w:rPr>
          <w:rFonts w:ascii="Arial" w:cs="Arial" w:eastAsia="Arial" w:hAnsi="Arial"/>
          <w:sz w:val="19"/>
          <w:szCs w:val="19"/>
          <w:color w:val="auto"/>
        </w:rPr>
      </w:pPr>
      <w:r>
        <w:rPr>
          <w:rFonts w:ascii="Arial" w:cs="Arial" w:eastAsia="Arial" w:hAnsi="Arial"/>
          <w:sz w:val="19"/>
          <w:szCs w:val="19"/>
          <w:color w:val="auto"/>
        </w:rPr>
        <w:t>the potential and perceived advantages of the product candidate over alternative treatments;</w:t>
      </w:r>
    </w:p>
    <w:p>
      <w:pPr>
        <w:spacing w:after="0" w:line="132" w:lineRule="exact"/>
        <w:rPr>
          <w:rFonts w:ascii="Arial" w:cs="Arial" w:eastAsia="Arial" w:hAnsi="Arial"/>
          <w:sz w:val="19"/>
          <w:szCs w:val="19"/>
          <w:color w:val="auto"/>
        </w:rPr>
      </w:pPr>
    </w:p>
    <w:p>
      <w:pPr>
        <w:ind w:left="720" w:hanging="360"/>
        <w:spacing w:after="0"/>
        <w:tabs>
          <w:tab w:leader="none" w:pos="720" w:val="left"/>
        </w:tabs>
        <w:numPr>
          <w:ilvl w:val="0"/>
          <w:numId w:val="53"/>
        </w:numPr>
        <w:rPr>
          <w:rFonts w:ascii="Arial" w:cs="Arial" w:eastAsia="Arial" w:hAnsi="Arial"/>
          <w:sz w:val="19"/>
          <w:szCs w:val="19"/>
          <w:color w:val="auto"/>
        </w:rPr>
      </w:pPr>
      <w:r>
        <w:rPr>
          <w:rFonts w:ascii="Arial" w:cs="Arial" w:eastAsia="Arial" w:hAnsi="Arial"/>
          <w:sz w:val="19"/>
          <w:szCs w:val="19"/>
          <w:color w:val="auto"/>
        </w:rPr>
        <w:t>the safety and tolerability of the product candidate in a broader patient group;</w:t>
      </w:r>
    </w:p>
    <w:p>
      <w:pPr>
        <w:spacing w:after="0" w:line="132" w:lineRule="exact"/>
        <w:rPr>
          <w:rFonts w:ascii="Arial" w:cs="Arial" w:eastAsia="Arial" w:hAnsi="Arial"/>
          <w:sz w:val="19"/>
          <w:szCs w:val="19"/>
          <w:color w:val="auto"/>
        </w:rPr>
      </w:pPr>
    </w:p>
    <w:p>
      <w:pPr>
        <w:ind w:left="720" w:hanging="360"/>
        <w:spacing w:after="0"/>
        <w:tabs>
          <w:tab w:leader="none" w:pos="720" w:val="left"/>
        </w:tabs>
        <w:numPr>
          <w:ilvl w:val="0"/>
          <w:numId w:val="53"/>
        </w:numPr>
        <w:rPr>
          <w:rFonts w:ascii="Arial" w:cs="Arial" w:eastAsia="Arial" w:hAnsi="Arial"/>
          <w:sz w:val="19"/>
          <w:szCs w:val="19"/>
          <w:color w:val="auto"/>
        </w:rPr>
      </w:pPr>
      <w:r>
        <w:rPr>
          <w:rFonts w:ascii="Arial" w:cs="Arial" w:eastAsia="Arial" w:hAnsi="Arial"/>
          <w:sz w:val="19"/>
          <w:szCs w:val="19"/>
          <w:color w:val="auto"/>
        </w:rPr>
        <w:t>the cost of treatment in relation to alternative treatments;</w:t>
      </w:r>
    </w:p>
    <w:p>
      <w:pPr>
        <w:spacing w:after="0" w:line="132" w:lineRule="exact"/>
        <w:rPr>
          <w:rFonts w:ascii="Arial" w:cs="Arial" w:eastAsia="Arial" w:hAnsi="Arial"/>
          <w:sz w:val="19"/>
          <w:szCs w:val="19"/>
          <w:color w:val="auto"/>
        </w:rPr>
      </w:pPr>
    </w:p>
    <w:p>
      <w:pPr>
        <w:ind w:left="720" w:hanging="360"/>
        <w:spacing w:after="0"/>
        <w:tabs>
          <w:tab w:leader="none" w:pos="720" w:val="left"/>
        </w:tabs>
        <w:numPr>
          <w:ilvl w:val="0"/>
          <w:numId w:val="53"/>
        </w:numPr>
        <w:rPr>
          <w:rFonts w:ascii="Arial" w:cs="Arial" w:eastAsia="Arial" w:hAnsi="Arial"/>
          <w:sz w:val="19"/>
          <w:szCs w:val="19"/>
          <w:color w:val="auto"/>
        </w:rPr>
      </w:pPr>
      <w:r>
        <w:rPr>
          <w:rFonts w:ascii="Arial" w:cs="Arial" w:eastAsia="Arial" w:hAnsi="Arial"/>
          <w:sz w:val="19"/>
          <w:szCs w:val="19"/>
          <w:color w:val="auto"/>
        </w:rPr>
        <w:t>the availability of adequate reimbursement by third party payors and government authorities;</w:t>
      </w:r>
    </w:p>
    <w:p>
      <w:pPr>
        <w:spacing w:after="0" w:line="132" w:lineRule="exact"/>
        <w:rPr>
          <w:rFonts w:ascii="Arial" w:cs="Arial" w:eastAsia="Arial" w:hAnsi="Arial"/>
          <w:sz w:val="19"/>
          <w:szCs w:val="19"/>
          <w:color w:val="auto"/>
        </w:rPr>
      </w:pPr>
    </w:p>
    <w:p>
      <w:pPr>
        <w:ind w:left="720" w:hanging="360"/>
        <w:spacing w:after="0"/>
        <w:tabs>
          <w:tab w:leader="none" w:pos="720" w:val="left"/>
        </w:tabs>
        <w:numPr>
          <w:ilvl w:val="0"/>
          <w:numId w:val="53"/>
        </w:numPr>
        <w:rPr>
          <w:rFonts w:ascii="Arial" w:cs="Arial" w:eastAsia="Arial" w:hAnsi="Arial"/>
          <w:sz w:val="19"/>
          <w:szCs w:val="19"/>
          <w:color w:val="auto"/>
        </w:rPr>
      </w:pPr>
      <w:r>
        <w:rPr>
          <w:rFonts w:ascii="Arial" w:cs="Arial" w:eastAsia="Arial" w:hAnsi="Arial"/>
          <w:sz w:val="19"/>
          <w:szCs w:val="19"/>
          <w:color w:val="auto"/>
        </w:rPr>
        <w:t>changes in regulatory requirements by government authorities for the product candidate;</w:t>
      </w:r>
    </w:p>
    <w:p>
      <w:pPr>
        <w:spacing w:after="0" w:line="132" w:lineRule="exact"/>
        <w:rPr>
          <w:rFonts w:ascii="Arial" w:cs="Arial" w:eastAsia="Arial" w:hAnsi="Arial"/>
          <w:sz w:val="19"/>
          <w:szCs w:val="19"/>
          <w:color w:val="auto"/>
        </w:rPr>
      </w:pPr>
    </w:p>
    <w:p>
      <w:pPr>
        <w:ind w:left="720" w:hanging="360"/>
        <w:spacing w:after="0"/>
        <w:tabs>
          <w:tab w:leader="none" w:pos="720" w:val="left"/>
        </w:tabs>
        <w:numPr>
          <w:ilvl w:val="0"/>
          <w:numId w:val="53"/>
        </w:numPr>
        <w:rPr>
          <w:rFonts w:ascii="Arial" w:cs="Arial" w:eastAsia="Arial" w:hAnsi="Arial"/>
          <w:sz w:val="19"/>
          <w:szCs w:val="19"/>
          <w:color w:val="auto"/>
        </w:rPr>
      </w:pPr>
      <w:r>
        <w:rPr>
          <w:rFonts w:ascii="Arial" w:cs="Arial" w:eastAsia="Arial" w:hAnsi="Arial"/>
          <w:sz w:val="19"/>
          <w:szCs w:val="19"/>
          <w:color w:val="auto"/>
        </w:rPr>
        <w:t>relative convenience and ease of administration;</w:t>
      </w:r>
    </w:p>
    <w:p>
      <w:pPr>
        <w:spacing w:after="0" w:line="132" w:lineRule="exact"/>
        <w:rPr>
          <w:rFonts w:ascii="Arial" w:cs="Arial" w:eastAsia="Arial" w:hAnsi="Arial"/>
          <w:sz w:val="19"/>
          <w:szCs w:val="19"/>
          <w:color w:val="auto"/>
        </w:rPr>
      </w:pPr>
    </w:p>
    <w:p>
      <w:pPr>
        <w:ind w:left="720" w:hanging="360"/>
        <w:spacing w:after="0"/>
        <w:tabs>
          <w:tab w:leader="none" w:pos="720" w:val="left"/>
        </w:tabs>
        <w:numPr>
          <w:ilvl w:val="0"/>
          <w:numId w:val="53"/>
        </w:numPr>
        <w:rPr>
          <w:rFonts w:ascii="Arial" w:cs="Arial" w:eastAsia="Arial" w:hAnsi="Arial"/>
          <w:sz w:val="19"/>
          <w:szCs w:val="19"/>
          <w:color w:val="auto"/>
        </w:rPr>
      </w:pPr>
      <w:r>
        <w:rPr>
          <w:rFonts w:ascii="Arial" w:cs="Arial" w:eastAsia="Arial" w:hAnsi="Arial"/>
          <w:sz w:val="19"/>
          <w:szCs w:val="19"/>
          <w:color w:val="auto"/>
        </w:rPr>
        <w:t>the prevalence and severity of side effects and adverse events;</w:t>
      </w:r>
    </w:p>
    <w:p>
      <w:pPr>
        <w:spacing w:after="0" w:line="132" w:lineRule="exact"/>
        <w:rPr>
          <w:rFonts w:ascii="Arial" w:cs="Arial" w:eastAsia="Arial" w:hAnsi="Arial"/>
          <w:sz w:val="19"/>
          <w:szCs w:val="19"/>
          <w:color w:val="auto"/>
        </w:rPr>
      </w:pPr>
    </w:p>
    <w:p>
      <w:pPr>
        <w:ind w:left="720" w:hanging="360"/>
        <w:spacing w:after="0"/>
        <w:tabs>
          <w:tab w:leader="none" w:pos="720" w:val="left"/>
        </w:tabs>
        <w:numPr>
          <w:ilvl w:val="0"/>
          <w:numId w:val="53"/>
        </w:numPr>
        <w:rPr>
          <w:rFonts w:ascii="Arial" w:cs="Arial" w:eastAsia="Arial" w:hAnsi="Arial"/>
          <w:sz w:val="19"/>
          <w:szCs w:val="19"/>
          <w:color w:val="auto"/>
        </w:rPr>
      </w:pPr>
      <w:r>
        <w:rPr>
          <w:rFonts w:ascii="Arial" w:cs="Arial" w:eastAsia="Arial" w:hAnsi="Arial"/>
          <w:sz w:val="19"/>
          <w:szCs w:val="19"/>
          <w:color w:val="auto"/>
        </w:rPr>
        <w:t>the effectiveness of our sales and marketing efforts; and</w:t>
      </w:r>
    </w:p>
    <w:p>
      <w:pPr>
        <w:spacing w:after="0" w:line="132" w:lineRule="exact"/>
        <w:rPr>
          <w:rFonts w:ascii="Arial" w:cs="Arial" w:eastAsia="Arial" w:hAnsi="Arial"/>
          <w:sz w:val="19"/>
          <w:szCs w:val="19"/>
          <w:color w:val="auto"/>
        </w:rPr>
      </w:pPr>
    </w:p>
    <w:p>
      <w:pPr>
        <w:ind w:left="720" w:hanging="360"/>
        <w:spacing w:after="0"/>
        <w:tabs>
          <w:tab w:leader="none" w:pos="720" w:val="left"/>
        </w:tabs>
        <w:numPr>
          <w:ilvl w:val="0"/>
          <w:numId w:val="53"/>
        </w:numPr>
        <w:rPr>
          <w:rFonts w:ascii="Arial" w:cs="Arial" w:eastAsia="Arial" w:hAnsi="Arial"/>
          <w:sz w:val="19"/>
          <w:szCs w:val="19"/>
          <w:color w:val="auto"/>
        </w:rPr>
      </w:pPr>
      <w:r>
        <w:rPr>
          <w:rFonts w:ascii="Arial" w:cs="Arial" w:eastAsia="Arial" w:hAnsi="Arial"/>
          <w:sz w:val="19"/>
          <w:szCs w:val="19"/>
          <w:color w:val="auto"/>
        </w:rPr>
        <w:t>favorable or unfavorable publicity relating to the product or relating to the Company.</w:t>
      </w:r>
    </w:p>
    <w:p>
      <w:pPr>
        <w:spacing w:after="0" w:line="120" w:lineRule="exact"/>
        <w:rPr>
          <w:sz w:val="20"/>
          <w:szCs w:val="20"/>
          <w:color w:val="auto"/>
        </w:rPr>
      </w:pPr>
    </w:p>
    <w:p>
      <w:pPr>
        <w:ind w:right="200"/>
        <w:spacing w:after="0" w:line="260" w:lineRule="auto"/>
        <w:rPr>
          <w:sz w:val="20"/>
          <w:szCs w:val="20"/>
          <w:color w:val="auto"/>
        </w:rPr>
      </w:pPr>
      <w:r>
        <w:rPr>
          <w:rFonts w:ascii="Arial" w:cs="Arial" w:eastAsia="Arial" w:hAnsi="Arial"/>
          <w:sz w:val="19"/>
          <w:szCs w:val="19"/>
          <w:color w:val="auto"/>
        </w:rPr>
        <w:t>If any product candidate is approved but does not achieve an adequate level of acceptance by physicians, hospitals, healthcare payors and patients, we may not generate sufficient revenue from these products and we may not become profitable, which would have a material adverse effect on our business.</w:t>
      </w:r>
    </w:p>
    <w:p>
      <w:pPr>
        <w:spacing w:after="0" w:line="6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If we fail to develop additional product candidates, our commercial opportunity could be limited.</w:t>
      </w:r>
    </w:p>
    <w:p>
      <w:pPr>
        <w:spacing w:after="0" w:line="116" w:lineRule="exact"/>
        <w:rPr>
          <w:sz w:val="20"/>
          <w:szCs w:val="20"/>
          <w:color w:val="auto"/>
        </w:rPr>
      </w:pPr>
    </w:p>
    <w:p>
      <w:pPr>
        <w:ind w:right="180"/>
        <w:spacing w:after="0" w:line="250" w:lineRule="auto"/>
        <w:rPr>
          <w:sz w:val="20"/>
          <w:szCs w:val="20"/>
          <w:color w:val="auto"/>
        </w:rPr>
      </w:pPr>
      <w:r>
        <w:rPr>
          <w:rFonts w:ascii="Arial" w:cs="Arial" w:eastAsia="Arial" w:hAnsi="Arial"/>
          <w:sz w:val="19"/>
          <w:szCs w:val="19"/>
          <w:color w:val="auto"/>
        </w:rPr>
        <w:t>We expect initially to develop our most advanced product candidates, CAN-2409 and CAN-3110. A key part of our strategy, however, is to pursue clinical development of additional product candidates. Developing, obtaining marketing approval for, and commercializing additional product candidates will require substantial additional funding and will be subject to the risks of failure inherent in medical product development. We cannot assure you that we will be able to successfully advance any of these additional product candidates through the development process.</w:t>
      </w:r>
    </w:p>
    <w:p>
      <w:pPr>
        <w:spacing w:after="0" w:line="74" w:lineRule="exact"/>
        <w:rPr>
          <w:sz w:val="20"/>
          <w:szCs w:val="20"/>
          <w:color w:val="auto"/>
        </w:rPr>
      </w:pPr>
    </w:p>
    <w:p>
      <w:pPr>
        <w:ind w:right="140"/>
        <w:spacing w:after="0" w:line="248" w:lineRule="auto"/>
        <w:rPr>
          <w:sz w:val="20"/>
          <w:szCs w:val="20"/>
          <w:color w:val="auto"/>
        </w:rPr>
      </w:pPr>
      <w:r>
        <w:rPr>
          <w:rFonts w:ascii="Arial" w:cs="Arial" w:eastAsia="Arial" w:hAnsi="Arial"/>
          <w:sz w:val="19"/>
          <w:szCs w:val="19"/>
          <w:color w:val="auto"/>
        </w:rPr>
        <w:t>Even if we obtain approval from the FDA or comparable foreign regulatory authorities to market additional product candidates for the treatment of solid tumors, we cannot assure you that any such product candidates will be successfully commercialized, widely accepted in the marketplace, or more effective than other commercially available alternatives. If we are unable to successfully develop and commercialize additional product candidates our commercial opportunity may be limited and our business, financial condition, results of operations, stock price and prospects may be materially harmed.</w:t>
      </w:r>
    </w:p>
    <w:p>
      <w:pPr>
        <w:spacing w:after="0" w:line="80" w:lineRule="exact"/>
        <w:rPr>
          <w:sz w:val="20"/>
          <w:szCs w:val="20"/>
          <w:color w:val="auto"/>
        </w:rPr>
      </w:pPr>
    </w:p>
    <w:p>
      <w:pPr>
        <w:ind w:right="140"/>
        <w:spacing w:after="0" w:line="255" w:lineRule="auto"/>
        <w:rPr>
          <w:sz w:val="20"/>
          <w:szCs w:val="20"/>
          <w:color w:val="auto"/>
        </w:rPr>
      </w:pPr>
      <w:r>
        <w:rPr>
          <w:rFonts w:ascii="Arial" w:cs="Arial" w:eastAsia="Arial" w:hAnsi="Arial"/>
          <w:sz w:val="19"/>
          <w:szCs w:val="19"/>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61" w:lineRule="exact"/>
        <w:rPr>
          <w:sz w:val="20"/>
          <w:szCs w:val="20"/>
          <w:color w:val="auto"/>
        </w:rPr>
      </w:pPr>
    </w:p>
    <w:p>
      <w:pPr>
        <w:ind w:right="240"/>
        <w:spacing w:after="0" w:line="245" w:lineRule="auto"/>
        <w:rPr>
          <w:sz w:val="20"/>
          <w:szCs w:val="20"/>
          <w:color w:val="auto"/>
        </w:rPr>
      </w:pPr>
      <w:r>
        <w:rPr>
          <w:rFonts w:ascii="Arial" w:cs="Arial" w:eastAsia="Arial" w:hAnsi="Arial"/>
          <w:sz w:val="19"/>
          <w:szCs w:val="19"/>
          <w:color w:val="auto"/>
        </w:rPr>
        <w:t>Although we do not currently have any drugs on the market, if we begin commercializing our current or future product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current or future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current or future product candidates for which we obtain marketing approval.</w:t>
      </w:r>
    </w:p>
    <w:p>
      <w:pPr>
        <w:spacing w:after="0" w:line="84" w:lineRule="exact"/>
        <w:rPr>
          <w:sz w:val="20"/>
          <w:szCs w:val="20"/>
          <w:color w:val="auto"/>
        </w:rPr>
      </w:pPr>
    </w:p>
    <w:p>
      <w:pPr>
        <w:spacing w:after="0" w:line="244" w:lineRule="auto"/>
        <w:rPr>
          <w:sz w:val="20"/>
          <w:szCs w:val="20"/>
          <w:color w:val="auto"/>
        </w:rPr>
      </w:pPr>
      <w:r>
        <w:rPr>
          <w:rFonts w:ascii="Arial" w:cs="Arial" w:eastAsia="Arial" w:hAnsi="Arial"/>
          <w:sz w:val="19"/>
          <w:szCs w:val="19"/>
          <w:color w:val="auto"/>
        </w:rPr>
        <w:t>Because of the breadth of these laws and the narrowness of the statutory exceptions and safe harbors available, it is possible that some of our business activities could be subject to challenge and may not comply under one or more of such laws, regulations and guidance. Law enforcement authorities are increasingly focused on enforcing fraud and abuse laws, and it is possible that some of our practices may be challenged under these laws. 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as well as additional</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63</w:t>
      </w:r>
    </w:p>
    <w:p>
      <w:pPr>
        <w:sectPr>
          <w:pgSz w:w="12240" w:h="15840" w:orient="portrait"/>
          <w:cols w:equalWidth="0" w:num="1">
            <w:col w:w="10080"/>
          </w:cols>
          <w:pgMar w:left="1080" w:top="1075" w:right="1080" w:bottom="173" w:gutter="0" w:footer="0" w:header="0"/>
        </w:sectPr>
      </w:pPr>
    </w:p>
    <w:bookmarkStart w:id="67" w:name="page68"/>
    <w:bookmarkEnd w:id="67"/>
    <w:p>
      <w:pPr>
        <w:ind w:right="380"/>
        <w:spacing w:after="0" w:line="260" w:lineRule="auto"/>
        <w:rPr>
          <w:sz w:val="20"/>
          <w:szCs w:val="20"/>
          <w:color w:val="auto"/>
        </w:rPr>
      </w:pPr>
      <w:r>
        <w:rPr>
          <w:rFonts w:ascii="Arial" w:cs="Arial" w:eastAsia="Arial" w:hAnsi="Arial"/>
          <w:sz w:val="19"/>
          <w:szCs w:val="19"/>
          <w:color w:val="auto"/>
        </w:rPr>
        <w:t>reporting obligations and oversight if we become subject to a corporate integrity agreement or other agreement to resolve allegations of non-compliance with these laws, any of which could adversely affect our ability to operate our business and our financial results.</w:t>
      </w:r>
    </w:p>
    <w:p>
      <w:pPr>
        <w:spacing w:after="0" w:line="69" w:lineRule="exact"/>
        <w:rPr>
          <w:sz w:val="20"/>
          <w:szCs w:val="20"/>
          <w:color w:val="auto"/>
        </w:rPr>
      </w:pPr>
    </w:p>
    <w:p>
      <w:pPr>
        <w:ind w:right="120"/>
        <w:spacing w:after="0" w:line="287" w:lineRule="auto"/>
        <w:rPr>
          <w:sz w:val="20"/>
          <w:szCs w:val="20"/>
          <w:color w:val="auto"/>
        </w:rPr>
      </w:pPr>
      <w:r>
        <w:rPr>
          <w:rFonts w:ascii="Arial" w:cs="Arial" w:eastAsia="Arial" w:hAnsi="Arial"/>
          <w:sz w:val="19"/>
          <w:szCs w:val="19"/>
          <w:b w:val="1"/>
          <w:bCs w:val="1"/>
          <w:i w:val="1"/>
          <w:iCs w:val="1"/>
          <w:color w:val="auto"/>
        </w:rPr>
        <w:t>We may face potential liability if we obtain identifiable patient health information from clinical trials sponsored by us.</w:t>
      </w:r>
    </w:p>
    <w:p>
      <w:pPr>
        <w:spacing w:after="0" w:line="30" w:lineRule="exact"/>
        <w:rPr>
          <w:sz w:val="20"/>
          <w:szCs w:val="20"/>
          <w:color w:val="auto"/>
        </w:rPr>
      </w:pPr>
    </w:p>
    <w:p>
      <w:pPr>
        <w:spacing w:after="0" w:line="243" w:lineRule="auto"/>
        <w:rPr>
          <w:sz w:val="20"/>
          <w:szCs w:val="20"/>
          <w:color w:val="auto"/>
        </w:rPr>
      </w:pPr>
      <w:r>
        <w:rPr>
          <w:rFonts w:ascii="Arial" w:cs="Arial" w:eastAsia="Arial" w:hAnsi="Arial"/>
          <w:sz w:val="19"/>
          <w:szCs w:val="19"/>
          <w:color w:val="auto"/>
        </w:rPr>
        <w:t>Most healthcare providers, including certain research institutions from which we may obtain patient health information, are subject to privacy and security regulations promulgated under HIPAA, as amended by the HITECH. We are not currently classified as a covered entity or business associate under HIPAA and thus are not directly subject to its requirements or penalties.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In addition, in the future, we may maintain sensitive personally identifiable information, including health information, that we receive throughout the clinical trial process, in the course of our research collaborations, and directly from individuals (or their healthcare providers) who may enroll in patient assistance programs if we choose to implement such programs. As such, we may be subject to state laws requiring notification of affected individuals and state regulators in the event of a breach of personal information, which is a broader class of information than the health information protected by HIPAA.</w:t>
      </w:r>
    </w:p>
    <w:p>
      <w:pPr>
        <w:spacing w:after="0" w:line="84" w:lineRule="exact"/>
        <w:rPr>
          <w:sz w:val="20"/>
          <w:szCs w:val="20"/>
          <w:color w:val="auto"/>
        </w:rPr>
      </w:pPr>
    </w:p>
    <w:p>
      <w:pPr>
        <w:jc w:val="both"/>
        <w:ind w:right="100"/>
        <w:spacing w:after="0" w:line="260" w:lineRule="auto"/>
        <w:rPr>
          <w:sz w:val="20"/>
          <w:szCs w:val="20"/>
          <w:color w:val="auto"/>
        </w:rPr>
      </w:pPr>
      <w:r>
        <w:rPr>
          <w:rFonts w:ascii="Arial" w:cs="Arial" w:eastAsia="Arial" w:hAnsi="Arial"/>
          <w:sz w:val="19"/>
          <w:szCs w:val="19"/>
          <w:color w:val="auto"/>
        </w:rPr>
        <w:t>Foreign data protection laws, including the European Union’s General Data Protection Regulation (the EU GDPR), and the United Kingdom (or UK) equivalent of the same (the UK GDPR, together with the EU GDPR, the GDPR) may also apply to our processing of health-related and other personal data.</w:t>
      </w:r>
    </w:p>
    <w:p>
      <w:pPr>
        <w:spacing w:after="0" w:line="65" w:lineRule="exact"/>
        <w:rPr>
          <w:sz w:val="20"/>
          <w:szCs w:val="20"/>
          <w:color w:val="auto"/>
        </w:rPr>
      </w:pPr>
    </w:p>
    <w:p>
      <w:pPr>
        <w:ind w:right="20"/>
        <w:spacing w:after="0" w:line="242" w:lineRule="auto"/>
        <w:rPr>
          <w:sz w:val="20"/>
          <w:szCs w:val="20"/>
          <w:color w:val="auto"/>
        </w:rPr>
      </w:pPr>
      <w:r>
        <w:rPr>
          <w:rFonts w:ascii="Arial" w:cs="Arial" w:eastAsia="Arial" w:hAnsi="Arial"/>
          <w:sz w:val="19"/>
          <w:szCs w:val="19"/>
          <w:color w:val="auto"/>
        </w:rPr>
        <w:t>The GDPR imposes stringent requirements for controllers and processors of personal data of individuals within the European Economic Area (the EEA) or the UK. The GDPR applies to any company established in the EEA or UK as well as to those outside the EEA or UK if they collect and use personal data in connection with the offering of goods or services to individuals in the EEA or UK or the monitoring of their behavior. The GDPR, together with national legislation, regulations and guidelines of the EEA Member States and the UK governing the processing of personal data, impose strict obligations and restrictions on the ability to collect, analyze and transfer personal data, including health data from clinical trials and adverse event reporting. In particular, these obligations and restrictions concern the consent of the individuals to whom the personal data relates, the information provided to the individuals, the transfer of personal data out of the EEA or the UK, security breach notifications, security and confidentiality of the personal data and imposition of substantial potential fines for breaches of the data protection obligations. Companies that must comply with the GDPR face increased compliance obligations and risk, including more robust regulatory enforcement of data protection requirements and potential fines for noncompliance of up to €20 million (£17.5 million) or 4% of the annual global revenues of the noncompliant company, whichever is greater. Currently, the EU GDPR and UK GDPR remain largely aligned, but the UK has announced plans to reform the country’s data protection legal framework in its Data Reform Bill, which will introduce significant changes from the EU GDPR. This may lead to additional compliance costs and could increase our overall risk exposure as we may no longer be able to take a unified approach across the EEA and the UK, and we will need to amend our processes and procedures to align with the new framework.</w:t>
      </w:r>
    </w:p>
    <w:p>
      <w:pPr>
        <w:spacing w:after="0" w:line="89" w:lineRule="exact"/>
        <w:rPr>
          <w:sz w:val="20"/>
          <w:szCs w:val="20"/>
          <w:color w:val="auto"/>
        </w:rPr>
      </w:pPr>
    </w:p>
    <w:p>
      <w:pPr>
        <w:ind w:right="100"/>
        <w:spacing w:after="0" w:line="245" w:lineRule="auto"/>
        <w:rPr>
          <w:sz w:val="20"/>
          <w:szCs w:val="20"/>
          <w:color w:val="auto"/>
        </w:rPr>
      </w:pPr>
      <w:r>
        <w:rPr>
          <w:rFonts w:ascii="Arial" w:cs="Arial" w:eastAsia="Arial" w:hAnsi="Arial"/>
          <w:sz w:val="19"/>
          <w:szCs w:val="19"/>
          <w:color w:val="auto"/>
        </w:rPr>
        <w:t>The GDPR also imposes restrictions in relation to the international transfer of personal data from the EEA and UK and other countries in respect of which the European Commission or the UK government has not issued a so-called “adequacy decision” or “adequacy regulation” (known as “third countries”), unless the parties to the transfer have implemented specific safeguards to protect the transferred personal data. This includes putting in place the European Commission’s Standard Contractual Clauses for transfers outside of the EEA and a similar transfer mechanism for transfers of personal data outside of the UK, the International Data Transfer Agreement or Addendum (IDTA). Under both the EU GDPR and the UK GDPR, exporters are also required to assess the risk of the data transfer on a case-by-case basis, including an analysis of the laws in the destination country.</w:t>
      </w:r>
    </w:p>
    <w:p>
      <w:pPr>
        <w:spacing w:after="0" w:line="84" w:lineRule="exact"/>
        <w:rPr>
          <w:sz w:val="20"/>
          <w:szCs w:val="20"/>
          <w:color w:val="auto"/>
        </w:rPr>
      </w:pPr>
    </w:p>
    <w:p>
      <w:pPr>
        <w:spacing w:after="0" w:line="250" w:lineRule="auto"/>
        <w:rPr>
          <w:sz w:val="20"/>
          <w:szCs w:val="20"/>
          <w:color w:val="auto"/>
        </w:rPr>
      </w:pPr>
      <w:r>
        <w:rPr>
          <w:rFonts w:ascii="Arial" w:cs="Arial" w:eastAsia="Arial" w:hAnsi="Arial"/>
          <w:sz w:val="19"/>
          <w:szCs w:val="19"/>
          <w:color w:val="auto"/>
        </w:rPr>
        <w:t>In July 2023, the European Commission adopted its adequacy decision for the EU-U.S. Data Privacy Framework (Framework), the successor of the EU-U.S. Privacy Shield framework, which the Court of Justice of the European Union invalidated in 2020. On the basis of the new adequacy decision, personal data can flow safely from the EU to U.S. companies participating in the Framework, without having to put in place additional data protection safeguards. However, the Framework has already been challenged in European courts, which may lead to its invalidation.</w:t>
      </w:r>
    </w:p>
    <w:p>
      <w:pPr>
        <w:spacing w:after="0" w:line="74" w:lineRule="exact"/>
        <w:rPr>
          <w:sz w:val="20"/>
          <w:szCs w:val="20"/>
          <w:color w:val="auto"/>
        </w:rPr>
      </w:pPr>
    </w:p>
    <w:p>
      <w:pPr>
        <w:ind w:right="40"/>
        <w:spacing w:after="0" w:line="248" w:lineRule="auto"/>
        <w:rPr>
          <w:sz w:val="20"/>
          <w:szCs w:val="20"/>
          <w:color w:val="auto"/>
        </w:rPr>
      </w:pPr>
      <w:r>
        <w:rPr>
          <w:rFonts w:ascii="Arial" w:cs="Arial" w:eastAsia="Arial" w:hAnsi="Arial"/>
          <w:sz w:val="19"/>
          <w:szCs w:val="19"/>
          <w:color w:val="auto"/>
        </w:rPr>
        <w:t>Implementing mechanisms to endeavor to ensure compliance with the GDPR and relevant local legislation in EEA Member States and the UK may be onerous and may interrupt or delay our development activities, and adversely affect our business, financial condition, results of operations, and prospects. In addition to the foregoing, a breach of the GDPR or other applicable privacy and data protection laws and regulations could result in regulatory investigations, reputational damage, and orders to cease/change our use of data, enforcement notices, or potential civil claims including class action-type litigation.</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64</w:t>
      </w:r>
    </w:p>
    <w:p>
      <w:pPr>
        <w:sectPr>
          <w:pgSz w:w="12240" w:h="15840" w:orient="portrait"/>
          <w:cols w:equalWidth="0" w:num="1">
            <w:col w:w="10060"/>
          </w:cols>
          <w:pgMar w:left="1080" w:top="1062" w:right="1100" w:bottom="173" w:gutter="0" w:footer="0" w:header="0"/>
        </w:sectPr>
      </w:pPr>
    </w:p>
    <w:bookmarkStart w:id="68" w:name="page69"/>
    <w:bookmarkEnd w:id="68"/>
    <w:p>
      <w:pPr>
        <w:ind w:right="20"/>
        <w:spacing w:after="0" w:line="243" w:lineRule="auto"/>
        <w:rPr>
          <w:sz w:val="20"/>
          <w:szCs w:val="20"/>
          <w:color w:val="auto"/>
        </w:rPr>
      </w:pPr>
      <w:r>
        <w:rPr>
          <w:rFonts w:ascii="Arial" w:cs="Arial" w:eastAsia="Arial" w:hAnsi="Arial"/>
          <w:sz w:val="19"/>
          <w:szCs w:val="19"/>
          <w:color w:val="auto"/>
        </w:rPr>
        <w:t>In addition, governments in the United States are increasingly passing stringent privacy laws. California recently enacted and has proposed companion regulations to the California Consumer Privacy Act (CCPA), which went into effect January 1, 2020. The CCPA creates new individual privacy rights for California consumers (as defined in the law) and places increased privacy and security obligations on entities handling personal data of consumers or households. The CCPA requires covered companies to provide certain disclosures to consumers about its data collection, use and sharing practices, and to provide affected California residents with ways to opt-out of certain sales or transfers of personal information. As of March 28, 2020, the California State Attorney General has proposed varying versions of companion draft regulations which are not yet finalized. Despite the delay in adopting regulations, the California State Attorney General commenced enforcement actions against violators on July 1, 2020. While there are currently exceptions for protected health information that is subject to HIPAA and clinical trial regulations, as currently written, the CCPA may impact our business activities. On August 14, 2020, implementing regulations were finalized and became effective as of that date. While clinical trial data and information governed by HIPAA are currently exempt from the current version of the CCPA, other personal information may be applicable and possible changes to the CCPA may broaden its scope. We continue to monitor the impact the CCPA may have on our business activities.</w:t>
      </w:r>
    </w:p>
    <w:p>
      <w:pPr>
        <w:spacing w:after="0" w:line="82" w:lineRule="exact"/>
        <w:rPr>
          <w:sz w:val="20"/>
          <w:szCs w:val="20"/>
          <w:color w:val="auto"/>
        </w:rPr>
      </w:pPr>
    </w:p>
    <w:p>
      <w:pPr>
        <w:spacing w:after="0" w:line="246" w:lineRule="auto"/>
        <w:rPr>
          <w:sz w:val="20"/>
          <w:szCs w:val="20"/>
          <w:color w:val="auto"/>
        </w:rPr>
      </w:pPr>
      <w:r>
        <w:rPr>
          <w:rFonts w:ascii="Arial" w:cs="Arial" w:eastAsia="Arial" w:hAnsi="Arial"/>
          <w:sz w:val="19"/>
          <w:szCs w:val="19"/>
          <w:color w:val="auto"/>
        </w:rPr>
        <w:t>Additionally, a new California ballot initiative, the California Privacy Rights Act (CPRA) was passed in November 2020. Effective starting on January 1, 2023, the CPRA imposes additional obligations on companies covered by the legislation and will significantly modify the CCPA, including by expanding consumers’ rights with respect to certain sensitive personal information. The CPRA also creates a new state agency that will be vested with authority to implement and enforce the CCPA and the CPRA. The effects of the CCPA and the CPRA are potentially significant and may require us to modify our data collection or processing practices and policies and to incur substantial costs and expenses in an effort to comply and increase our potential exposure to regulatory enforcement and/or litigation.</w:t>
      </w:r>
    </w:p>
    <w:p>
      <w:pPr>
        <w:spacing w:after="0" w:line="82" w:lineRule="exact"/>
        <w:rPr>
          <w:sz w:val="20"/>
          <w:szCs w:val="20"/>
          <w:color w:val="auto"/>
        </w:rPr>
      </w:pPr>
    </w:p>
    <w:p>
      <w:pPr>
        <w:spacing w:after="0" w:line="242" w:lineRule="auto"/>
        <w:rPr>
          <w:sz w:val="20"/>
          <w:szCs w:val="20"/>
          <w:color w:val="auto"/>
        </w:rPr>
      </w:pPr>
      <w:r>
        <w:rPr>
          <w:rFonts w:ascii="Arial" w:cs="Arial" w:eastAsia="Arial" w:hAnsi="Arial"/>
          <w:sz w:val="19"/>
          <w:szCs w:val="19"/>
          <w:color w:val="auto"/>
        </w:rPr>
        <w:t>Also, on March 2, 2021, Virginia enacted the Consumer Data Protection Act (CDPA). The CDPA will become effective January 1, 2023. The CDPA will regulate how businesses, which the CDPA refers to as “controllers”, collect and share personal information. The law applies to companies that conduct business in Virginia or product products or services that are targeted to residents of Virginia and either: (1) annually control or process personal data of at least 100,000 Virginia residents; or (2) control or process the personal data of at least 25,000 Virginia residents and derive over 50% of gross revenue from the sale of personal data. While the CDPA incorporates many similar concepts of the CCPA and CPRA, there are also several key differences in the scope, application, and enforcement of the law that will change the operational practices of controllers. The new law will impact how controllers collect and process personal sensitive data, conduct data protection assessments, transfer personal data to affiliates, and respond to consumer rights requests. In addition, on July 8, 2021, Colorado’s governor signed the Colorado Privacy Act (CPA) into law. The CPA is rather similar to the Virginia’s CPDA but also contains additional requirements. The new measure applies to companies conducting business in Colorado or who produce or deliver commercial products or services intentionally targeted to its residents of the state and that either: (1) control or process the personal data of at least 100,000 Colorado residents during a calendar year; or (2) derive revenue or receive a discount on the price of goods or services from the sale of personal data and process or control the personal data of at least 25,000 Colorado residents.</w:t>
      </w:r>
    </w:p>
    <w:p>
      <w:pPr>
        <w:spacing w:after="0" w:line="93" w:lineRule="exact"/>
        <w:rPr>
          <w:sz w:val="20"/>
          <w:szCs w:val="20"/>
          <w:color w:val="auto"/>
        </w:rPr>
      </w:pPr>
    </w:p>
    <w:p>
      <w:pPr>
        <w:ind w:right="80"/>
        <w:spacing w:after="0" w:line="243" w:lineRule="auto"/>
        <w:rPr>
          <w:sz w:val="20"/>
          <w:szCs w:val="20"/>
          <w:color w:val="auto"/>
        </w:rPr>
      </w:pPr>
      <w:r>
        <w:rPr>
          <w:rFonts w:ascii="Arial" w:cs="Arial" w:eastAsia="Arial" w:hAnsi="Arial"/>
          <w:sz w:val="19"/>
          <w:szCs w:val="19"/>
          <w:color w:val="auto"/>
        </w:rPr>
        <w:t>Moreover, on March 24, 2022, Utah’s governor signed the Utah Consumer Privacy Act (UCPA) into law. The UCPA will take effect on December 31, 2023. Also, in May 2022, Connecticut Governor Lamont signed the Connecticut Data Privacy Act (CTDPA) into laws. The UCPA and CTDPA draw heavily upon their predecessors in Virginia and Colorado. With the CTDPA, Connecticut became the fifth state to enact a comprehensive privacy law. New privacy and data security laws have been proposed in more than half of the states in the U.S. and in the U.S. Congress. With bills proposed in many other jurisdictions, it remains quite possible that other states will follow suit.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will make our compliance obligations more complex and costly and may increase the likelihood that we may be subject to enforcement actions or otherwise incur liability for noncompliance.</w:t>
      </w:r>
    </w:p>
    <w:p>
      <w:pPr>
        <w:spacing w:after="0" w:line="87" w:lineRule="exact"/>
        <w:rPr>
          <w:sz w:val="20"/>
          <w:szCs w:val="20"/>
          <w:color w:val="auto"/>
        </w:rPr>
      </w:pPr>
    </w:p>
    <w:p>
      <w:pPr>
        <w:ind w:right="220"/>
        <w:spacing w:after="0" w:line="250" w:lineRule="auto"/>
        <w:rPr>
          <w:sz w:val="20"/>
          <w:szCs w:val="20"/>
          <w:color w:val="auto"/>
        </w:rPr>
      </w:pPr>
      <w:r>
        <w:rPr>
          <w:rFonts w:ascii="Arial" w:cs="Arial" w:eastAsia="Arial" w:hAnsi="Arial"/>
          <w:sz w:val="19"/>
          <w:szCs w:val="19"/>
          <w:color w:val="auto"/>
        </w:rPr>
        <w:t>The increasing number and complexity of regional, country and U.S. state data protection laws, and other changes in laws or regulations across the globe, especially those associated with the enhanced protection of certain types of sensitive data, such as healthcare data or other personal information from our clinical trials, could lead to government enforcement actions and significant penalties against us and could have a material adverse effect on our business, financial condition or results of operations</w:t>
      </w:r>
    </w:p>
    <w:p>
      <w:pPr>
        <w:spacing w:after="0" w:line="74"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Furthermore,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 Patients about whom we or our collaborators may obtain health information, as well as the providers who may share this information with us, may have statutory or contractual rights that limit our ability to use and disclose the information. We may be required to expend significant capital and other resources to ensure ongoing compliance with applicable privacy and data security laws. Claims that</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65</w:t>
      </w:r>
    </w:p>
    <w:p>
      <w:pPr>
        <w:sectPr>
          <w:pgSz w:w="12240" w:h="15840" w:orient="portrait"/>
          <w:cols w:equalWidth="0" w:num="1">
            <w:col w:w="10060"/>
          </w:cols>
          <w:pgMar w:left="1080" w:top="1062" w:right="1100" w:bottom="173" w:gutter="0" w:footer="0" w:header="0"/>
        </w:sectPr>
      </w:pPr>
    </w:p>
    <w:bookmarkStart w:id="69" w:name="page70"/>
    <w:bookmarkEnd w:id="69"/>
    <w:p>
      <w:pPr>
        <w:ind w:right="200"/>
        <w:spacing w:after="0" w:line="310" w:lineRule="auto"/>
        <w:rPr>
          <w:sz w:val="20"/>
          <w:szCs w:val="20"/>
          <w:color w:val="auto"/>
        </w:rPr>
      </w:pPr>
      <w:r>
        <w:rPr>
          <w:rFonts w:ascii="Arial" w:cs="Arial" w:eastAsia="Arial" w:hAnsi="Arial"/>
          <w:sz w:val="18"/>
          <w:szCs w:val="18"/>
          <w:color w:val="auto"/>
        </w:rPr>
        <w:t>we have violated individuals’ privacy rights or breached our contractual obligations, even if we are not found liable, could be expensive and time-consuming to defend and could result in adverse publicity that could harm our business.</w:t>
      </w:r>
    </w:p>
    <w:p>
      <w:pPr>
        <w:spacing w:after="0" w:line="22" w:lineRule="exact"/>
        <w:rPr>
          <w:sz w:val="20"/>
          <w:szCs w:val="20"/>
          <w:color w:val="auto"/>
        </w:rPr>
      </w:pPr>
    </w:p>
    <w:p>
      <w:pPr>
        <w:spacing w:after="0" w:line="245" w:lineRule="auto"/>
        <w:rPr>
          <w:sz w:val="20"/>
          <w:szCs w:val="20"/>
          <w:color w:val="auto"/>
        </w:rPr>
      </w:pPr>
      <w:r>
        <w:rPr>
          <w:rFonts w:ascii="Arial" w:cs="Arial" w:eastAsia="Arial" w:hAnsi="Arial"/>
          <w:sz w:val="19"/>
          <w:szCs w:val="19"/>
          <w:color w:val="auto"/>
        </w:rPr>
        <w:t>If we or third-party contract research organizations (CROs) or other contractors or consultants fail to comply with applicable federal, state/provincial or local regulatory requirements, we could be subject to a range of regulatory actions that could affect our or our contractors’ ability to develop and commercialize our therapeutic candidates and could harm or prevent sales of any affected therapeutics that we are able to commercialize, or could substantially increase the costs and expenses of developing, commercializing and marketing our therapeutics. Any threatened or actual government enforcement action could also generate adverse publicity and require that we devote substantial resources that could otherwise be used in other aspects of our business. Increasing use of social media could give rise to liability, breaches of data security or reputational damage.</w:t>
      </w:r>
    </w:p>
    <w:p>
      <w:pPr>
        <w:spacing w:after="0" w:line="84" w:lineRule="exact"/>
        <w:rPr>
          <w:sz w:val="20"/>
          <w:szCs w:val="20"/>
          <w:color w:val="auto"/>
        </w:rPr>
      </w:pPr>
    </w:p>
    <w:p>
      <w:pPr>
        <w:ind w:right="480"/>
        <w:spacing w:after="0" w:line="281" w:lineRule="auto"/>
        <w:rPr>
          <w:sz w:val="20"/>
          <w:szCs w:val="20"/>
          <w:color w:val="auto"/>
        </w:rPr>
      </w:pPr>
      <w:r>
        <w:rPr>
          <w:rFonts w:ascii="Arial" w:cs="Arial" w:eastAsia="Arial" w:hAnsi="Arial"/>
          <w:sz w:val="19"/>
          <w:szCs w:val="19"/>
          <w:color w:val="auto"/>
        </w:rPr>
        <w:t>Additionally, we are subject to other state and foreign equivalents of each of the healthcare laws described above, among others, some of which may be broader in scope and may apply regardless of the payor.</w:t>
      </w:r>
    </w:p>
    <w:p>
      <w:pPr>
        <w:spacing w:after="0" w:line="49" w:lineRule="exact"/>
        <w:rPr>
          <w:sz w:val="20"/>
          <w:szCs w:val="20"/>
          <w:color w:val="auto"/>
        </w:rPr>
      </w:pPr>
    </w:p>
    <w:p>
      <w:pPr>
        <w:ind w:right="320"/>
        <w:spacing w:after="0" w:line="287" w:lineRule="auto"/>
        <w:rPr>
          <w:sz w:val="20"/>
          <w:szCs w:val="20"/>
          <w:color w:val="auto"/>
        </w:rPr>
      </w:pPr>
      <w:r>
        <w:rPr>
          <w:rFonts w:ascii="Arial" w:cs="Arial" w:eastAsia="Arial" w:hAnsi="Arial"/>
          <w:sz w:val="19"/>
          <w:szCs w:val="19"/>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30" w:lineRule="exact"/>
        <w:rPr>
          <w:sz w:val="20"/>
          <w:szCs w:val="20"/>
          <w:color w:val="auto"/>
        </w:rPr>
      </w:pPr>
    </w:p>
    <w:p>
      <w:pPr>
        <w:ind w:right="80"/>
        <w:spacing w:after="0" w:line="245" w:lineRule="auto"/>
        <w:rPr>
          <w:sz w:val="20"/>
          <w:szCs w:val="20"/>
          <w:color w:val="auto"/>
        </w:rPr>
      </w:pPr>
      <w:r>
        <w:rPr>
          <w:rFonts w:ascii="Arial" w:cs="Arial" w:eastAsia="Arial" w:hAnsi="Arial"/>
          <w:sz w:val="19"/>
          <w:szCs w:val="19"/>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84" w:lineRule="exact"/>
        <w:rPr>
          <w:sz w:val="20"/>
          <w:szCs w:val="20"/>
          <w:color w:val="auto"/>
        </w:rPr>
      </w:pPr>
    </w:p>
    <w:p>
      <w:pPr>
        <w:ind w:right="40"/>
        <w:spacing w:after="0" w:line="253" w:lineRule="auto"/>
        <w:rPr>
          <w:sz w:val="20"/>
          <w:szCs w:val="20"/>
          <w:color w:val="auto"/>
        </w:rPr>
      </w:pPr>
      <w:r>
        <w:rPr>
          <w:rFonts w:ascii="Arial" w:cs="Arial" w:eastAsia="Arial" w:hAnsi="Arial"/>
          <w:sz w:val="19"/>
          <w:szCs w:val="19"/>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6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Employee Matters, Managing Growth and General Business Operations</w:t>
      </w:r>
    </w:p>
    <w:p>
      <w:pPr>
        <w:spacing w:after="0" w:line="128" w:lineRule="exact"/>
        <w:rPr>
          <w:sz w:val="20"/>
          <w:szCs w:val="20"/>
          <w:color w:val="auto"/>
        </w:rPr>
      </w:pPr>
    </w:p>
    <w:p>
      <w:pPr>
        <w:ind w:right="160"/>
        <w:spacing w:after="0" w:line="249" w:lineRule="auto"/>
        <w:rPr>
          <w:sz w:val="20"/>
          <w:szCs w:val="20"/>
          <w:color w:val="auto"/>
        </w:rPr>
      </w:pPr>
      <w:r>
        <w:rPr>
          <w:rFonts w:ascii="Arial" w:cs="Arial" w:eastAsia="Arial" w:hAnsi="Arial"/>
          <w:sz w:val="19"/>
          <w:szCs w:val="19"/>
          <w:b w:val="1"/>
          <w:bCs w:val="1"/>
          <w:i w:val="1"/>
          <w:iCs w:val="1"/>
          <w:color w:val="auto"/>
        </w:rPr>
        <w:t>Any future public health crisis may affect our ability to complete our ongoing clinical trials and initiate and complete other preclinical studies, planned clinical trials or future clinical trials, disrupt regulatory activities, disrupt our manufacturing and supply chain or have other adverse effects on our business and operations. In addition, any future public health crisis may cause substantial disruption in the financial markets and may adversely impact economies worldwide, both of which could result in adverse effects on our business, operations and ability to raise capital.</w:t>
      </w:r>
    </w:p>
    <w:p>
      <w:pPr>
        <w:spacing w:after="0" w:line="67" w:lineRule="exact"/>
        <w:rPr>
          <w:sz w:val="20"/>
          <w:szCs w:val="20"/>
          <w:color w:val="auto"/>
        </w:rPr>
      </w:pPr>
    </w:p>
    <w:p>
      <w:pPr>
        <w:ind w:right="180"/>
        <w:spacing w:after="0" w:line="244" w:lineRule="auto"/>
        <w:rPr>
          <w:sz w:val="20"/>
          <w:szCs w:val="20"/>
          <w:color w:val="auto"/>
        </w:rPr>
      </w:pPr>
      <w:r>
        <w:rPr>
          <w:rFonts w:ascii="Arial" w:cs="Arial" w:eastAsia="Arial" w:hAnsi="Arial"/>
          <w:sz w:val="19"/>
          <w:szCs w:val="19"/>
          <w:color w:val="auto"/>
        </w:rPr>
        <w:t>Any future public health crisis may cause governments to implement measures to slow the spread of the public health crisis through quarantines, travel restrictions, heightened border scrutiny and other measures. Government measures taken in response to any future public health crisis may also have a significant impact, both directly and indirectly, on businesses and commerce, as worker shortages may occur; supply chains may be disrupted; facilities and production may be suspended; and demand for certain goods and services, such as medical services and supplies, may spike, while demand for other goods and services, such as travel may fall. The extent to which any future public health crisis may in the future have an impact on our operations or those of the third parties on which we rely depends on many factors, which are highly uncertain and cannot be predicted with confidence. Additionally, the conduct of our clinical trials, preclinical studies and manufacturing activities is dependent upon the availability of clinical trial sites, CROs, CDMOs, researchers and investigators, regulatory agency personnel and logistics providers, all of which may in the future be adversely affected by any future public health crisis.</w:t>
      </w:r>
    </w:p>
    <w:p>
      <w:pPr>
        <w:spacing w:after="0" w:line="80" w:lineRule="exact"/>
        <w:rPr>
          <w:sz w:val="20"/>
          <w:szCs w:val="20"/>
          <w:color w:val="auto"/>
        </w:rPr>
      </w:pPr>
    </w:p>
    <w:p>
      <w:pPr>
        <w:ind w:right="20"/>
        <w:spacing w:after="0" w:line="250" w:lineRule="auto"/>
        <w:rPr>
          <w:sz w:val="20"/>
          <w:szCs w:val="20"/>
          <w:color w:val="auto"/>
        </w:rPr>
      </w:pPr>
      <w:r>
        <w:rPr>
          <w:rFonts w:ascii="Arial" w:cs="Arial" w:eastAsia="Arial" w:hAnsi="Arial"/>
          <w:sz w:val="19"/>
          <w:szCs w:val="19"/>
          <w:color w:val="auto"/>
        </w:rPr>
        <w:t>Any negative impact that any future public health crisis may have on enrolling or retaining patients in our clinical trials, the ability of our suppliers to provide materials for our product candidates, or the regulatory review process could cause delays with respect to product development activities, which could materially and adversely affect our ability to obtain marketing approval for and to commercialize our product candidates, increase our operating expenses, affect our ability to raise additional capital, and have a material adverse effect on our financial results.</w:t>
      </w:r>
    </w:p>
    <w:p>
      <w:pPr>
        <w:spacing w:after="0" w:line="74" w:lineRule="exact"/>
        <w:rPr>
          <w:sz w:val="20"/>
          <w:szCs w:val="20"/>
          <w:color w:val="auto"/>
        </w:rPr>
      </w:pPr>
    </w:p>
    <w:p>
      <w:pPr>
        <w:ind w:right="100"/>
        <w:spacing w:after="0" w:line="253" w:lineRule="auto"/>
        <w:rPr>
          <w:sz w:val="20"/>
          <w:szCs w:val="20"/>
          <w:color w:val="auto"/>
        </w:rPr>
      </w:pPr>
      <w:r>
        <w:rPr>
          <w:rFonts w:ascii="Arial" w:cs="Arial" w:eastAsia="Arial" w:hAnsi="Arial"/>
          <w:sz w:val="19"/>
          <w:szCs w:val="19"/>
          <w:color w:val="auto"/>
        </w:rPr>
        <w:t>Any future public health crisis may cause disruptions in the future, which could adversely impact our ability to raise additional funds through public offerings or private placements and may also impact the volatility of our stock price and trading in our stock. Moreover, it is possible that any future public health crisis could impact economies worldwide, which could result in adverse effects on our business and operations.</w:t>
      </w:r>
    </w:p>
    <w:p>
      <w:pPr>
        <w:spacing w:after="0" w:line="77"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b w:val="1"/>
          <w:bCs w:val="1"/>
          <w:i w:val="1"/>
          <w:iCs w:val="1"/>
          <w:color w:val="auto"/>
        </w:rPr>
        <w:t>Our future success depends on our ability to retain key executives and to attract, retain and motivate qualified personnel.</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66</w:t>
      </w:r>
    </w:p>
    <w:p>
      <w:pPr>
        <w:sectPr>
          <w:pgSz w:w="12240" w:h="15840" w:orient="portrait"/>
          <w:cols w:equalWidth="0" w:num="1">
            <w:col w:w="10040"/>
          </w:cols>
          <w:pgMar w:left="1080" w:top="1062" w:right="1120" w:bottom="173" w:gutter="0" w:footer="0" w:header="0"/>
        </w:sectPr>
      </w:pPr>
    </w:p>
    <w:bookmarkStart w:id="70" w:name="page71"/>
    <w:bookmarkEnd w:id="70"/>
    <w:p>
      <w:pPr>
        <w:spacing w:after="0" w:line="259" w:lineRule="auto"/>
        <w:rPr>
          <w:sz w:val="20"/>
          <w:szCs w:val="20"/>
          <w:color w:val="auto"/>
        </w:rPr>
      </w:pPr>
      <w:r>
        <w:rPr>
          <w:rFonts w:ascii="Arial" w:cs="Arial" w:eastAsia="Arial" w:hAnsi="Arial"/>
          <w:sz w:val="18"/>
          <w:szCs w:val="18"/>
          <w:color w:val="auto"/>
        </w:rPr>
        <w:t>We are highly dependent on the research and development, clinical, financial, operational and other business expertise of our executive officers, as well as the other principal members of our management, scientific and clinical teams. Although we have entered into employment agreements with our executive officers, each of them may terminate their employment with us at any time. We do not maintain “key person” insurance for any of our executives or other employees. Recruiting and retaining qualified scientific, clinical, manufacturing, accounting, legal and sales and marketing personnel will also be critical to our success. On December 11, 2023, Jason A. Amello resigned from his position as the Company’s Chief Financial Officer, principal financial officer and principal accounting officer, effective January 12, 2024. Mr. Amello will remain an advisor to the Company in order to support the transition of his responsibilities. On January 12, 2024, our Board of Directors unanimously appointed Charles Schoch as the Company’s interim Chief Financial Officer, principal financial officer and principal accounting officer, effective January 12, 2024.</w:t>
      </w:r>
    </w:p>
    <w:p>
      <w:pPr>
        <w:spacing w:after="0" w:line="71" w:lineRule="exact"/>
        <w:rPr>
          <w:sz w:val="20"/>
          <w:szCs w:val="20"/>
          <w:color w:val="auto"/>
        </w:rPr>
      </w:pPr>
    </w:p>
    <w:p>
      <w:pPr>
        <w:ind w:right="80"/>
        <w:spacing w:after="0" w:line="243" w:lineRule="auto"/>
        <w:rPr>
          <w:sz w:val="20"/>
          <w:szCs w:val="20"/>
          <w:color w:val="auto"/>
        </w:rPr>
      </w:pPr>
      <w:r>
        <w:rPr>
          <w:rFonts w:ascii="Arial" w:cs="Arial" w:eastAsia="Arial" w:hAnsi="Arial"/>
          <w:sz w:val="19"/>
          <w:szCs w:val="19"/>
          <w:color w:val="auto"/>
        </w:rPr>
        <w:t>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marketing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Our success as a public company also depends on implementing and maintaining internal controls and the accuracy and timeliness of our financial reporting. If we are unable to continue to attract and retain high quality personnel, our ability to pursue our growth strategy will be limited.</w:t>
      </w:r>
    </w:p>
    <w:p>
      <w:pPr>
        <w:spacing w:after="0" w:line="86" w:lineRule="exact"/>
        <w:rPr>
          <w:sz w:val="20"/>
          <w:szCs w:val="20"/>
          <w:color w:val="auto"/>
        </w:rPr>
      </w:pPr>
    </w:p>
    <w:p>
      <w:pPr>
        <w:jc w:val="both"/>
        <w:ind w:right="260"/>
        <w:spacing w:after="0" w:line="263" w:lineRule="auto"/>
        <w:rPr>
          <w:sz w:val="20"/>
          <w:szCs w:val="20"/>
          <w:color w:val="auto"/>
        </w:rPr>
      </w:pPr>
      <w:r>
        <w:rPr>
          <w:rFonts w:ascii="Arial" w:cs="Arial" w:eastAsia="Arial" w:hAnsi="Arial"/>
          <w:sz w:val="19"/>
          <w:szCs w:val="19"/>
          <w:b w:val="1"/>
          <w:bCs w:val="1"/>
          <w:i w:val="1"/>
          <w:iCs w:val="1"/>
          <w:color w:val="auto"/>
        </w:rPr>
        <w:t>We expect to expand our development, manufacturing and regulatory capabilities and potentially implement sales, marketing and distribution capabilities, and as a result, we may encounter difficulties in managing our growth, which could disrupt our operations.</w:t>
      </w:r>
    </w:p>
    <w:p>
      <w:pPr>
        <w:spacing w:after="0" w:line="53" w:lineRule="exact"/>
        <w:rPr>
          <w:sz w:val="20"/>
          <w:szCs w:val="20"/>
          <w:color w:val="auto"/>
        </w:rPr>
      </w:pPr>
    </w:p>
    <w:p>
      <w:pPr>
        <w:ind w:right="20"/>
        <w:spacing w:after="0" w:line="244" w:lineRule="auto"/>
        <w:rPr>
          <w:sz w:val="20"/>
          <w:szCs w:val="20"/>
          <w:color w:val="auto"/>
        </w:rPr>
      </w:pPr>
      <w:r>
        <w:rPr>
          <w:rFonts w:ascii="Arial" w:cs="Arial" w:eastAsia="Arial" w:hAnsi="Arial"/>
          <w:sz w:val="19"/>
          <w:szCs w:val="19"/>
          <w:color w:val="auto"/>
        </w:rPr>
        <w:t>As we seek to advance our product candidates through clinical trials and commercialization, we will need to expand our development, regulatory, manufacturing, marketing and sales capabilities or contract with third parties to provide these capabilities. We expect the number of our employees and the scope of our operations to grow, particularly in the areas of drug development, clinical, regulatory affairs and, if any product candidate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8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The increasing use of social media platforms presents new risks and challenges.</w:t>
      </w:r>
    </w:p>
    <w:p>
      <w:pPr>
        <w:spacing w:after="0" w:line="116" w:lineRule="exact"/>
        <w:rPr>
          <w:sz w:val="20"/>
          <w:szCs w:val="20"/>
          <w:color w:val="auto"/>
        </w:rPr>
      </w:pPr>
    </w:p>
    <w:p>
      <w:pPr>
        <w:ind w:right="60"/>
        <w:spacing w:after="0" w:line="242" w:lineRule="auto"/>
        <w:rPr>
          <w:sz w:val="20"/>
          <w:szCs w:val="20"/>
          <w:color w:val="auto"/>
        </w:rPr>
      </w:pPr>
      <w:r>
        <w:rPr>
          <w:rFonts w:ascii="Arial" w:cs="Arial" w:eastAsia="Arial" w:hAnsi="Arial"/>
          <w:sz w:val="19"/>
          <w:szCs w:val="19"/>
          <w:color w:val="auto"/>
        </w:rPr>
        <w:t>Social media is increasingly being used to communicate about our clinical development programs and the diseases our therapeutics are being developed to treat, and we intend to utilize appropriate social media in connection with our commercialization efforts following approval of our product candidates, if any. Social media practices in the biotechnology and biopharmaceutical industry continue to evolve and regulations and regulatory guidance relating to such use are evolving and not always clear. This evolution creates uncertainty and risk of noncompliance with regulations applicable to our business, resulting in potential regulatory actions against us, along with the potential for litigation related to off-label marketing or other prohibited activities and heightened scrutiny by the FDA, the SEC and other regulators. For example, patients may use social media channels to comment on their experience in an ongoing blinded clinical trial or to report an alleged adverse event. If such disclosures occur, there is a risk that trial enrollment may be adversely impacted, that we may fail to monitor and comply with applicable adverse event reporting obligations or that we may not be able to defend our business or the public’s legitimate interests in the face of the political and market pressures generated by social media due to restrictions on what we may say about our product candidates. There is also a risk of inappropriate disclosure of sensitive information or negative or inaccurate posts or comments about us on any social networking website. In addition, we may encounter attacks on social media regarding our company, management, product candidates or products. If any of these events were to occur or we otherwise fail to comply with applicable regulations, we could incur liability, face regulatory actions or incur other harm to our business.</w:t>
      </w:r>
    </w:p>
    <w:p>
      <w:pPr>
        <w:spacing w:after="0" w:line="95" w:lineRule="exact"/>
        <w:rPr>
          <w:sz w:val="20"/>
          <w:szCs w:val="20"/>
          <w:color w:val="auto"/>
        </w:rPr>
      </w:pPr>
    </w:p>
    <w:p>
      <w:pPr>
        <w:ind w:right="200"/>
        <w:spacing w:after="0" w:line="263" w:lineRule="auto"/>
        <w:rPr>
          <w:sz w:val="20"/>
          <w:szCs w:val="20"/>
          <w:color w:val="auto"/>
        </w:rPr>
      </w:pPr>
      <w:r>
        <w:rPr>
          <w:rFonts w:ascii="Arial" w:cs="Arial" w:eastAsia="Arial" w:hAnsi="Arial"/>
          <w:sz w:val="19"/>
          <w:szCs w:val="19"/>
          <w:b w:val="1"/>
          <w:bCs w:val="1"/>
          <w:i w:val="1"/>
          <w:iCs w:val="1"/>
          <w:color w:val="auto"/>
        </w:rPr>
        <w:t>Our internal computer systems, or those of our third-party CROs that we may use in the future, or other contractors or consultants, may fail or suffer security incidents, which could result in a material disruption of our product candidates’ development programs.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67</w:t>
      </w:r>
    </w:p>
    <w:p>
      <w:pPr>
        <w:sectPr>
          <w:pgSz w:w="12240" w:h="15840" w:orient="portrait"/>
          <w:cols w:equalWidth="0" w:num="1">
            <w:col w:w="10060"/>
          </w:cols>
          <w:pgMar w:left="1080" w:top="1062" w:right="1100" w:bottom="173" w:gutter="0" w:footer="0" w:header="0"/>
        </w:sectPr>
      </w:pPr>
    </w:p>
    <w:bookmarkStart w:id="71" w:name="page72"/>
    <w:bookmarkEnd w:id="71"/>
    <w:p>
      <w:pPr>
        <w:spacing w:after="0" w:line="244" w:lineRule="auto"/>
        <w:rPr>
          <w:sz w:val="20"/>
          <w:szCs w:val="20"/>
          <w:color w:val="auto"/>
        </w:rPr>
      </w:pPr>
      <w:r>
        <w:rPr>
          <w:rFonts w:ascii="Arial" w:cs="Arial" w:eastAsia="Arial" w:hAnsi="Arial"/>
          <w:sz w:val="19"/>
          <w:szCs w:val="19"/>
          <w:color w:val="auto"/>
        </w:rPr>
        <w:t>Despite our implementation of security measures, our internal computer systems, and those of our CROs that we may use in the future, information technology suppliers and other contractors and consultants are vulnerable to damage from computer viruses, cyberattacks and other unauthorized access, natural disasters, terrorism, war, and telecommunication and electrical failures. If such an event were to occur and cause interruptions in our operations, it could result in a material disruption of our product candidate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incident were to result in a loss of or damage to our data or applications, or inappropriate disclosure of personal, confidential or proprietary information, we could incur liability and the further development of any of our product candidates could be delayed. In addition, our liability and cyber insurance may not be sufficient in type or amount to cover us against claims related to security incidents, cyber-attacks or other related liabilities.</w:t>
      </w:r>
    </w:p>
    <w:p>
      <w:pPr>
        <w:spacing w:after="0" w:line="80" w:lineRule="exact"/>
        <w:rPr>
          <w:sz w:val="20"/>
          <w:szCs w:val="20"/>
          <w:color w:val="auto"/>
        </w:rPr>
      </w:pPr>
    </w:p>
    <w:p>
      <w:pPr>
        <w:ind w:right="20"/>
        <w:spacing w:after="0" w:line="243" w:lineRule="auto"/>
        <w:rPr>
          <w:sz w:val="20"/>
          <w:szCs w:val="20"/>
          <w:color w:val="auto"/>
        </w:rPr>
      </w:pPr>
      <w:r>
        <w:rPr>
          <w:rFonts w:ascii="Arial" w:cs="Arial" w:eastAsia="Arial" w:hAnsi="Arial"/>
          <w:sz w:val="19"/>
          <w:szCs w:val="19"/>
          <w:color w:val="auto"/>
        </w:rPr>
        <w:t>Cyberattacks are increasing in their frequency, sophistication, and intensity, and are becoming increasingly difficult to detect. They are often carried out by well-resourced and skilled parties, including nation states, organized crime groups, “hacktivists” and employees or contractors acting carelessly or with malicious intent. Cyber-attacks include deployment of harmful malware and key loggers, ransomware, denial-of-service attacks, malicious websites, the use of social engineering (including phishing attacks), and other means to affect the confidentiality, integrity and availability of our technology systems and data. Cyber-attacks also include manufacturing, hardware or software supply chain attacks, which could cause a delay in the manufacturing of products or products produced for contract manufacturing or lead to a data privacy or security incident. Our business partners face similar risks, and any security incident related their systems could adversely affect our security or the security of our systems or data. In addition, our increased use of cloud technologies heightens these third party and other operational risks, and any failure by cloud or other technology service providers to adequately safeguard their systems and prevent cyber-attacks could disrupt our operations and result in misappropriation, corruption, or loss of confidential or propriety information. Risk of cyber-attack is increased with employees working remotely. Remote work increases the risk we may be vulnerable to cybersecurity-related events such as phishing attacks and other security threats.</w:t>
      </w:r>
    </w:p>
    <w:p>
      <w:pPr>
        <w:spacing w:after="0" w:line="180" w:lineRule="exact"/>
        <w:rPr>
          <w:sz w:val="20"/>
          <w:szCs w:val="20"/>
          <w:color w:val="auto"/>
        </w:rPr>
      </w:pPr>
    </w:p>
    <w:p>
      <w:pPr>
        <w:spacing w:after="0" w:line="248" w:lineRule="auto"/>
        <w:rPr>
          <w:sz w:val="20"/>
          <w:szCs w:val="20"/>
          <w:color w:val="auto"/>
        </w:rPr>
      </w:pPr>
      <w:r>
        <w:rPr>
          <w:rFonts w:ascii="Arial" w:cs="Arial" w:eastAsia="Arial" w:hAnsi="Arial"/>
          <w:sz w:val="19"/>
          <w:szCs w:val="19"/>
          <w:color w:val="auto"/>
        </w:rPr>
        <w:t>Although we develop and maintain systems and controls designed to prevent these events from occurring, there can be no assurance that our internal information technology systems or those of our third-party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security incident, industrial espionage attacks or insider threat attacks which could result in financial, legal, business or reputational harm.</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If a material security incident related to our information technology systems or those of our vendors occurs, the market</w:t>
      </w:r>
    </w:p>
    <w:p>
      <w:pPr>
        <w:spacing w:after="0" w:line="24" w:lineRule="exact"/>
        <w:rPr>
          <w:sz w:val="20"/>
          <w:szCs w:val="20"/>
          <w:color w:val="auto"/>
        </w:rPr>
      </w:pPr>
    </w:p>
    <w:p>
      <w:pPr>
        <w:spacing w:after="0"/>
        <w:rPr>
          <w:sz w:val="20"/>
          <w:szCs w:val="20"/>
          <w:color w:val="auto"/>
        </w:rPr>
      </w:pPr>
      <w:r>
        <w:rPr>
          <w:rFonts w:ascii="Arial" w:cs="Arial" w:eastAsia="Arial" w:hAnsi="Arial"/>
          <w:sz w:val="19"/>
          <w:szCs w:val="19"/>
          <w:color w:val="auto"/>
        </w:rPr>
        <w:t>perception of the effectiveness of our cybersecurity measures could be harmed and our reputation and credibility could</w:t>
      </w:r>
    </w:p>
    <w:p>
      <w:pPr>
        <w:spacing w:after="0"/>
        <w:rPr>
          <w:sz w:val="20"/>
          <w:szCs w:val="20"/>
          <w:color w:val="auto"/>
        </w:rPr>
      </w:pPr>
      <w:r>
        <w:rPr>
          <w:rFonts w:ascii="Arial" w:cs="Arial" w:eastAsia="Arial" w:hAnsi="Arial"/>
          <w:sz w:val="19"/>
          <w:szCs w:val="19"/>
          <w:color w:val="auto"/>
        </w:rPr>
        <w:t>be damaged. We could be required to expend significant amounts of money and other resources to repair or replace</w:t>
      </w:r>
    </w:p>
    <w:p>
      <w:pPr>
        <w:spacing w:after="0"/>
        <w:rPr>
          <w:sz w:val="20"/>
          <w:szCs w:val="20"/>
          <w:color w:val="auto"/>
        </w:rPr>
      </w:pPr>
      <w:r>
        <w:rPr>
          <w:rFonts w:ascii="Arial" w:cs="Arial" w:eastAsia="Arial" w:hAnsi="Arial"/>
          <w:sz w:val="19"/>
          <w:szCs w:val="19"/>
          <w:color w:val="auto"/>
        </w:rPr>
        <w:t>information systems or networks, including costs to deploy additional personnel and protection technologies, train</w:t>
      </w:r>
    </w:p>
    <w:p>
      <w:pPr>
        <w:spacing w:after="0"/>
        <w:rPr>
          <w:sz w:val="20"/>
          <w:szCs w:val="20"/>
          <w:color w:val="auto"/>
        </w:rPr>
      </w:pPr>
      <w:r>
        <w:rPr>
          <w:rFonts w:ascii="Arial" w:cs="Arial" w:eastAsia="Arial" w:hAnsi="Arial"/>
          <w:sz w:val="19"/>
          <w:szCs w:val="19"/>
          <w:color w:val="auto"/>
        </w:rPr>
        <w:t>employees, and engage third-party experts and consultants, which could materially and adversely affect our business,</w:t>
      </w:r>
    </w:p>
    <w:p>
      <w:pPr>
        <w:spacing w:after="0"/>
        <w:rPr>
          <w:sz w:val="20"/>
          <w:szCs w:val="20"/>
          <w:color w:val="auto"/>
        </w:rPr>
      </w:pPr>
      <w:r>
        <w:rPr>
          <w:rFonts w:ascii="Arial" w:cs="Arial" w:eastAsia="Arial" w:hAnsi="Arial"/>
          <w:sz w:val="19"/>
          <w:szCs w:val="19"/>
          <w:color w:val="auto"/>
        </w:rPr>
        <w:t>financial condition and results of operations. In addition, we could be subject to regulatory actions and/or claims made</w:t>
      </w:r>
    </w:p>
    <w:p>
      <w:pPr>
        <w:spacing w:after="0"/>
        <w:rPr>
          <w:sz w:val="20"/>
          <w:szCs w:val="20"/>
          <w:color w:val="auto"/>
        </w:rPr>
      </w:pPr>
      <w:r>
        <w:rPr>
          <w:rFonts w:ascii="Arial" w:cs="Arial" w:eastAsia="Arial" w:hAnsi="Arial"/>
          <w:sz w:val="19"/>
          <w:szCs w:val="19"/>
          <w:color w:val="auto"/>
        </w:rPr>
        <w:t>by individuals and groups in private litigation involving privacy issues related to data collection and use practices and</w:t>
      </w:r>
    </w:p>
    <w:p>
      <w:pPr>
        <w:spacing w:after="0"/>
        <w:rPr>
          <w:sz w:val="20"/>
          <w:szCs w:val="20"/>
          <w:color w:val="auto"/>
        </w:rPr>
      </w:pPr>
      <w:r>
        <w:rPr>
          <w:rFonts w:ascii="Arial" w:cs="Arial" w:eastAsia="Arial" w:hAnsi="Arial"/>
          <w:sz w:val="18"/>
          <w:szCs w:val="18"/>
          <w:color w:val="auto"/>
        </w:rPr>
        <w:t>other data privacy laws and regulations, including claims for misuse or inappropriate disclosure of data, as well as unfair</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or deceptive practices.</w:t>
      </w:r>
    </w:p>
    <w:p>
      <w:pPr>
        <w:spacing w:after="0"/>
        <w:rPr>
          <w:sz w:val="20"/>
          <w:szCs w:val="20"/>
          <w:color w:val="auto"/>
        </w:rPr>
      </w:pPr>
      <w:r>
        <w:rPr>
          <w:rFonts w:ascii="Arial" w:cs="Arial" w:eastAsia="Arial" w:hAnsi="Arial"/>
          <w:sz w:val="19"/>
          <w:szCs w:val="19"/>
          <w:color w:val="auto"/>
        </w:rPr>
        <w:t>.</w:t>
      </w:r>
    </w:p>
    <w:p>
      <w:pPr>
        <w:ind w:right="320"/>
        <w:spacing w:after="0" w:line="265" w:lineRule="auto"/>
        <w:rPr>
          <w:sz w:val="20"/>
          <w:szCs w:val="20"/>
          <w:color w:val="auto"/>
        </w:rPr>
      </w:pPr>
      <w:r>
        <w:rPr>
          <w:rFonts w:ascii="Arial" w:cs="Arial" w:eastAsia="Arial" w:hAnsi="Arial"/>
          <w:sz w:val="19"/>
          <w:szCs w:val="19"/>
          <w:b w:val="1"/>
          <w:bCs w:val="1"/>
          <w:i w:val="1"/>
          <w:iCs w:val="1"/>
          <w:color w:val="auto"/>
        </w:rPr>
        <w:t>Our operations or those of the third parties upon whom we depend might be affected by the occurrence of a natural disaster, pandemic, war or other catastrophic event.</w:t>
      </w:r>
    </w:p>
    <w:p>
      <w:pPr>
        <w:spacing w:after="0" w:line="50" w:lineRule="exact"/>
        <w:rPr>
          <w:sz w:val="20"/>
          <w:szCs w:val="20"/>
          <w:color w:val="auto"/>
        </w:rPr>
      </w:pPr>
    </w:p>
    <w:p>
      <w:pPr>
        <w:spacing w:after="0" w:line="242" w:lineRule="auto"/>
        <w:rPr>
          <w:sz w:val="20"/>
          <w:szCs w:val="20"/>
          <w:color w:val="auto"/>
        </w:rPr>
      </w:pPr>
      <w:r>
        <w:rPr>
          <w:rFonts w:ascii="Arial" w:cs="Arial" w:eastAsia="Arial" w:hAnsi="Arial"/>
          <w:sz w:val="19"/>
          <w:szCs w:val="19"/>
          <w:color w:val="auto"/>
        </w:rPr>
        <w:t>We depend on our employees and consultants, CDMOs and CROs that we may use in the future, as well as regulatory agencies and other parties, for the continued operation of our business. While we maintain disaster recovery plans, they might not adequately protect us. Despite any precautions we take for natural disasters or other catastrophic events, these events, including terrorist attacks, pandemics, wars hurricanes, fire, floods and ice and snowstorms, could result in significant disruptions to our research and development, preclinical studies, clinical trials, and, ultimately, commercialization of our products. Long-term disruptions in the infrastructure caused by events, such as natural disasters, the outbreak of war, the escalation of hostilities and acts of terrorism or other “acts of God,” particularly involving cities in which we have offices, manufacturing or clinical trial sites, could adversely affect our businesses. For example, in late February 2022, Russian military forces launched significant military action against Ukraine, and sustained conflict and disruption in the region is likely. The impact to Ukraine, as well as actions taken by other countries, including new and stricter sanctions by Canada, the United Kingdom, the European Union, the United States and other countries and organizations against officials, individuals, regions, and industries in Russia, Ukraine and Belarus, and each country’s potential response to such sanctions, tensions, and military actions could have an adverse effect on the Company’s operations. These countries may impose further sanctions or other restrictive actions against governmental or other individuals or organizations in Russia or elsewhere. In addition, in October 2023, Hamas launched an attack on Israel, and Israel declared war on Hamas, with the armed conflict ongoing as of the date of this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68</w:t>
      </w:r>
    </w:p>
    <w:p>
      <w:pPr>
        <w:sectPr>
          <w:pgSz w:w="12240" w:h="15840" w:orient="portrait"/>
          <w:cols w:equalWidth="0" w:num="1">
            <w:col w:w="10060"/>
          </w:cols>
          <w:pgMar w:left="1080" w:top="1062" w:right="1100" w:bottom="173" w:gutter="0" w:footer="0" w:header="0"/>
        </w:sectPr>
      </w:pPr>
    </w:p>
    <w:bookmarkStart w:id="72" w:name="page73"/>
    <w:bookmarkEnd w:id="72"/>
    <w:p>
      <w:pPr>
        <w:ind w:right="80"/>
        <w:spacing w:after="0" w:line="248" w:lineRule="auto"/>
        <w:rPr>
          <w:sz w:val="20"/>
          <w:szCs w:val="20"/>
          <w:color w:val="auto"/>
        </w:rPr>
      </w:pPr>
      <w:r>
        <w:rPr>
          <w:rFonts w:ascii="Arial" w:cs="Arial" w:eastAsia="Arial" w:hAnsi="Arial"/>
          <w:sz w:val="19"/>
          <w:szCs w:val="19"/>
          <w:color w:val="auto"/>
        </w:rPr>
        <w:t>filing. The effects of disruptive events could affect the global economy and financial and commodities markets in ways that cannot necessarily be foreseen at the present time. Although we carry business interruption insurance policies and typically have provisions in our contracts that protect us in certain events, our coverage might not respond or be adequate to compensate us for all losses that may occur. Any natural disaster or catastrophic event affecting us, our CDMOs or CROs, regulatory agencies or other parties with which we are engaged could have a significant negative impact on our operations and financial performance.</w:t>
      </w:r>
    </w:p>
    <w:p>
      <w:pPr>
        <w:spacing w:after="0" w:line="8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disclosure controls and procedures may not prevent or detect all errors or acts of fraud.</w:t>
      </w:r>
    </w:p>
    <w:p>
      <w:pPr>
        <w:spacing w:after="0" w:line="116" w:lineRule="exact"/>
        <w:rPr>
          <w:sz w:val="20"/>
          <w:szCs w:val="20"/>
          <w:color w:val="auto"/>
        </w:rPr>
      </w:pPr>
    </w:p>
    <w:p>
      <w:pPr>
        <w:spacing w:after="0" w:line="243" w:lineRule="auto"/>
        <w:rPr>
          <w:sz w:val="20"/>
          <w:szCs w:val="20"/>
          <w:color w:val="auto"/>
        </w:rPr>
      </w:pPr>
      <w:r>
        <w:rPr>
          <w:rFonts w:ascii="Arial" w:cs="Arial" w:eastAsia="Arial" w:hAnsi="Arial"/>
          <w:sz w:val="19"/>
          <w:szCs w:val="19"/>
          <w:color w:val="auto"/>
        </w:rPr>
        <w:t>As a public company, 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91" w:lineRule="exact"/>
        <w:rPr>
          <w:sz w:val="20"/>
          <w:szCs w:val="20"/>
          <w:color w:val="auto"/>
        </w:rPr>
      </w:pPr>
    </w:p>
    <w:p>
      <w:pPr>
        <w:ind w:right="140"/>
        <w:spacing w:after="0" w:line="255" w:lineRule="auto"/>
        <w:rPr>
          <w:sz w:val="20"/>
          <w:szCs w:val="20"/>
          <w:color w:val="auto"/>
        </w:rPr>
      </w:pPr>
      <w:r>
        <w:rPr>
          <w:rFonts w:ascii="Arial" w:cs="Arial" w:eastAsia="Arial" w:hAnsi="Arial"/>
          <w:sz w:val="19"/>
          <w:szCs w:val="19"/>
          <w:b w:val="1"/>
          <w:bCs w:val="1"/>
          <w:i w:val="1"/>
          <w:iCs w:val="1"/>
          <w:color w:val="auto"/>
        </w:rPr>
        <w:t>If we identify material weaknesses in our internal control over financial reporting in the future or otherwise fail to maintain an effective system of internal controls, we may not be able to accurately or timely report our financial condition or results of operations, which may adversely affect our business and the market price of our common stock.</w:t>
      </w:r>
    </w:p>
    <w:p>
      <w:pPr>
        <w:spacing w:after="0" w:line="61" w:lineRule="exact"/>
        <w:rPr>
          <w:sz w:val="20"/>
          <w:szCs w:val="20"/>
          <w:color w:val="auto"/>
        </w:rPr>
      </w:pPr>
    </w:p>
    <w:p>
      <w:pPr>
        <w:ind w:right="20"/>
        <w:spacing w:after="0" w:line="250" w:lineRule="auto"/>
        <w:rPr>
          <w:sz w:val="20"/>
          <w:szCs w:val="20"/>
          <w:color w:val="auto"/>
        </w:rPr>
      </w:pPr>
      <w:r>
        <w:rPr>
          <w:rFonts w:ascii="Arial" w:cs="Arial" w:eastAsia="Arial" w:hAnsi="Arial"/>
          <w:sz w:val="19"/>
          <w:szCs w:val="19"/>
          <w:color w:val="auto"/>
        </w:rPr>
        <w:t>We are subject to the requirements of the Sarbanes-Oxley Act and the applicable SEC rules and regulations that require an annual management report on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74" w:lineRule="exact"/>
        <w:rPr>
          <w:sz w:val="20"/>
          <w:szCs w:val="20"/>
          <w:color w:val="auto"/>
        </w:rPr>
      </w:pPr>
    </w:p>
    <w:p>
      <w:pPr>
        <w:ind w:right="80"/>
        <w:spacing w:after="0" w:line="244" w:lineRule="auto"/>
        <w:rPr>
          <w:sz w:val="20"/>
          <w:szCs w:val="20"/>
          <w:color w:val="auto"/>
        </w:rPr>
      </w:pPr>
      <w:r>
        <w:rPr>
          <w:rFonts w:ascii="Arial" w:cs="Arial" w:eastAsia="Arial" w:hAnsi="Arial"/>
          <w:sz w:val="19"/>
          <w:szCs w:val="19"/>
          <w:color w:val="auto"/>
        </w:rPr>
        <w:t>We cannot assure you that we will not identify material weaknesses in our internal control over financial reporting. In addition, our independent registered public accounting firm has not performed an evaluation of our internal control over financial reporting in accordance with the provisions of the SOX Act because no such evaluation has been required. Had our independent registered public accounting firm performed an evaluation of our internal control over financial reporting in accordance with the provisions of the SOX Act, one or more material weaknesses may have been identified. If future material weaknesses are identified in our internal control over financial reporting, or if we otherwise fail to maintain an effective system of internal controls, the accuracy and timing of our financial reporting may be adversely affected, we may be unable to maintain compliance with securities law requirements regarding timely filing of periodic reports in addition to applicable stock exchange listing requirements, investors may lose confidence in our financial reporting, and the market price of our common stock may decline as a result.</w:t>
      </w:r>
    </w:p>
    <w:p>
      <w:pPr>
        <w:spacing w:after="0" w:line="88" w:lineRule="exact"/>
        <w:rPr>
          <w:sz w:val="20"/>
          <w:szCs w:val="20"/>
          <w:color w:val="auto"/>
        </w:rPr>
      </w:pPr>
    </w:p>
    <w:p>
      <w:pPr>
        <w:ind w:right="180"/>
        <w:spacing w:after="0" w:line="255" w:lineRule="auto"/>
        <w:rPr>
          <w:sz w:val="20"/>
          <w:szCs w:val="20"/>
          <w:color w:val="auto"/>
        </w:rPr>
      </w:pPr>
      <w:r>
        <w:rPr>
          <w:rFonts w:ascii="Arial" w:cs="Arial" w:eastAsia="Arial" w:hAnsi="Arial"/>
          <w:sz w:val="19"/>
          <w:szCs w:val="19"/>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61" w:lineRule="exact"/>
        <w:rPr>
          <w:sz w:val="20"/>
          <w:szCs w:val="20"/>
          <w:color w:val="auto"/>
        </w:rPr>
      </w:pPr>
    </w:p>
    <w:p>
      <w:pPr>
        <w:ind w:right="160"/>
        <w:spacing w:after="0" w:line="245" w:lineRule="auto"/>
        <w:rPr>
          <w:sz w:val="20"/>
          <w:szCs w:val="20"/>
          <w:color w:val="auto"/>
        </w:rPr>
      </w:pPr>
      <w:r>
        <w:rPr>
          <w:rFonts w:ascii="Arial" w:cs="Arial" w:eastAsia="Arial" w:hAnsi="Arial"/>
          <w:sz w:val="19"/>
          <w:szCs w:val="19"/>
          <w:color w:val="auto"/>
        </w:rPr>
        <w:t>Effective internal control over financial reporting is necessary for us to provide reliable financial reports and, together with adequate disclosure controls and procedures, is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harm our business and have a negative effect on the trading price of our stock.</w:t>
      </w:r>
    </w:p>
    <w:p>
      <w:pPr>
        <w:spacing w:after="0" w:line="7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are required to disclose changes made in our internal controls and procedures on a quarterly basis and our management are required to assess the effectiveness of these controls annually. However, for as long as we are an EGC under the JOBS Act, our independent registered public accounting firm will not be required to attest to the effectiveness of our internal control over financial reporting pursuant to Section 404. We could be an EGC for up to five years. Our assessment of internal controls and procedures may not detect material weaknesses in our internal control over financial reporting. Material weaknesses in our internal control over financial reporting may go undetected and</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69</w:t>
      </w:r>
    </w:p>
    <w:p>
      <w:pPr>
        <w:sectPr>
          <w:pgSz w:w="12240" w:h="15840" w:orient="portrait"/>
          <w:cols w:equalWidth="0" w:num="1">
            <w:col w:w="10080"/>
          </w:cols>
          <w:pgMar w:left="1080" w:top="1062" w:right="1080" w:bottom="173" w:gutter="0" w:footer="0" w:header="0"/>
        </w:sectPr>
      </w:pPr>
    </w:p>
    <w:bookmarkStart w:id="73" w:name="page74"/>
    <w:bookmarkEnd w:id="73"/>
    <w:p>
      <w:pPr>
        <w:ind w:right="180"/>
        <w:spacing w:after="0" w:line="281" w:lineRule="auto"/>
        <w:rPr>
          <w:sz w:val="20"/>
          <w:szCs w:val="20"/>
          <w:color w:val="auto"/>
        </w:rPr>
      </w:pPr>
      <w:r>
        <w:rPr>
          <w:rFonts w:ascii="Arial" w:cs="Arial" w:eastAsia="Arial" w:hAnsi="Arial"/>
          <w:sz w:val="19"/>
          <w:szCs w:val="19"/>
          <w:color w:val="auto"/>
        </w:rPr>
        <w:t>could lead to financial statement restatements and require us to incur the expense of remediation, which could have a negative effect on the trading price of our stock.</w:t>
      </w: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Legal and Compliance Matters</w:t>
      </w:r>
    </w:p>
    <w:p>
      <w:pPr>
        <w:spacing w:after="0" w:line="128" w:lineRule="exact"/>
        <w:rPr>
          <w:sz w:val="20"/>
          <w:szCs w:val="20"/>
          <w:color w:val="auto"/>
        </w:rPr>
      </w:pPr>
    </w:p>
    <w:p>
      <w:pPr>
        <w:ind w:right="440"/>
        <w:spacing w:after="0" w:line="263" w:lineRule="auto"/>
        <w:rPr>
          <w:sz w:val="20"/>
          <w:szCs w:val="20"/>
          <w:color w:val="auto"/>
        </w:rPr>
      </w:pPr>
      <w:r>
        <w:rPr>
          <w:rFonts w:ascii="Arial" w:cs="Arial" w:eastAsia="Arial" w:hAnsi="Arial"/>
          <w:sz w:val="19"/>
          <w:szCs w:val="19"/>
          <w:b w:val="1"/>
          <w:bCs w:val="1"/>
          <w:i w:val="1"/>
          <w:iCs w:val="1"/>
          <w:color w:val="auto"/>
        </w:rPr>
        <w:t>We face potential product liability exposure, and if successful claims are brought against us, we may incur substantial liability and have to limit the commercialization of any approved products and/or our product candidates.</w:t>
      </w:r>
    </w:p>
    <w:p>
      <w:pPr>
        <w:spacing w:after="0" w:line="53" w:lineRule="exact"/>
        <w:rPr>
          <w:sz w:val="20"/>
          <w:szCs w:val="20"/>
          <w:color w:val="auto"/>
        </w:rPr>
      </w:pPr>
    </w:p>
    <w:p>
      <w:pPr>
        <w:ind w:right="20"/>
        <w:spacing w:after="0" w:line="243" w:lineRule="auto"/>
        <w:rPr>
          <w:sz w:val="20"/>
          <w:szCs w:val="20"/>
          <w:color w:val="auto"/>
        </w:rPr>
      </w:pPr>
      <w:r>
        <w:rPr>
          <w:rFonts w:ascii="Arial" w:cs="Arial" w:eastAsia="Arial" w:hAnsi="Arial"/>
          <w:sz w:val="19"/>
          <w:szCs w:val="19"/>
          <w:color w:val="auto"/>
        </w:rPr>
        <w:t>The use of our product candidates in clinical trials, and the sale of any product for which we obtain regulatory approval, exposes us to the risk of product liability claims. We face inherent risk of product liability related to the testing of our product candidates in human clinical trials, including liability relating to the actions and negligence of our investigators, and will face an even greater risk if we commercially sell any product candidates that we may develop. For example, we may be sued if any product candidate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Product liability claims might be brought against us by consumers, healthcare providers or others using, administering or selling our products. If we cannot successfully defend ourselves against these claims, we will incur substantial liabilities or be required to limit commercialization of our product candidates. Even successful defense would require significant financial and management resources. Regardless of merit or eventual outcome, liability claims may result in:</w:t>
      </w:r>
    </w:p>
    <w:p>
      <w:pPr>
        <w:spacing w:after="0" w:line="100" w:lineRule="exact"/>
        <w:rPr>
          <w:sz w:val="20"/>
          <w:szCs w:val="20"/>
          <w:color w:val="auto"/>
        </w:rPr>
      </w:pPr>
    </w:p>
    <w:p>
      <w:pPr>
        <w:ind w:left="720" w:hanging="360"/>
        <w:spacing w:after="0"/>
        <w:tabs>
          <w:tab w:leader="none" w:pos="720" w:val="left"/>
        </w:tabs>
        <w:numPr>
          <w:ilvl w:val="0"/>
          <w:numId w:val="54"/>
        </w:numPr>
        <w:rPr>
          <w:rFonts w:ascii="Arial" w:cs="Arial" w:eastAsia="Arial" w:hAnsi="Arial"/>
          <w:sz w:val="19"/>
          <w:szCs w:val="19"/>
          <w:color w:val="auto"/>
        </w:rPr>
      </w:pPr>
      <w:r>
        <w:rPr>
          <w:rFonts w:ascii="Arial" w:cs="Arial" w:eastAsia="Arial" w:hAnsi="Arial"/>
          <w:sz w:val="19"/>
          <w:szCs w:val="19"/>
          <w:color w:val="auto"/>
        </w:rPr>
        <w:t>loss of revenue from decreased demand for our products and/or product candidates;</w:t>
      </w:r>
    </w:p>
    <w:p>
      <w:pPr>
        <w:spacing w:after="0" w:line="132" w:lineRule="exact"/>
        <w:rPr>
          <w:rFonts w:ascii="Arial" w:cs="Arial" w:eastAsia="Arial" w:hAnsi="Arial"/>
          <w:sz w:val="19"/>
          <w:szCs w:val="19"/>
          <w:color w:val="auto"/>
        </w:rPr>
      </w:pPr>
    </w:p>
    <w:p>
      <w:pPr>
        <w:ind w:left="720" w:hanging="360"/>
        <w:spacing w:after="0"/>
        <w:tabs>
          <w:tab w:leader="none" w:pos="720" w:val="left"/>
        </w:tabs>
        <w:numPr>
          <w:ilvl w:val="0"/>
          <w:numId w:val="54"/>
        </w:numPr>
        <w:rPr>
          <w:rFonts w:ascii="Arial" w:cs="Arial" w:eastAsia="Arial" w:hAnsi="Arial"/>
          <w:sz w:val="19"/>
          <w:szCs w:val="19"/>
          <w:color w:val="auto"/>
        </w:rPr>
      </w:pPr>
      <w:r>
        <w:rPr>
          <w:rFonts w:ascii="Arial" w:cs="Arial" w:eastAsia="Arial" w:hAnsi="Arial"/>
          <w:sz w:val="19"/>
          <w:szCs w:val="19"/>
          <w:color w:val="auto"/>
        </w:rPr>
        <w:t>impairment of our business reputation or financial stability;</w:t>
      </w:r>
    </w:p>
    <w:p>
      <w:pPr>
        <w:spacing w:after="0" w:line="132" w:lineRule="exact"/>
        <w:rPr>
          <w:rFonts w:ascii="Arial" w:cs="Arial" w:eastAsia="Arial" w:hAnsi="Arial"/>
          <w:sz w:val="19"/>
          <w:szCs w:val="19"/>
          <w:color w:val="auto"/>
        </w:rPr>
      </w:pPr>
    </w:p>
    <w:p>
      <w:pPr>
        <w:ind w:left="720" w:hanging="360"/>
        <w:spacing w:after="0"/>
        <w:tabs>
          <w:tab w:leader="none" w:pos="720" w:val="left"/>
        </w:tabs>
        <w:numPr>
          <w:ilvl w:val="0"/>
          <w:numId w:val="54"/>
        </w:numPr>
        <w:rPr>
          <w:rFonts w:ascii="Arial" w:cs="Arial" w:eastAsia="Arial" w:hAnsi="Arial"/>
          <w:sz w:val="19"/>
          <w:szCs w:val="19"/>
          <w:color w:val="auto"/>
        </w:rPr>
      </w:pPr>
      <w:r>
        <w:rPr>
          <w:rFonts w:ascii="Arial" w:cs="Arial" w:eastAsia="Arial" w:hAnsi="Arial"/>
          <w:sz w:val="19"/>
          <w:szCs w:val="19"/>
          <w:color w:val="auto"/>
        </w:rPr>
        <w:t>costs of related litigation;</w:t>
      </w:r>
    </w:p>
    <w:p>
      <w:pPr>
        <w:spacing w:after="0" w:line="132" w:lineRule="exact"/>
        <w:rPr>
          <w:rFonts w:ascii="Arial" w:cs="Arial" w:eastAsia="Arial" w:hAnsi="Arial"/>
          <w:sz w:val="19"/>
          <w:szCs w:val="19"/>
          <w:color w:val="auto"/>
        </w:rPr>
      </w:pPr>
    </w:p>
    <w:p>
      <w:pPr>
        <w:ind w:left="720" w:hanging="360"/>
        <w:spacing w:after="0"/>
        <w:tabs>
          <w:tab w:leader="none" w:pos="720" w:val="left"/>
        </w:tabs>
        <w:numPr>
          <w:ilvl w:val="0"/>
          <w:numId w:val="54"/>
        </w:numPr>
        <w:rPr>
          <w:rFonts w:ascii="Arial" w:cs="Arial" w:eastAsia="Arial" w:hAnsi="Arial"/>
          <w:sz w:val="19"/>
          <w:szCs w:val="19"/>
          <w:color w:val="auto"/>
        </w:rPr>
      </w:pPr>
      <w:r>
        <w:rPr>
          <w:rFonts w:ascii="Arial" w:cs="Arial" w:eastAsia="Arial" w:hAnsi="Arial"/>
          <w:sz w:val="19"/>
          <w:szCs w:val="19"/>
          <w:color w:val="auto"/>
        </w:rPr>
        <w:t>substantial monetary awards to patients or other claimants;</w:t>
      </w:r>
    </w:p>
    <w:p>
      <w:pPr>
        <w:spacing w:after="0" w:line="132" w:lineRule="exact"/>
        <w:rPr>
          <w:rFonts w:ascii="Arial" w:cs="Arial" w:eastAsia="Arial" w:hAnsi="Arial"/>
          <w:sz w:val="19"/>
          <w:szCs w:val="19"/>
          <w:color w:val="auto"/>
        </w:rPr>
      </w:pPr>
    </w:p>
    <w:p>
      <w:pPr>
        <w:ind w:left="720" w:hanging="360"/>
        <w:spacing w:after="0"/>
        <w:tabs>
          <w:tab w:leader="none" w:pos="720" w:val="left"/>
        </w:tabs>
        <w:numPr>
          <w:ilvl w:val="0"/>
          <w:numId w:val="54"/>
        </w:numPr>
        <w:rPr>
          <w:rFonts w:ascii="Arial" w:cs="Arial" w:eastAsia="Arial" w:hAnsi="Arial"/>
          <w:sz w:val="19"/>
          <w:szCs w:val="19"/>
          <w:color w:val="auto"/>
        </w:rPr>
      </w:pPr>
      <w:r>
        <w:rPr>
          <w:rFonts w:ascii="Arial" w:cs="Arial" w:eastAsia="Arial" w:hAnsi="Arial"/>
          <w:sz w:val="19"/>
          <w:szCs w:val="19"/>
          <w:color w:val="auto"/>
        </w:rPr>
        <w:t>diversion of management attention;</w:t>
      </w:r>
    </w:p>
    <w:p>
      <w:pPr>
        <w:spacing w:after="0" w:line="132" w:lineRule="exact"/>
        <w:rPr>
          <w:rFonts w:ascii="Arial" w:cs="Arial" w:eastAsia="Arial" w:hAnsi="Arial"/>
          <w:sz w:val="19"/>
          <w:szCs w:val="19"/>
          <w:color w:val="auto"/>
        </w:rPr>
      </w:pPr>
    </w:p>
    <w:p>
      <w:pPr>
        <w:ind w:left="720" w:hanging="360"/>
        <w:spacing w:after="0"/>
        <w:tabs>
          <w:tab w:leader="none" w:pos="720" w:val="left"/>
        </w:tabs>
        <w:numPr>
          <w:ilvl w:val="0"/>
          <w:numId w:val="54"/>
        </w:numPr>
        <w:rPr>
          <w:rFonts w:ascii="Arial" w:cs="Arial" w:eastAsia="Arial" w:hAnsi="Arial"/>
          <w:sz w:val="19"/>
          <w:szCs w:val="19"/>
          <w:color w:val="auto"/>
        </w:rPr>
      </w:pPr>
      <w:r>
        <w:rPr>
          <w:rFonts w:ascii="Arial" w:cs="Arial" w:eastAsia="Arial" w:hAnsi="Arial"/>
          <w:sz w:val="19"/>
          <w:szCs w:val="19"/>
          <w:color w:val="auto"/>
        </w:rPr>
        <w:t>withdrawal of clinical trial participants and potential termination of clinical trial sites or entire clinical programs;</w:t>
      </w:r>
    </w:p>
    <w:p>
      <w:pPr>
        <w:spacing w:after="0" w:line="132" w:lineRule="exact"/>
        <w:rPr>
          <w:rFonts w:ascii="Arial" w:cs="Arial" w:eastAsia="Arial" w:hAnsi="Arial"/>
          <w:sz w:val="19"/>
          <w:szCs w:val="19"/>
          <w:color w:val="auto"/>
        </w:rPr>
      </w:pPr>
    </w:p>
    <w:p>
      <w:pPr>
        <w:ind w:left="720" w:hanging="360"/>
        <w:spacing w:after="0"/>
        <w:tabs>
          <w:tab w:leader="none" w:pos="720"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the inability to commercialize our product candidates;</w:t>
      </w:r>
    </w:p>
    <w:p>
      <w:pPr>
        <w:spacing w:after="0" w:line="132" w:lineRule="exact"/>
        <w:rPr>
          <w:rFonts w:ascii="Arial" w:cs="Arial" w:eastAsia="Arial" w:hAnsi="Arial"/>
          <w:sz w:val="19"/>
          <w:szCs w:val="19"/>
          <w:color w:val="auto"/>
        </w:rPr>
      </w:pPr>
    </w:p>
    <w:p>
      <w:pPr>
        <w:ind w:left="720" w:hanging="360"/>
        <w:spacing w:after="0"/>
        <w:tabs>
          <w:tab w:leader="none" w:pos="720" w:val="left"/>
        </w:tabs>
        <w:numPr>
          <w:ilvl w:val="0"/>
          <w:numId w:val="54"/>
        </w:numPr>
        <w:rPr>
          <w:rFonts w:ascii="Arial" w:cs="Arial" w:eastAsia="Arial" w:hAnsi="Arial"/>
          <w:sz w:val="19"/>
          <w:szCs w:val="19"/>
          <w:color w:val="auto"/>
        </w:rPr>
      </w:pPr>
      <w:r>
        <w:rPr>
          <w:rFonts w:ascii="Arial" w:cs="Arial" w:eastAsia="Arial" w:hAnsi="Arial"/>
          <w:sz w:val="19"/>
          <w:szCs w:val="19"/>
          <w:color w:val="auto"/>
        </w:rPr>
        <w:t>significant negative media attention;</w:t>
      </w:r>
    </w:p>
    <w:p>
      <w:pPr>
        <w:spacing w:after="0" w:line="132" w:lineRule="exact"/>
        <w:rPr>
          <w:rFonts w:ascii="Arial" w:cs="Arial" w:eastAsia="Arial" w:hAnsi="Arial"/>
          <w:sz w:val="19"/>
          <w:szCs w:val="19"/>
          <w:color w:val="auto"/>
        </w:rPr>
      </w:pPr>
    </w:p>
    <w:p>
      <w:pPr>
        <w:ind w:left="720" w:hanging="360"/>
        <w:spacing w:after="0"/>
        <w:tabs>
          <w:tab w:leader="none" w:pos="720" w:val="left"/>
        </w:tabs>
        <w:numPr>
          <w:ilvl w:val="0"/>
          <w:numId w:val="54"/>
        </w:numPr>
        <w:rPr>
          <w:rFonts w:ascii="Arial" w:cs="Arial" w:eastAsia="Arial" w:hAnsi="Arial"/>
          <w:sz w:val="19"/>
          <w:szCs w:val="19"/>
          <w:color w:val="auto"/>
        </w:rPr>
      </w:pPr>
      <w:r>
        <w:rPr>
          <w:rFonts w:ascii="Arial" w:cs="Arial" w:eastAsia="Arial" w:hAnsi="Arial"/>
          <w:sz w:val="19"/>
          <w:szCs w:val="19"/>
          <w:color w:val="auto"/>
        </w:rPr>
        <w:t>decreases in our stock price;</w:t>
      </w:r>
    </w:p>
    <w:p>
      <w:pPr>
        <w:spacing w:after="0" w:line="132" w:lineRule="exact"/>
        <w:rPr>
          <w:rFonts w:ascii="Arial" w:cs="Arial" w:eastAsia="Arial" w:hAnsi="Arial"/>
          <w:sz w:val="19"/>
          <w:szCs w:val="19"/>
          <w:color w:val="auto"/>
        </w:rPr>
      </w:pPr>
    </w:p>
    <w:p>
      <w:pPr>
        <w:ind w:left="720" w:hanging="360"/>
        <w:spacing w:after="0"/>
        <w:tabs>
          <w:tab w:leader="none" w:pos="720" w:val="left"/>
        </w:tabs>
        <w:numPr>
          <w:ilvl w:val="0"/>
          <w:numId w:val="54"/>
        </w:numPr>
        <w:rPr>
          <w:rFonts w:ascii="Arial" w:cs="Arial" w:eastAsia="Arial" w:hAnsi="Arial"/>
          <w:sz w:val="19"/>
          <w:szCs w:val="19"/>
          <w:color w:val="auto"/>
        </w:rPr>
      </w:pPr>
      <w:r>
        <w:rPr>
          <w:rFonts w:ascii="Arial" w:cs="Arial" w:eastAsia="Arial" w:hAnsi="Arial"/>
          <w:sz w:val="19"/>
          <w:szCs w:val="19"/>
          <w:color w:val="auto"/>
        </w:rPr>
        <w:t>initiation of investigations and enforcement actions by regulators; and</w:t>
      </w:r>
    </w:p>
    <w:p>
      <w:pPr>
        <w:spacing w:after="0" w:line="132" w:lineRule="exact"/>
        <w:rPr>
          <w:rFonts w:ascii="Arial" w:cs="Arial" w:eastAsia="Arial" w:hAnsi="Arial"/>
          <w:sz w:val="19"/>
          <w:szCs w:val="19"/>
          <w:color w:val="auto"/>
        </w:rPr>
      </w:pPr>
    </w:p>
    <w:p>
      <w:pPr>
        <w:ind w:left="720" w:hanging="360"/>
        <w:spacing w:after="0" w:line="281" w:lineRule="auto"/>
        <w:tabs>
          <w:tab w:leader="none" w:pos="720" w:val="left"/>
        </w:tabs>
        <w:numPr>
          <w:ilvl w:val="0"/>
          <w:numId w:val="54"/>
        </w:numPr>
        <w:rPr>
          <w:rFonts w:ascii="Arial" w:cs="Arial" w:eastAsia="Arial" w:hAnsi="Arial"/>
          <w:sz w:val="19"/>
          <w:szCs w:val="19"/>
          <w:color w:val="auto"/>
        </w:rPr>
      </w:pPr>
      <w:r>
        <w:rPr>
          <w:rFonts w:ascii="Arial" w:cs="Arial" w:eastAsia="Arial" w:hAnsi="Arial"/>
          <w:sz w:val="19"/>
          <w:szCs w:val="19"/>
          <w:color w:val="auto"/>
        </w:rPr>
        <w:t>product recalls, withdrawals or labeling, marketing or promotional restrictions, including withdrawal of marketing approval.</w:t>
      </w:r>
    </w:p>
    <w:p>
      <w:pPr>
        <w:spacing w:after="0" w:line="45" w:lineRule="exact"/>
        <w:rPr>
          <w:sz w:val="20"/>
          <w:szCs w:val="20"/>
          <w:color w:val="auto"/>
        </w:rPr>
      </w:pPr>
    </w:p>
    <w:p>
      <w:pPr>
        <w:ind w:right="120"/>
        <w:spacing w:after="0" w:line="243" w:lineRule="auto"/>
        <w:rPr>
          <w:sz w:val="20"/>
          <w:szCs w:val="20"/>
          <w:color w:val="auto"/>
        </w:rPr>
      </w:pPr>
      <w:r>
        <w:rPr>
          <w:rFonts w:ascii="Arial" w:cs="Arial" w:eastAsia="Arial" w:hAnsi="Arial"/>
          <w:sz w:val="19"/>
          <w:szCs w:val="19"/>
          <w:color w:val="auto"/>
        </w:rPr>
        <w:t>We believe we have sufficient insurance coverage in place for our business operations. However, our insurance coverage may not reimburse us or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We intend to expand our insurance coverage to include the sale of commercial products if we obtain FDA or comparable foreign regulatory approval for our product candidates in development, but we may be unable to obtain commercially reasonable product liability insurance for any products approved for marketing, or at all. Failure to obtain and retain sufficient product liability insurance at an acceptable cost could prevent or inhibit the commercialization of products we develop. On occasion, large judgments have been awarded in class action lawsuits based on therapeutics that had unanticipated side effects. A successful product liability claim or series of claims brought against us could cause our stock price to fall and, if judgments exceed our insurance coverage, could decrease our cash, and materially harm our business, financial condition, results of operations, stock price and prospects.</w:t>
      </w:r>
    </w:p>
    <w:p>
      <w:pPr>
        <w:spacing w:after="0" w:line="91" w:lineRule="exact"/>
        <w:rPr>
          <w:sz w:val="20"/>
          <w:szCs w:val="20"/>
          <w:color w:val="auto"/>
        </w:rPr>
      </w:pPr>
    </w:p>
    <w:p>
      <w:pPr>
        <w:spacing w:after="0" w:line="251" w:lineRule="auto"/>
        <w:rPr>
          <w:sz w:val="20"/>
          <w:szCs w:val="20"/>
          <w:color w:val="auto"/>
        </w:rPr>
      </w:pPr>
      <w:r>
        <w:rPr>
          <w:rFonts w:ascii="Arial" w:cs="Arial" w:eastAsia="Arial" w:hAnsi="Arial"/>
          <w:sz w:val="19"/>
          <w:szCs w:val="19"/>
          <w:b w:val="1"/>
          <w:bCs w:val="1"/>
          <w:i w:val="1"/>
          <w:iCs w:val="1"/>
          <w:color w:val="auto"/>
        </w:rPr>
        <w:t>We are subject to the U.S. Foreign Corrupt Practices Act and other anti-corruption laws, as well as import and export control laws, customs laws, sanctions laws and other laws governing our operations. If we fail to comply with these laws, we could be subject to civil or criminal penalties, other remedial measures, and legal expenses, which could adversely affect our business, financial condition, results of operations, stock price and prospects.</w:t>
      </w:r>
    </w:p>
    <w:p>
      <w:pPr>
        <w:spacing w:after="0" w:line="66" w:lineRule="exact"/>
        <w:rPr>
          <w:sz w:val="20"/>
          <w:szCs w:val="20"/>
          <w:color w:val="auto"/>
        </w:rPr>
      </w:pPr>
    </w:p>
    <w:p>
      <w:pPr>
        <w:ind w:right="20"/>
        <w:spacing w:after="0" w:line="250" w:lineRule="auto"/>
        <w:rPr>
          <w:sz w:val="20"/>
          <w:szCs w:val="20"/>
          <w:color w:val="auto"/>
        </w:rPr>
      </w:pPr>
      <w:r>
        <w:rPr>
          <w:rFonts w:ascii="Arial" w:cs="Arial" w:eastAsia="Arial" w:hAnsi="Arial"/>
          <w:sz w:val="19"/>
          <w:szCs w:val="19"/>
          <w:color w:val="auto"/>
        </w:rPr>
        <w:t>Our operations are subject to anti-corruption laws, including the Foreign Corrupt Practices Act (FCPA), and other anti-corruption laws that apply in countries where we do business. The FCPA and these other laws generally prohibit us and our employees and intermediaries from bribing, being bribed or making other prohibited payments to government officials or other persons to obtain or retain business or gain some other business advantage. We also may participate in collaborations and relationships with third parties whose actions, if non-compliant, could potentially subject us to</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70</w:t>
      </w:r>
    </w:p>
    <w:p>
      <w:pPr>
        <w:sectPr>
          <w:pgSz w:w="12240" w:h="15840" w:orient="portrait"/>
          <w:cols w:equalWidth="0" w:num="1">
            <w:col w:w="10060"/>
          </w:cols>
          <w:pgMar w:left="1080" w:top="1062" w:right="1100" w:bottom="173" w:gutter="0" w:footer="0" w:header="0"/>
        </w:sectPr>
      </w:pPr>
    </w:p>
    <w:bookmarkStart w:id="74" w:name="page75"/>
    <w:bookmarkEnd w:id="74"/>
    <w:p>
      <w:pPr>
        <w:ind w:right="120"/>
        <w:spacing w:after="0" w:line="260" w:lineRule="auto"/>
        <w:rPr>
          <w:sz w:val="20"/>
          <w:szCs w:val="20"/>
          <w:color w:val="auto"/>
        </w:rPr>
      </w:pPr>
      <w:r>
        <w:rPr>
          <w:rFonts w:ascii="Arial" w:cs="Arial" w:eastAsia="Arial" w:hAnsi="Arial"/>
          <w:sz w:val="19"/>
          <w:szCs w:val="19"/>
          <w:color w:val="auto"/>
        </w:rPr>
        <w:t>liability under the FCPA or local anti-corruption laws. In addition, we cannot predict the nature, scope or effect of future regulatory requirements to which our international operations might be subject or the manner in which existing laws might be administered or interpreted.</w:t>
      </w:r>
    </w:p>
    <w:p>
      <w:pPr>
        <w:spacing w:after="0" w:line="65" w:lineRule="exact"/>
        <w:rPr>
          <w:sz w:val="20"/>
          <w:szCs w:val="20"/>
          <w:color w:val="auto"/>
        </w:rPr>
      </w:pPr>
    </w:p>
    <w:p>
      <w:pPr>
        <w:ind w:right="660"/>
        <w:spacing w:after="0" w:line="253" w:lineRule="auto"/>
        <w:rPr>
          <w:sz w:val="20"/>
          <w:szCs w:val="20"/>
          <w:color w:val="auto"/>
        </w:rPr>
      </w:pPr>
      <w:r>
        <w:rPr>
          <w:rFonts w:ascii="Arial" w:cs="Arial" w:eastAsia="Arial" w:hAnsi="Arial"/>
          <w:sz w:val="19"/>
          <w:szCs w:val="19"/>
          <w:color w:val="auto"/>
        </w:rPr>
        <w:t>We are also subject to other laws and regulations governing our international operations, including regulations administered by the government of the United States, including applicable import and export control regulations, economic sanctions on countries and persons, anti-money laundering laws, customs requirements and currency exchange regulations, collectively referred to as the trade control laws.</w:t>
      </w:r>
    </w:p>
    <w:p>
      <w:pPr>
        <w:spacing w:after="0" w:line="73" w:lineRule="exact"/>
        <w:rPr>
          <w:sz w:val="20"/>
          <w:szCs w:val="20"/>
          <w:color w:val="auto"/>
        </w:rPr>
      </w:pPr>
    </w:p>
    <w:p>
      <w:pPr>
        <w:ind w:right="60"/>
        <w:spacing w:after="0" w:line="246" w:lineRule="auto"/>
        <w:rPr>
          <w:sz w:val="20"/>
          <w:szCs w:val="20"/>
          <w:color w:val="auto"/>
        </w:rPr>
      </w:pPr>
      <w:r>
        <w:rPr>
          <w:rFonts w:ascii="Arial" w:cs="Arial" w:eastAsia="Arial" w:hAnsi="Arial"/>
          <w:sz w:val="19"/>
          <w:szCs w:val="19"/>
          <w:color w:val="auto"/>
        </w:rPr>
        <w:t>We can provide no assurance that we will be completely effective in ensuring our compliance with all applicable anti - corruption laws or other legal requirements, including trade control laws. If we are not in compliance with applicable anti-corruption laws or trade control laws, we may be subject to criminal and civil penalties, disgorgement and other sanctions and remedial measures, and legal expenses, which could have an adverse impact on our business, financial condition, results of operations, stock price and prospects. Likewise, any investigation of any potential violations of these anti-corruption laws or trade control laws by United States or other authorities could also have an adverse impact on our reputation, our business, financial condition, results of operations, stock price and prospects.</w:t>
      </w:r>
    </w:p>
    <w:p>
      <w:pPr>
        <w:spacing w:after="0" w:line="86" w:lineRule="exact"/>
        <w:rPr>
          <w:sz w:val="20"/>
          <w:szCs w:val="20"/>
          <w:color w:val="auto"/>
        </w:rPr>
      </w:pPr>
    </w:p>
    <w:p>
      <w:pPr>
        <w:ind w:right="500"/>
        <w:spacing w:after="0" w:line="263" w:lineRule="auto"/>
        <w:rPr>
          <w:sz w:val="20"/>
          <w:szCs w:val="20"/>
          <w:color w:val="auto"/>
        </w:rPr>
      </w:pPr>
      <w:r>
        <w:rPr>
          <w:rFonts w:ascii="Arial" w:cs="Arial" w:eastAsia="Arial" w:hAnsi="Arial"/>
          <w:sz w:val="19"/>
          <w:szCs w:val="19"/>
          <w:b w:val="1"/>
          <w:bCs w:val="1"/>
          <w:i w:val="1"/>
          <w:iCs w:val="1"/>
          <w:color w:val="auto"/>
        </w:rPr>
        <w:t>If we fail to comply with federal and state healthcare laws, including fraud and abuse and health and other information privacy and security laws, we could face substantial penalties and our business, financial condition, results of operations, stock price and prospects will be materially harmed.</w:t>
      </w:r>
    </w:p>
    <w:p>
      <w:pPr>
        <w:spacing w:after="0" w:line="53" w:lineRule="exact"/>
        <w:rPr>
          <w:sz w:val="20"/>
          <w:szCs w:val="20"/>
          <w:color w:val="auto"/>
        </w:rPr>
      </w:pPr>
    </w:p>
    <w:p>
      <w:pPr>
        <w:ind w:right="60"/>
        <w:spacing w:after="0" w:line="243" w:lineRule="auto"/>
        <w:rPr>
          <w:sz w:val="20"/>
          <w:szCs w:val="20"/>
          <w:color w:val="auto"/>
        </w:rPr>
      </w:pPr>
      <w:r>
        <w:rPr>
          <w:rFonts w:ascii="Arial" w:cs="Arial" w:eastAsia="Arial" w:hAnsi="Arial"/>
          <w:sz w:val="19"/>
          <w:szCs w:val="19"/>
          <w:color w:val="auto"/>
        </w:rPr>
        <w:t>We are subject to many federal and state healthcare laws, such as the federal Anti-Kickback Statute, the federal civil and criminal False Claims Acts, the civil monetary penalties statute, the Medicaid Drug Rebate statute and other price reporting requirements, the Veterans Health Care Act of 1992 (VHCA), HIPAA, the FCPA, the ACA and similar state laws. Even though we do not and will not control referrals of healthcare services or bill directly to Medicare, Medicaid or other third-party payors, certain federal and state healthcare laws, and regulations pertaining to fraud and abuse, reimbursement programs, government procurement, and patients’ rights are and will be applicable to our business. We would be subject to healthcare fraud and abuse and patient privacy regulation by both the federal government and the states and foreign jurisdictions in which we conduct our business. In the European Union, the data privacy laws are generally stricter than those which apply in the United States and include specific requirements for the collection of personal data of European Union persons or the transfer of personal data outside of the European Union to the United States to ensure that European Union standards of data privacy will be applied to such data. For more information, see Part I, Item 1 “Business – Other Healthcare Laws and Compliance Requirements.”</w:t>
      </w:r>
    </w:p>
    <w:p>
      <w:pPr>
        <w:spacing w:after="0" w:line="87" w:lineRule="exact"/>
        <w:rPr>
          <w:sz w:val="20"/>
          <w:szCs w:val="20"/>
          <w:color w:val="auto"/>
        </w:rPr>
      </w:pPr>
    </w:p>
    <w:p>
      <w:pPr>
        <w:spacing w:after="0" w:line="244" w:lineRule="auto"/>
        <w:rPr>
          <w:sz w:val="20"/>
          <w:szCs w:val="20"/>
          <w:color w:val="auto"/>
        </w:rPr>
      </w:pPr>
      <w:r>
        <w:rPr>
          <w:rFonts w:ascii="Arial" w:cs="Arial" w:eastAsia="Arial" w:hAnsi="Arial"/>
          <w:sz w:val="19"/>
          <w:szCs w:val="19"/>
          <w:color w:val="auto"/>
        </w:rPr>
        <w:t>If we or our operations, including our arrangements with physicians and other healthcare providers, some of whom receive share options or other financial interest in the business as compensation for services provided, are found to be in violation of any federal or state healthcare law, or any other governmental laws or regulations that apply to us, we may be subject to penalties, including civil, criminal, and administrative penalties, damages, fines, disgorgement, suspension and debarment from government contracts, and refusal of orders under existing government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is found not to be in compliance with applicable laws, it or they may be subject to criminal, civil or administrative sanctions, including but not limited to, exclusions from participation in government healthcare programs, which could also materially affect our business.</w:t>
      </w:r>
    </w:p>
    <w:p>
      <w:pPr>
        <w:spacing w:after="0" w:line="80" w:lineRule="exact"/>
        <w:rPr>
          <w:sz w:val="20"/>
          <w:szCs w:val="20"/>
          <w:color w:val="auto"/>
        </w:rPr>
      </w:pPr>
    </w:p>
    <w:p>
      <w:pPr>
        <w:ind w:right="20"/>
        <w:spacing w:after="0" w:line="250" w:lineRule="auto"/>
        <w:rPr>
          <w:sz w:val="20"/>
          <w:szCs w:val="20"/>
          <w:color w:val="auto"/>
        </w:rPr>
      </w:pPr>
      <w:r>
        <w:rPr>
          <w:rFonts w:ascii="Arial" w:cs="Arial" w:eastAsia="Arial" w:hAnsi="Arial"/>
          <w:sz w:val="19"/>
          <w:szCs w:val="19"/>
          <w:color w:val="auto"/>
        </w:rPr>
        <w:t>Although an effective compliance program can mitigate the risk of investigation and prosecution for violations of these laws, the risks cannot be entirely eliminated. Moreover, achieving and sustaining compliance with applicable federal, state and foreign privacy, data protection, security, reimbursement, and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74"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administrative, civil and criminal penalties, damages, fines, disgorgement, the exclusion from participation in federal and state healthcare programs, individual imprisonment, reputational harm,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are found to not be in compliance with applicable laws, they may be</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71</w:t>
      </w:r>
    </w:p>
    <w:p>
      <w:pPr>
        <w:sectPr>
          <w:pgSz w:w="12240" w:h="15840" w:orient="portrait"/>
          <w:cols w:equalWidth="0" w:num="1">
            <w:col w:w="10060"/>
          </w:cols>
          <w:pgMar w:left="1080" w:top="1062" w:right="1100" w:bottom="173" w:gutter="0" w:footer="0" w:header="0"/>
        </w:sectPr>
      </w:pPr>
    </w:p>
    <w:bookmarkStart w:id="75" w:name="page76"/>
    <w:bookmarkEnd w:id="75"/>
    <w:p>
      <w:pPr>
        <w:jc w:val="both"/>
        <w:ind w:right="120"/>
        <w:spacing w:after="0" w:line="260" w:lineRule="auto"/>
        <w:rPr>
          <w:sz w:val="20"/>
          <w:szCs w:val="20"/>
          <w:color w:val="auto"/>
        </w:rPr>
      </w:pPr>
      <w:r>
        <w:rPr>
          <w:rFonts w:ascii="Arial" w:cs="Arial" w:eastAsia="Arial" w:hAnsi="Arial"/>
          <w:sz w:val="19"/>
          <w:szCs w:val="19"/>
          <w:color w:val="auto"/>
        </w:rPr>
        <w:t>subject to criminal, civil or administrative sanctions, including exclusions from government funded healthcare programs and imprisonment. If any of the above occur, our ability to operate our business and our results of operations could be adversely affected.</w:t>
      </w:r>
    </w:p>
    <w:p>
      <w:pPr>
        <w:spacing w:after="0" w:line="69" w:lineRule="exact"/>
        <w:rPr>
          <w:sz w:val="20"/>
          <w:szCs w:val="20"/>
          <w:color w:val="auto"/>
        </w:rPr>
      </w:pPr>
    </w:p>
    <w:p>
      <w:pPr>
        <w:ind w:right="800"/>
        <w:spacing w:after="0" w:line="287" w:lineRule="auto"/>
        <w:rPr>
          <w:sz w:val="20"/>
          <w:szCs w:val="20"/>
          <w:color w:val="auto"/>
        </w:rPr>
      </w:pPr>
      <w:r>
        <w:rPr>
          <w:rFonts w:ascii="Arial" w:cs="Arial" w:eastAsia="Arial" w:hAnsi="Arial"/>
          <w:sz w:val="19"/>
          <w:szCs w:val="19"/>
          <w:b w:val="1"/>
          <w:bCs w:val="1"/>
          <w:i w:val="1"/>
          <w:iCs w:val="1"/>
          <w:color w:val="auto"/>
        </w:rPr>
        <w:t>Changes in tax laws or in their implementation or interpretation may adversely affect our business and financial condition.</w:t>
      </w:r>
    </w:p>
    <w:p>
      <w:pPr>
        <w:spacing w:after="0" w:line="30" w:lineRule="exact"/>
        <w:rPr>
          <w:sz w:val="20"/>
          <w:szCs w:val="20"/>
          <w:color w:val="auto"/>
        </w:rPr>
      </w:pPr>
    </w:p>
    <w:p>
      <w:pPr>
        <w:ind w:right="20"/>
        <w:spacing w:after="0" w:line="245" w:lineRule="auto"/>
        <w:rPr>
          <w:sz w:val="20"/>
          <w:szCs w:val="20"/>
          <w:color w:val="auto"/>
        </w:rPr>
      </w:pPr>
      <w:r>
        <w:rPr>
          <w:rFonts w:ascii="Arial" w:cs="Arial" w:eastAsia="Arial" w:hAnsi="Arial"/>
          <w:sz w:val="19"/>
          <w:szCs w:val="19"/>
          <w:color w:val="auto"/>
        </w:rPr>
        <w:t>Changes in tax law may adversely affect our business or financial condition. Any new taxes could adversely affect our business and financial performance. Further, existing tax laws, statutes, rules, regulations or ordinances could be interpreted, changed, modified or applied adversely to us. For example, under Section 174 of the Internal Revenue Code of 1986, as amended (the Code), in taxable years beginning after December 31, 2021, expenses that are incurred for research and development in the U.S. will be capitalized and amortized, which may have an adverse effect on our cash flow. In addition, it is uncertain if and to what extent various states will conform to changes to U.S. federal income tax law. We urge prospective investors in our common stock to consult with their legal and tax advisors with respect to any recently enacted tax legislation, or proposed changes in law, and the potential tax consequences of investing in or holding our common stock.</w:t>
      </w:r>
    </w:p>
    <w:p>
      <w:pPr>
        <w:spacing w:after="0" w:line="8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ability to utilize our net operating loss carryforwards and certain other tax attributes may be limited.</w:t>
      </w:r>
    </w:p>
    <w:p>
      <w:pPr>
        <w:spacing w:after="0" w:line="116" w:lineRule="exact"/>
        <w:rPr>
          <w:sz w:val="20"/>
          <w:szCs w:val="20"/>
          <w:color w:val="auto"/>
        </w:rPr>
      </w:pPr>
    </w:p>
    <w:p>
      <w:pPr>
        <w:ind w:right="120"/>
        <w:spacing w:after="0" w:line="242" w:lineRule="auto"/>
        <w:rPr>
          <w:sz w:val="20"/>
          <w:szCs w:val="20"/>
          <w:color w:val="auto"/>
        </w:rPr>
      </w:pPr>
      <w:r>
        <w:rPr>
          <w:rFonts w:ascii="Arial" w:cs="Arial" w:eastAsia="Arial" w:hAnsi="Arial"/>
          <w:sz w:val="19"/>
          <w:szCs w:val="19"/>
          <w:color w:val="auto"/>
        </w:rPr>
        <w:t>Under Sections 382 and 383 of the Code, if a corporation undergoes an “ownership change” (generally defined as a greater than 50% change (by value) in its equity ownership by 5% stockholders over a three-year period), the corporation’s ability to use its pre-change net operating loss carryforwards and other pre-change tax attributes to offset its post-change taxable income may be limited. As a result of our most recent private placements, the IPO, and other transactions that have occurred over the past three years, we may have experienced, an “ownership change.” We may also experience ownership changes in the future as a result of subsequent shifts in our stock ownership. As of December 31, 2023, we had U.S. federal and state net operating loss carryforwards of $86.2 million and $79.6 million, which begin to expire in 2027 and 2032, respectively, and which could be limited if we experience an “ownership change.” The reduction of the corporate tax rate under TCJA may cause a reduction in the economic benefit of our net operating loss carryforwards and other deferred tax assets available to us. Under current federal tax law, federal net operating losses generated after December 31, 2017 will not be subject to expiration but will not be permitted to be carried back. In addition, under current U.S. federal tax law, the amount of net operating losses generated after December 31, 2017 that we are permitted to deduct in any taxable year is limited to 80% of our taxable income in such year, where taxable income is determined without regard to the net operating loss deduction itself. Additionally, as of December 31, 2023, we had a U.S. federal net operating loss carryforward of $77.4 million which do not expire but is limited to an annual deduction equal to 80% of annual taxable income.</w:t>
      </w:r>
    </w:p>
    <w:p>
      <w:pPr>
        <w:spacing w:after="0" w:line="95" w:lineRule="exact"/>
        <w:rPr>
          <w:sz w:val="20"/>
          <w:szCs w:val="20"/>
          <w:color w:val="auto"/>
        </w:rPr>
      </w:pPr>
    </w:p>
    <w:p>
      <w:pPr>
        <w:ind w:right="120"/>
        <w:spacing w:after="0" w:line="263" w:lineRule="auto"/>
        <w:rPr>
          <w:sz w:val="20"/>
          <w:szCs w:val="20"/>
          <w:color w:val="auto"/>
        </w:rPr>
      </w:pPr>
      <w:r>
        <w:rPr>
          <w:rFonts w:ascii="Arial" w:cs="Arial" w:eastAsia="Arial" w:hAnsi="Arial"/>
          <w:sz w:val="19"/>
          <w:szCs w:val="19"/>
          <w:b w:val="1"/>
          <w:bCs w:val="1"/>
          <w:i w:val="1"/>
          <w:iCs w:val="1"/>
          <w:color w:val="auto"/>
        </w:rPr>
        <w:t>If third-party payors fail to provide adequate coverage, reimbursement and payment rates for our product candidates, or if health maintenance organizations or long-term care facilities choose to use therapies that are less expensive or considered a better value, our revenue and prospects for profitability will be limited.</w:t>
      </w:r>
    </w:p>
    <w:p>
      <w:pPr>
        <w:spacing w:after="0" w:line="53" w:lineRule="exact"/>
        <w:rPr>
          <w:sz w:val="20"/>
          <w:szCs w:val="20"/>
          <w:color w:val="auto"/>
        </w:rPr>
      </w:pPr>
    </w:p>
    <w:p>
      <w:pPr>
        <w:spacing w:after="0" w:line="244" w:lineRule="auto"/>
        <w:rPr>
          <w:sz w:val="20"/>
          <w:szCs w:val="20"/>
          <w:color w:val="auto"/>
        </w:rPr>
      </w:pPr>
      <w:r>
        <w:rPr>
          <w:rFonts w:ascii="Arial" w:cs="Arial" w:eastAsia="Arial" w:hAnsi="Arial"/>
          <w:sz w:val="19"/>
          <w:szCs w:val="19"/>
          <w:color w:val="auto"/>
        </w:rPr>
        <w:t>In both domestic and foreign markets, sales of our products will depend in part upon the availability of coverage and reimbursement from third-party payors. Such third-party payors include government health programs such as Medicare and Medicaid, managed care providers, private health insurers, and other organizations. Coverage decisions may depend upon clinical and economic standards that disfavor new therapeutic products when more established or lower cost therapeutic alternatives are already available or subsequently become available, even if our products are alone in a class. If reimbursement is not available, or is available only to limited levels, our product candidates may be competitively disadvantaged, and we may not be able to successfully commercialize our product candidates. Even if coverage is provided, the approved reimbursement amount may not be high enough to allow us to establish or maintain a market share sufficient to realize a sufficient return on our or their investments. Alternatively, securing favorable reimbursement terms may require us to compromise pricing and prevent us from realizing an adequate margin over cost. For more information, see Part I, Item 1 "Business - Coverage and Reimbursement."</w:t>
      </w:r>
    </w:p>
    <w:p>
      <w:pPr>
        <w:spacing w:after="0" w:line="80" w:lineRule="exact"/>
        <w:rPr>
          <w:sz w:val="20"/>
          <w:szCs w:val="20"/>
          <w:color w:val="auto"/>
        </w:rPr>
      </w:pPr>
    </w:p>
    <w:p>
      <w:pPr>
        <w:ind w:right="60"/>
        <w:spacing w:after="0" w:line="243" w:lineRule="auto"/>
        <w:rPr>
          <w:sz w:val="20"/>
          <w:szCs w:val="20"/>
          <w:color w:val="auto"/>
        </w:rPr>
      </w:pPr>
      <w:r>
        <w:rPr>
          <w:rFonts w:ascii="Arial" w:cs="Arial" w:eastAsia="Arial" w:hAnsi="Arial"/>
          <w:sz w:val="19"/>
          <w:szCs w:val="19"/>
          <w:color w:val="auto"/>
        </w:rPr>
        <w:t>There is significant uncertainty related to third-party payor coverage and reimbursement of newly approved therapeutics. Marketing approvals, pricing, and reimbursement for new therapeutic products vary widely from country to country. Current and future legislation may significantly change the approval requirements in ways that could involve additional costs and cause delays in obtaining approvals. Some countries require approval of the sale price of a therapeutic before it can be marketed. In many countries, the pricing review period begins after marketing or product licensing approval is granted. In some foreign markets, prescription biopharmaceutical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to recoup our or their investment in one or more product candidates, even if our product candidates obtain marketing approval. Our ability to commercialize our product candidates will depend in part on the extent to which coverage and reimbursement for these products and related treatments will be available from government health administration authorities, private health insurers and other</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72</w:t>
      </w:r>
    </w:p>
    <w:p>
      <w:pPr>
        <w:sectPr>
          <w:pgSz w:w="12240" w:h="15840" w:orient="portrait"/>
          <w:cols w:equalWidth="0" w:num="1">
            <w:col w:w="10080"/>
          </w:cols>
          <w:pgMar w:left="1080" w:top="1062" w:right="1080" w:bottom="173" w:gutter="0" w:footer="0" w:header="0"/>
        </w:sectPr>
      </w:pPr>
    </w:p>
    <w:bookmarkStart w:id="76" w:name="page77"/>
    <w:bookmarkEnd w:id="76"/>
    <w:p>
      <w:pPr>
        <w:ind w:right="120"/>
        <w:spacing w:after="0" w:line="248" w:lineRule="auto"/>
        <w:rPr>
          <w:sz w:val="20"/>
          <w:szCs w:val="20"/>
          <w:color w:val="auto"/>
        </w:rPr>
      </w:pPr>
      <w:r>
        <w:rPr>
          <w:rFonts w:ascii="Arial" w:cs="Arial" w:eastAsia="Arial" w:hAnsi="Arial"/>
          <w:sz w:val="19"/>
          <w:szCs w:val="19"/>
          <w:color w:val="auto"/>
        </w:rPr>
        <w:t>organizations. Regulatory authorities and third-party payors, such as private health insurers, and health maintenance organizations, decide which medications they will cover and establish reimbursement levels. The healthcare industry is acutely focused on cost containment, both in the United States and elsewhere. Several third-party payors are requiring that companies provide them with predetermined discounts from list prices, are using preferred drug lists to leverage greater discounts in competitive classes, are disregarding therapeutic differentiators within classes, are challenging the prices charged for therapeutics, and are negotiating price concessions based on performance goals.</w:t>
      </w:r>
    </w:p>
    <w:p>
      <w:pPr>
        <w:spacing w:after="0" w:line="76" w:lineRule="exact"/>
        <w:rPr>
          <w:sz w:val="20"/>
          <w:szCs w:val="20"/>
          <w:color w:val="auto"/>
        </w:rPr>
      </w:pPr>
    </w:p>
    <w:p>
      <w:pPr>
        <w:ind w:right="40"/>
        <w:spacing w:after="0" w:line="245" w:lineRule="auto"/>
        <w:rPr>
          <w:sz w:val="20"/>
          <w:szCs w:val="20"/>
          <w:color w:val="auto"/>
        </w:rPr>
      </w:pPr>
      <w:r>
        <w:rPr>
          <w:rFonts w:ascii="Arial" w:cs="Arial" w:eastAsia="Arial" w:hAnsi="Arial"/>
          <w:sz w:val="19"/>
          <w:szCs w:val="19"/>
          <w:color w:val="auto"/>
        </w:rPr>
        <w:t>Assuming coverage is approved, the resulting reimbursement payment rates might not be adequate. If payors subject our product candidates to maximum payment amounts, or impose limitations that make it difficult to obtain reimbursement, providers may choose to use therapies which are less expensive when compared to our product candidates. Additionally, if payors require high copayments, beneficiaries may seek alternative therapies. We may need to conduct post-marketing studies in order to demonstrate the cost-effectiveness of any products to the satisfaction of hospitals, other target customers and their third-party payors. Such studies might require us to commit a significant amount of management time and financial and other resources. Our products might not ultimately be considered cost-effective. Adequate third-party coverage and reimbursement might not be available to enable us to maintain price levels sufficient to realize an appropriate return on investment in product development.</w:t>
      </w:r>
    </w:p>
    <w:p>
      <w:pPr>
        <w:spacing w:after="0" w:line="79" w:lineRule="exact"/>
        <w:rPr>
          <w:sz w:val="20"/>
          <w:szCs w:val="20"/>
          <w:color w:val="auto"/>
        </w:rPr>
      </w:pPr>
    </w:p>
    <w:p>
      <w:pPr>
        <w:spacing w:after="0" w:line="243" w:lineRule="auto"/>
        <w:rPr>
          <w:sz w:val="20"/>
          <w:szCs w:val="20"/>
          <w:color w:val="auto"/>
        </w:rPr>
      </w:pPr>
      <w:r>
        <w:rPr>
          <w:rFonts w:ascii="Arial" w:cs="Arial" w:eastAsia="Arial" w:hAnsi="Arial"/>
          <w:sz w:val="19"/>
          <w:szCs w:val="19"/>
          <w:color w:val="auto"/>
        </w:rPr>
        <w:t>In addition, federal programs impose penalties on manufacturers of therapeutics in the form of mandatory additional rebates and/or discounts if commercial prices increase at a rate greater than the Consumer Price Index-Urban, and these rebates and/or discounts, which can be substantial, may impact our ability to raise commercial prices. A few states have also passed or are considering legislation intended to prevent significant price increases. Regulatory authorities and third-party payors have attempted to control costs by limiting coverage and the amount of reimbursement for particular medications, which could affect our ability to sell our product candidates profitably. These payors may not view our products, if any, as cost-effective, and coverage and reimbursement may not be available to our customers, or may not be sufficient to allow our products, if any, to be marketed on a competitive basis. Cost-control initiatives could cause us to decrease, discount, or rebate a portion of the price we, or they, might establish for products, which could result in lower than anticipated product revenues. If the realized prices for our products, if any, decrease or if governmental and other third-party payors do not provide adequate coverage or reimbursement, our prospects for revenue and profitability will suffer.</w:t>
      </w:r>
    </w:p>
    <w:p>
      <w:pPr>
        <w:spacing w:after="0" w:line="87" w:lineRule="exact"/>
        <w:rPr>
          <w:sz w:val="20"/>
          <w:szCs w:val="20"/>
          <w:color w:val="auto"/>
        </w:rPr>
      </w:pPr>
    </w:p>
    <w:p>
      <w:pPr>
        <w:ind w:right="40"/>
        <w:spacing w:after="0" w:line="246" w:lineRule="auto"/>
        <w:rPr>
          <w:sz w:val="20"/>
          <w:szCs w:val="20"/>
          <w:color w:val="auto"/>
        </w:rPr>
      </w:pPr>
      <w:r>
        <w:rPr>
          <w:rFonts w:ascii="Arial" w:cs="Arial" w:eastAsia="Arial" w:hAnsi="Arial"/>
          <w:sz w:val="19"/>
          <w:szCs w:val="19"/>
          <w:color w:val="auto"/>
        </w:rPr>
        <w:t>In addition, third-party payors are increasingly requiring higher levels of evidence of the benefits and clinical outcomes of new technologies, benchmarking against other therapies, seeking performance-based discounts, and challenging the prices charged. We cannot be sure that coverage will be available for any product candidate that we commercialize and, if available, that the reimbursement rates will be adequate. An inability to promptly obtain coverage and adequate payment rates from both government-funded and private payors for any of our product candidates for which we obtain marketing approval could have a material adverse effect on our operating results, our ability to raise capital needed to commercialize products and our overall financial condition.</w:t>
      </w:r>
    </w:p>
    <w:p>
      <w:pPr>
        <w:spacing w:after="0" w:line="86" w:lineRule="exact"/>
        <w:rPr>
          <w:sz w:val="20"/>
          <w:szCs w:val="20"/>
          <w:color w:val="auto"/>
        </w:rPr>
      </w:pPr>
    </w:p>
    <w:p>
      <w:pPr>
        <w:ind w:right="220"/>
        <w:spacing w:after="0" w:line="263" w:lineRule="auto"/>
        <w:rPr>
          <w:sz w:val="20"/>
          <w:szCs w:val="20"/>
          <w:color w:val="auto"/>
        </w:rPr>
      </w:pPr>
      <w:r>
        <w:rPr>
          <w:rFonts w:ascii="Arial" w:cs="Arial" w:eastAsia="Arial" w:hAnsi="Arial"/>
          <w:sz w:val="19"/>
          <w:szCs w:val="19"/>
          <w:b w:val="1"/>
          <w:bCs w:val="1"/>
          <w:i w:val="1"/>
          <w:iCs w:val="1"/>
          <w:color w:val="auto"/>
        </w:rPr>
        <w:t>Our employees, independent contractors, consultants, commercial partners, principal investigators, CROs or CDMOs may engage in misconduct or other improper activities, including noncompliance with regulatory standards and requirements and insider trading, which could have a material adverse effect on our business.</w:t>
      </w:r>
    </w:p>
    <w:p>
      <w:pPr>
        <w:spacing w:after="0" w:line="53" w:lineRule="exact"/>
        <w:rPr>
          <w:sz w:val="20"/>
          <w:szCs w:val="20"/>
          <w:color w:val="auto"/>
        </w:rPr>
      </w:pPr>
    </w:p>
    <w:p>
      <w:pPr>
        <w:ind w:right="40"/>
        <w:spacing w:after="0" w:line="242" w:lineRule="auto"/>
        <w:rPr>
          <w:sz w:val="20"/>
          <w:szCs w:val="20"/>
          <w:color w:val="auto"/>
        </w:rPr>
      </w:pPr>
      <w:r>
        <w:rPr>
          <w:rFonts w:ascii="Arial" w:cs="Arial" w:eastAsia="Arial" w:hAnsi="Arial"/>
          <w:sz w:val="19"/>
          <w:szCs w:val="19"/>
          <w:color w:val="auto"/>
        </w:rPr>
        <w:t>We are exposed to the risk of employee fraud or other misconduct. Misconduct by employees, independent contractors, consultants, commercial partners, principal investigators, CDMOs or CROs could include intentional, reckless, negligent, or unintentional failures to comply with FDA regulations, comply with applicable fraud and abuse laws, provide accurate information to the FDA, properly calculate pricing information required by federal programs,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Moreover, it is possible for a whistleblower to pursue a False Claims Act case against us even if the government considers the claim unmeritorious and declines to intervene, which could require us to incur costs defending against such a claim. If any such actions are instituted against us, and we are not successful in defending ourselves or asserting our rights, those actions could have a significant impact on our business, financial condition, results of operations, stock price and prospects, including the imposition of significant fines or other sanctions.</w:t>
      </w:r>
    </w:p>
    <w:p>
      <w:pPr>
        <w:spacing w:after="0" w:line="93" w:lineRule="exact"/>
        <w:rPr>
          <w:sz w:val="20"/>
          <w:szCs w:val="20"/>
          <w:color w:val="auto"/>
        </w:rPr>
      </w:pPr>
    </w:p>
    <w:p>
      <w:pPr>
        <w:ind w:right="60"/>
        <w:spacing w:after="0" w:line="248" w:lineRule="auto"/>
        <w:rPr>
          <w:sz w:val="20"/>
          <w:szCs w:val="20"/>
          <w:color w:val="auto"/>
        </w:rPr>
      </w:pPr>
      <w:r>
        <w:rPr>
          <w:rFonts w:ascii="Arial" w:cs="Arial" w:eastAsia="Arial" w:hAnsi="Arial"/>
          <w:sz w:val="19"/>
          <w:szCs w:val="19"/>
          <w:color w:val="auto"/>
        </w:rPr>
        <w:t>On March 15, 2024, we notified Dr. Aguilar-Cordova that we had uncovered that, during his tenure as Chief Executive Officer and possibly his tenure as Chief Scientific Officer, he allegedly (i) instructed Company personnel to falsify sterility testing results that were submitted to the FDA for CAN-2409 and (ii) failed to implement an appropriate and compliant stability testing program for that same program. Upon identifying these deficiencies, we promptly updated our stability testing program to fully bring it into compliance and submitted additional information and data to the FDA regarding both the updated program and our prior testing results. Following an internal review and analysis, we also</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73</w:t>
      </w:r>
    </w:p>
    <w:p>
      <w:pPr>
        <w:sectPr>
          <w:pgSz w:w="12240" w:h="15840" w:orient="portrait"/>
          <w:cols w:equalWidth="0" w:num="1">
            <w:col w:w="10080"/>
          </w:cols>
          <w:pgMar w:left="1080" w:top="1062" w:right="1080" w:bottom="173" w:gutter="0" w:footer="0" w:header="0"/>
        </w:sectPr>
      </w:pPr>
    </w:p>
    <w:bookmarkStart w:id="77" w:name="page78"/>
    <w:bookmarkEnd w:id="77"/>
    <w:p>
      <w:pPr>
        <w:ind w:right="140"/>
        <w:spacing w:after="0" w:line="253" w:lineRule="auto"/>
        <w:rPr>
          <w:sz w:val="20"/>
          <w:szCs w:val="20"/>
          <w:color w:val="auto"/>
        </w:rPr>
      </w:pPr>
      <w:r>
        <w:rPr>
          <w:rFonts w:ascii="Arial" w:cs="Arial" w:eastAsia="Arial" w:hAnsi="Arial"/>
          <w:sz w:val="19"/>
          <w:szCs w:val="19"/>
          <w:color w:val="auto"/>
        </w:rPr>
        <w:t>determined that trial participants who were dosed with CAN-2409 were not placed at risk, and that there was and is no risk to the integrity of our resulting clinical data related to the identified deficiencies. In the March 15, 2024 letter, we also requested that Dr. Aguilar-Cordova resign from the Board of Directors with immediate effect. On March 26, 2024, Dr. Aguilar-Cordova denied these allegations in response.</w:t>
      </w:r>
    </w:p>
    <w:p>
      <w:pPr>
        <w:spacing w:after="0" w:line="77" w:lineRule="exact"/>
        <w:rPr>
          <w:sz w:val="20"/>
          <w:szCs w:val="20"/>
          <w:color w:val="auto"/>
        </w:rPr>
      </w:pPr>
    </w:p>
    <w:p>
      <w:pPr>
        <w:ind w:right="500"/>
        <w:spacing w:after="0" w:line="287" w:lineRule="auto"/>
        <w:rPr>
          <w:sz w:val="20"/>
          <w:szCs w:val="20"/>
          <w:color w:val="auto"/>
        </w:rPr>
      </w:pPr>
      <w:r>
        <w:rPr>
          <w:rFonts w:ascii="Arial" w:cs="Arial" w:eastAsia="Arial" w:hAnsi="Arial"/>
          <w:sz w:val="19"/>
          <w:szCs w:val="19"/>
          <w:b w:val="1"/>
          <w:bCs w:val="1"/>
          <w:i w:val="1"/>
          <w:iCs w:val="1"/>
          <w:color w:val="auto"/>
        </w:rPr>
        <w:t>Violations of or liabilities under environmental, health and safety laws and regulations could subject us to fines, penalties or other costs that could have a material adverse effect on the success of our business.</w:t>
      </w:r>
    </w:p>
    <w:p>
      <w:pPr>
        <w:spacing w:after="0" w:line="30" w:lineRule="exact"/>
        <w:rPr>
          <w:sz w:val="20"/>
          <w:szCs w:val="20"/>
          <w:color w:val="auto"/>
        </w:rPr>
      </w:pPr>
    </w:p>
    <w:p>
      <w:pPr>
        <w:spacing w:after="0" w:line="244" w:lineRule="auto"/>
        <w:rPr>
          <w:sz w:val="20"/>
          <w:szCs w:val="20"/>
          <w:color w:val="auto"/>
        </w:rPr>
      </w:pPr>
      <w:r>
        <w:rPr>
          <w:rFonts w:ascii="Arial" w:cs="Arial" w:eastAsia="Arial" w:hAnsi="Arial"/>
          <w:sz w:val="19"/>
          <w:szCs w:val="19"/>
          <w:color w:val="auto"/>
        </w:rPr>
        <w:t>We are subject to numerous environmental, health and safety laws and regulations, including those governing laboratory procedures, the handling, use, storage, treatment and disposal of hazardous materials and wastes and the cleanup of contaminated sites. Our operations involve the use of hazardous and flammable materials, including chemicals and biological and radioactive materials. Our operations also produce hazardous waste products. We would incur substantial costs as a result of violations of or liabilities under environmental requirements in connection with our operations or property, including fines, penalties and other sanctions, investigation and cleanup costs and third-party claims. Although we generally contract with third parties for the disposal of hazardous materials and wastes from our operations,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84" w:lineRule="exact"/>
        <w:rPr>
          <w:sz w:val="20"/>
          <w:szCs w:val="20"/>
          <w:color w:val="auto"/>
        </w:rPr>
      </w:pPr>
    </w:p>
    <w:p>
      <w:pPr>
        <w:ind w:right="60"/>
        <w:spacing w:after="0" w:line="253" w:lineRule="auto"/>
        <w:rPr>
          <w:sz w:val="20"/>
          <w:szCs w:val="20"/>
          <w:color w:val="auto"/>
        </w:rPr>
      </w:pPr>
      <w:r>
        <w:rPr>
          <w:rFonts w:ascii="Arial" w:cs="Arial" w:eastAsia="Arial" w:hAnsi="Arial"/>
          <w:sz w:val="19"/>
          <w:szCs w:val="19"/>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6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Our Reliance on Third Parties</w:t>
      </w:r>
    </w:p>
    <w:p>
      <w:pPr>
        <w:spacing w:after="0" w:line="128" w:lineRule="exact"/>
        <w:rPr>
          <w:sz w:val="20"/>
          <w:szCs w:val="20"/>
          <w:color w:val="auto"/>
        </w:rPr>
      </w:pPr>
    </w:p>
    <w:p>
      <w:pPr>
        <w:ind w:right="60"/>
        <w:spacing w:after="0" w:line="251" w:lineRule="auto"/>
        <w:rPr>
          <w:sz w:val="20"/>
          <w:szCs w:val="20"/>
          <w:color w:val="auto"/>
        </w:rPr>
      </w:pPr>
      <w:r>
        <w:rPr>
          <w:rFonts w:ascii="Arial" w:cs="Arial" w:eastAsia="Arial" w:hAnsi="Arial"/>
          <w:sz w:val="19"/>
          <w:szCs w:val="19"/>
          <w:b w:val="1"/>
          <w:bCs w:val="1"/>
          <w:i w:val="1"/>
          <w:iCs w:val="1"/>
          <w:color w:val="auto"/>
        </w:rPr>
        <w:t>For certain product candidates, we depend, or will depend, on development and commercialization collaborators to develop and conduct clinical trials with, obtain regulatory approvals for, and if approved, market and sell product candidates. If such collaborators fail to perform as expected, the potential for us to generate future revenue from such product candidates would be significantly reduced and our business would be harmed.</w:t>
      </w:r>
    </w:p>
    <w:p>
      <w:pPr>
        <w:spacing w:after="0" w:line="66" w:lineRule="exact"/>
        <w:rPr>
          <w:sz w:val="20"/>
          <w:szCs w:val="20"/>
          <w:color w:val="auto"/>
        </w:rPr>
      </w:pPr>
    </w:p>
    <w:p>
      <w:pPr>
        <w:spacing w:after="0" w:line="243" w:lineRule="auto"/>
        <w:rPr>
          <w:sz w:val="20"/>
          <w:szCs w:val="20"/>
          <w:color w:val="auto"/>
        </w:rPr>
      </w:pPr>
      <w:r>
        <w:rPr>
          <w:rFonts w:ascii="Arial" w:cs="Arial" w:eastAsia="Arial" w:hAnsi="Arial"/>
          <w:sz w:val="19"/>
          <w:szCs w:val="19"/>
          <w:color w:val="auto"/>
        </w:rPr>
        <w:t>For certain product candidates, we depend, or will depend, on our development and commercial collaborators to develop, conduct clinical trials of, and, if approved, commercialize product candidates. We cannot provide assurance that our collaborators will be successful in or that they will devote sufficient resources to these collaborations. If our current or future collaboration and commercialization partners do not perform in the manner we expect or fail to fulfill their responsibilities in a timely manner, or at all, if our agreements with them terminate or if the quality or accuracy of the clinical data they obtain is compromised, the clinical development, regulatory approval and commercialization efforts related to their and our product candidates and products could be delayed or terminated and it could become necessary for us to assume the responsibility at our own expense for the clinical development of such product candidates. Moreover, our ability to generate revenues from these collaborations and product candidates will depend on such collaborators’ abilities to perform in the manner we expect or fulfill their responsibilities in a timely manner, and delays by collaborators, or caused by other collaboration contract obligations, may result in a delay of our ability to disclose data.</w:t>
      </w:r>
    </w:p>
    <w:p>
      <w:pPr>
        <w:spacing w:after="0" w:line="87" w:lineRule="exact"/>
        <w:rPr>
          <w:sz w:val="20"/>
          <w:szCs w:val="20"/>
          <w:color w:val="auto"/>
        </w:rPr>
      </w:pPr>
    </w:p>
    <w:p>
      <w:pPr>
        <w:spacing w:after="0"/>
        <w:rPr>
          <w:sz w:val="20"/>
          <w:szCs w:val="20"/>
          <w:color w:val="auto"/>
        </w:rPr>
      </w:pPr>
      <w:r>
        <w:rPr>
          <w:rFonts w:ascii="Arial" w:cs="Arial" w:eastAsia="Arial" w:hAnsi="Arial"/>
          <w:sz w:val="19"/>
          <w:szCs w:val="19"/>
          <w:color w:val="auto"/>
        </w:rPr>
        <w:t>Our current collaborations and any future collaborations that we enter into are subject to numerous risks, including:</w:t>
      </w:r>
    </w:p>
    <w:p>
      <w:pPr>
        <w:spacing w:after="0" w:line="133" w:lineRule="exact"/>
        <w:rPr>
          <w:sz w:val="20"/>
          <w:szCs w:val="20"/>
          <w:color w:val="auto"/>
        </w:rPr>
      </w:pPr>
    </w:p>
    <w:p>
      <w:pPr>
        <w:ind w:left="980" w:right="240" w:hanging="491"/>
        <w:spacing w:after="0" w:line="281" w:lineRule="auto"/>
        <w:tabs>
          <w:tab w:leader="none" w:pos="980" w:val="left"/>
        </w:tabs>
        <w:numPr>
          <w:ilvl w:val="0"/>
          <w:numId w:val="55"/>
        </w:numPr>
        <w:rPr>
          <w:rFonts w:ascii="Arial" w:cs="Arial" w:eastAsia="Arial" w:hAnsi="Arial"/>
          <w:sz w:val="19"/>
          <w:szCs w:val="19"/>
          <w:color w:val="auto"/>
        </w:rPr>
      </w:pPr>
      <w:r>
        <w:rPr>
          <w:rFonts w:ascii="Arial" w:cs="Arial" w:eastAsia="Arial" w:hAnsi="Arial"/>
          <w:sz w:val="19"/>
          <w:szCs w:val="19"/>
          <w:color w:val="auto"/>
        </w:rPr>
        <w:t>collaborators have significant discretion in determining the efforts and resources that they will apply to the collaborations;</w:t>
      </w:r>
    </w:p>
    <w:p>
      <w:pPr>
        <w:spacing w:after="0" w:line="58" w:lineRule="exact"/>
        <w:rPr>
          <w:rFonts w:ascii="Arial" w:cs="Arial" w:eastAsia="Arial" w:hAnsi="Arial"/>
          <w:sz w:val="19"/>
          <w:szCs w:val="19"/>
          <w:color w:val="auto"/>
        </w:rPr>
      </w:pPr>
    </w:p>
    <w:p>
      <w:pPr>
        <w:ind w:left="980" w:right="300" w:hanging="491"/>
        <w:spacing w:after="0" w:line="281" w:lineRule="auto"/>
        <w:tabs>
          <w:tab w:leader="none" w:pos="980" w:val="left"/>
        </w:tabs>
        <w:numPr>
          <w:ilvl w:val="0"/>
          <w:numId w:val="55"/>
        </w:numPr>
        <w:rPr>
          <w:rFonts w:ascii="Arial" w:cs="Arial" w:eastAsia="Arial" w:hAnsi="Arial"/>
          <w:sz w:val="19"/>
          <w:szCs w:val="19"/>
          <w:color w:val="auto"/>
        </w:rPr>
      </w:pPr>
      <w:r>
        <w:rPr>
          <w:rFonts w:ascii="Arial" w:cs="Arial" w:eastAsia="Arial" w:hAnsi="Arial"/>
          <w:sz w:val="19"/>
          <w:szCs w:val="19"/>
          <w:color w:val="auto"/>
        </w:rPr>
        <w:t>collaborators may not perform their obligations as expected or fail to fulfill their responsibilities in a timely manner, or at all;</w:t>
      </w:r>
    </w:p>
    <w:p>
      <w:pPr>
        <w:spacing w:after="0" w:line="58" w:lineRule="exact"/>
        <w:rPr>
          <w:rFonts w:ascii="Arial" w:cs="Arial" w:eastAsia="Arial" w:hAnsi="Arial"/>
          <w:sz w:val="19"/>
          <w:szCs w:val="19"/>
          <w:color w:val="auto"/>
        </w:rPr>
      </w:pPr>
    </w:p>
    <w:p>
      <w:pPr>
        <w:ind w:left="980" w:right="100" w:hanging="491"/>
        <w:spacing w:after="0" w:line="253" w:lineRule="auto"/>
        <w:tabs>
          <w:tab w:leader="none" w:pos="980" w:val="left"/>
        </w:tabs>
        <w:numPr>
          <w:ilvl w:val="0"/>
          <w:numId w:val="55"/>
        </w:numPr>
        <w:rPr>
          <w:rFonts w:ascii="Arial" w:cs="Arial" w:eastAsia="Arial" w:hAnsi="Arial"/>
          <w:sz w:val="19"/>
          <w:szCs w:val="19"/>
          <w:color w:val="auto"/>
        </w:rPr>
      </w:pPr>
      <w:r>
        <w:rPr>
          <w:rFonts w:ascii="Arial" w:cs="Arial" w:eastAsia="Arial" w:hAnsi="Arial"/>
          <w:sz w:val="19"/>
          <w:szCs w:val="19"/>
          <w:color w:val="auto"/>
        </w:rPr>
        <w:t>collaborators may not pursue development and commercialization of any product candidates that achieve regulatory approval or may elect not to continue or renew development or commercialization programs based on preclinical studies or clinical trial results, changes in the collaborators’ strategic focus or available funding or external factors, such as an acquisition, that divert resources or create competing priorities;</w:t>
      </w:r>
    </w:p>
    <w:p>
      <w:pPr>
        <w:spacing w:after="0" w:line="85" w:lineRule="exact"/>
        <w:rPr>
          <w:rFonts w:ascii="Arial" w:cs="Arial" w:eastAsia="Arial" w:hAnsi="Arial"/>
          <w:sz w:val="19"/>
          <w:szCs w:val="19"/>
          <w:color w:val="auto"/>
        </w:rPr>
      </w:pPr>
    </w:p>
    <w:p>
      <w:pPr>
        <w:ind w:left="980" w:right="60" w:hanging="491"/>
        <w:spacing w:after="0" w:line="260" w:lineRule="auto"/>
        <w:tabs>
          <w:tab w:leader="none" w:pos="980" w:val="left"/>
        </w:tabs>
        <w:numPr>
          <w:ilvl w:val="0"/>
          <w:numId w:val="55"/>
        </w:numPr>
        <w:rPr>
          <w:rFonts w:ascii="Arial" w:cs="Arial" w:eastAsia="Arial" w:hAnsi="Arial"/>
          <w:sz w:val="19"/>
          <w:szCs w:val="19"/>
          <w:color w:val="auto"/>
        </w:rPr>
      </w:pPr>
      <w:r>
        <w:rPr>
          <w:rFonts w:ascii="Arial" w:cs="Arial" w:eastAsia="Arial" w:hAnsi="Arial"/>
          <w:sz w:val="19"/>
          <w:szCs w:val="19"/>
          <w:color w:val="auto"/>
        </w:rPr>
        <w:t>collaborators may delay preclinical studies or clinical trials, provide insufficient funding for clinical trials, stop a preclinical study or clinical trial or abandon a product candidate, repeat or conduct new clinical trials or require a new formulation of a product candidate for clinical testing;</w:t>
      </w:r>
    </w:p>
    <w:p>
      <w:pPr>
        <w:spacing w:after="0" w:line="78" w:lineRule="exact"/>
        <w:rPr>
          <w:rFonts w:ascii="Arial" w:cs="Arial" w:eastAsia="Arial" w:hAnsi="Arial"/>
          <w:sz w:val="19"/>
          <w:szCs w:val="19"/>
          <w:color w:val="auto"/>
        </w:rPr>
      </w:pPr>
    </w:p>
    <w:p>
      <w:pPr>
        <w:ind w:left="980" w:hanging="491"/>
        <w:spacing w:after="0"/>
        <w:tabs>
          <w:tab w:leader="none" w:pos="980" w:val="left"/>
        </w:tabs>
        <w:numPr>
          <w:ilvl w:val="0"/>
          <w:numId w:val="55"/>
        </w:numPr>
        <w:rPr>
          <w:rFonts w:ascii="Arial" w:cs="Arial" w:eastAsia="Arial" w:hAnsi="Arial"/>
          <w:sz w:val="19"/>
          <w:szCs w:val="19"/>
          <w:color w:val="auto"/>
        </w:rPr>
      </w:pPr>
      <w:r>
        <w:rPr>
          <w:rFonts w:ascii="Arial" w:cs="Arial" w:eastAsia="Arial" w:hAnsi="Arial"/>
          <w:sz w:val="19"/>
          <w:szCs w:val="19"/>
          <w:color w:val="auto"/>
        </w:rPr>
        <w:t>collaborators could fail to make timely regulatory submissions for a product candidate;</w:t>
      </w:r>
    </w:p>
    <w:p>
      <w:pPr>
        <w:spacing w:after="0" w:line="132" w:lineRule="exact"/>
        <w:rPr>
          <w:rFonts w:ascii="Arial" w:cs="Arial" w:eastAsia="Arial" w:hAnsi="Arial"/>
          <w:sz w:val="19"/>
          <w:szCs w:val="19"/>
          <w:color w:val="auto"/>
        </w:rPr>
      </w:pPr>
    </w:p>
    <w:p>
      <w:pPr>
        <w:ind w:left="980" w:right="160" w:hanging="491"/>
        <w:spacing w:after="0" w:line="260" w:lineRule="auto"/>
        <w:tabs>
          <w:tab w:leader="none" w:pos="980" w:val="left"/>
        </w:tabs>
        <w:numPr>
          <w:ilvl w:val="0"/>
          <w:numId w:val="55"/>
        </w:numPr>
        <w:rPr>
          <w:rFonts w:ascii="Arial" w:cs="Arial" w:eastAsia="Arial" w:hAnsi="Arial"/>
          <w:sz w:val="19"/>
          <w:szCs w:val="19"/>
          <w:color w:val="auto"/>
        </w:rPr>
      </w:pPr>
      <w:r>
        <w:rPr>
          <w:rFonts w:ascii="Arial" w:cs="Arial" w:eastAsia="Arial" w:hAnsi="Arial"/>
          <w:sz w:val="19"/>
          <w:szCs w:val="19"/>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74</w:t>
      </w:r>
    </w:p>
    <w:p>
      <w:pPr>
        <w:sectPr>
          <w:pgSz w:w="12240" w:h="15840" w:orient="portrait"/>
          <w:cols w:equalWidth="0" w:num="1">
            <w:col w:w="10060"/>
          </w:cols>
          <w:pgMar w:left="1080" w:top="1062" w:right="1100" w:bottom="173" w:gutter="0" w:footer="0" w:header="0"/>
        </w:sectPr>
      </w:pPr>
    </w:p>
    <w:bookmarkStart w:id="78" w:name="page79"/>
    <w:bookmarkEnd w:id="78"/>
    <w:p>
      <w:pPr>
        <w:ind w:left="980" w:hanging="491"/>
        <w:spacing w:after="0" w:line="253" w:lineRule="auto"/>
        <w:tabs>
          <w:tab w:leader="none" w:pos="980" w:val="left"/>
        </w:tabs>
        <w:numPr>
          <w:ilvl w:val="0"/>
          <w:numId w:val="56"/>
        </w:numPr>
        <w:rPr>
          <w:rFonts w:ascii="Arial" w:cs="Arial" w:eastAsia="Arial" w:hAnsi="Arial"/>
          <w:sz w:val="19"/>
          <w:szCs w:val="19"/>
          <w:color w:val="auto"/>
        </w:rPr>
      </w:pPr>
      <w:r>
        <w:rPr>
          <w:rFonts w:ascii="Arial" w:cs="Arial" w:eastAsia="Arial" w:hAnsi="Arial"/>
          <w:sz w:val="19"/>
          <w:szCs w:val="19"/>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85" w:lineRule="exact"/>
        <w:rPr>
          <w:rFonts w:ascii="Arial" w:cs="Arial" w:eastAsia="Arial" w:hAnsi="Arial"/>
          <w:sz w:val="19"/>
          <w:szCs w:val="19"/>
          <w:color w:val="auto"/>
        </w:rPr>
      </w:pPr>
    </w:p>
    <w:p>
      <w:pPr>
        <w:ind w:left="980" w:right="120" w:hanging="491"/>
        <w:spacing w:after="0" w:line="281" w:lineRule="auto"/>
        <w:tabs>
          <w:tab w:leader="none" w:pos="980"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collaborations may not result in product candidates to develop and/or preclinical studies or clinical trials conducted as part of the collaborations may not be successful;</w:t>
      </w:r>
    </w:p>
    <w:p>
      <w:pPr>
        <w:spacing w:after="0" w:line="58" w:lineRule="exact"/>
        <w:rPr>
          <w:rFonts w:ascii="Arial" w:cs="Arial" w:eastAsia="Arial" w:hAnsi="Arial"/>
          <w:sz w:val="19"/>
          <w:szCs w:val="19"/>
          <w:color w:val="auto"/>
        </w:rPr>
      </w:pPr>
    </w:p>
    <w:p>
      <w:pPr>
        <w:ind w:left="980" w:right="200" w:hanging="491"/>
        <w:spacing w:after="0" w:line="260" w:lineRule="auto"/>
        <w:tabs>
          <w:tab w:leader="none" w:pos="980" w:val="left"/>
        </w:tabs>
        <w:numPr>
          <w:ilvl w:val="0"/>
          <w:numId w:val="56"/>
        </w:numPr>
        <w:rPr>
          <w:rFonts w:ascii="Arial" w:cs="Arial" w:eastAsia="Arial" w:hAnsi="Arial"/>
          <w:sz w:val="19"/>
          <w:szCs w:val="19"/>
          <w:color w:val="auto"/>
        </w:rPr>
      </w:pPr>
      <w:r>
        <w:rPr>
          <w:rFonts w:ascii="Arial" w:cs="Arial" w:eastAsia="Arial" w:hAnsi="Arial"/>
          <w:sz w:val="19"/>
          <w:szCs w:val="19"/>
          <w:color w:val="auto"/>
        </w:rPr>
        <w:t>product candidates developed with collaborators may be viewed by our collaborators as competitive with their own product candidates or products, which may cause collaborators to stop commercialization of our product candidates;</w:t>
      </w:r>
    </w:p>
    <w:p>
      <w:pPr>
        <w:spacing w:after="0" w:line="78" w:lineRule="exact"/>
        <w:rPr>
          <w:rFonts w:ascii="Arial" w:cs="Arial" w:eastAsia="Arial" w:hAnsi="Arial"/>
          <w:sz w:val="19"/>
          <w:szCs w:val="19"/>
          <w:color w:val="auto"/>
        </w:rPr>
      </w:pPr>
    </w:p>
    <w:p>
      <w:pPr>
        <w:ind w:left="980" w:right="240" w:hanging="491"/>
        <w:spacing w:after="0" w:line="260" w:lineRule="auto"/>
        <w:tabs>
          <w:tab w:leader="none" w:pos="980" w:val="left"/>
        </w:tabs>
        <w:numPr>
          <w:ilvl w:val="0"/>
          <w:numId w:val="56"/>
        </w:numPr>
        <w:rPr>
          <w:rFonts w:ascii="Arial" w:cs="Arial" w:eastAsia="Arial" w:hAnsi="Arial"/>
          <w:sz w:val="19"/>
          <w:szCs w:val="19"/>
          <w:color w:val="auto"/>
        </w:rPr>
      </w:pPr>
      <w:r>
        <w:rPr>
          <w:rFonts w:ascii="Arial" w:cs="Arial" w:eastAsia="Arial" w:hAnsi="Arial"/>
          <w:sz w:val="19"/>
          <w:szCs w:val="19"/>
          <w:color w:val="auto"/>
        </w:rPr>
        <w:t>a collaborator with marketing and distribution rights to one or more of our product candidates that achieve regulatory approval may not commit sufficient resources to the marketing and distribution of any such product candidate; and</w:t>
      </w:r>
    </w:p>
    <w:p>
      <w:pPr>
        <w:spacing w:after="0" w:line="78" w:lineRule="exact"/>
        <w:rPr>
          <w:rFonts w:ascii="Arial" w:cs="Arial" w:eastAsia="Arial" w:hAnsi="Arial"/>
          <w:sz w:val="19"/>
          <w:szCs w:val="19"/>
          <w:color w:val="auto"/>
        </w:rPr>
      </w:pPr>
    </w:p>
    <w:p>
      <w:pPr>
        <w:jc w:val="both"/>
        <w:ind w:left="980" w:right="80" w:hanging="491"/>
        <w:spacing w:after="0" w:line="260" w:lineRule="auto"/>
        <w:tabs>
          <w:tab w:leader="none" w:pos="980" w:val="left"/>
        </w:tabs>
        <w:numPr>
          <w:ilvl w:val="0"/>
          <w:numId w:val="56"/>
        </w:numPr>
        <w:rPr>
          <w:rFonts w:ascii="Arial" w:cs="Arial" w:eastAsia="Arial" w:hAnsi="Arial"/>
          <w:sz w:val="19"/>
          <w:szCs w:val="19"/>
          <w:color w:val="auto"/>
        </w:rPr>
      </w:pPr>
      <w:r>
        <w:rPr>
          <w:rFonts w:ascii="Arial" w:cs="Arial" w:eastAsia="Arial" w:hAnsi="Arial"/>
          <w:sz w:val="19"/>
          <w:szCs w:val="19"/>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25"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In addition, certain collaboration and commercialization agreements provide our collaborators with rights to terminate such agreements, which rights may or may not be subject to conditions, and which rights, if exercised, would adversely affect our product development efforts and could make it difficult for us to attract new collaborators. For example, our license agreement with MGB may be terminated by MGB for our failure to pay, our failure to maintain proper insurance in accordance with the agreement, if we file for bankruptcy or if we remain in default for non-financial reasons following a specified cure period to remedy the breach. In the event of the termination of any collaboration or commercialization agreement, we would likely be required to limit the size and scope of efforts for the development and commercialization of such product candidates or products; we would likely be required to seek additional financing to fund further development or identify alternative strategic collaborations; our potential to generate future revenue from royalties and milestone payments from such product candidates or products would be significantly reduced, delayed or eliminated; and it could have an adverse effect on our business and future growth prospects. Our rights to recover tangible and intangible assets and intellectual property rights needed to advance a product candidate or product after termination of a collaboration may be limited by contract, and we may not be able to advance a program post-termination.</w:t>
      </w:r>
    </w:p>
    <w:p>
      <w:pPr>
        <w:spacing w:after="0" w:line="68" w:lineRule="exact"/>
        <w:rPr>
          <w:sz w:val="20"/>
          <w:szCs w:val="20"/>
          <w:color w:val="auto"/>
        </w:rPr>
      </w:pPr>
    </w:p>
    <w:p>
      <w:pPr>
        <w:ind w:right="120"/>
        <w:spacing w:after="0" w:line="245" w:lineRule="auto"/>
        <w:rPr>
          <w:sz w:val="20"/>
          <w:szCs w:val="20"/>
          <w:color w:val="auto"/>
        </w:rPr>
      </w:pPr>
      <w:r>
        <w:rPr>
          <w:rFonts w:ascii="Arial" w:cs="Arial" w:eastAsia="Arial" w:hAnsi="Arial"/>
          <w:sz w:val="19"/>
          <w:szCs w:val="19"/>
          <w:color w:val="auto"/>
        </w:rPr>
        <w:t>As a result of the foregoing, our current and any future collaboration agreements may not lead to development or commercialization of our product candidates in the most efficient manner or at all. If a collaborator of ours were to be involved in a business combination, the continued pursuit and emphasis on our product development or commercialization program could be delayed, diminished or terminated. If one of our collaborators terminates its agreement with us, we may find it more difficult to attract new collaborators and our reputation in the business and financial communities could be adversely affected. Any failure to successfully develop or commercialize our product candidates pursuant to our current or any future collaboration agreements could have a material and adverse effect on our business, financial condition, results of operations and prospects.</w:t>
      </w:r>
    </w:p>
    <w:p>
      <w:pPr>
        <w:spacing w:after="0" w:line="88" w:lineRule="exact"/>
        <w:rPr>
          <w:sz w:val="20"/>
          <w:szCs w:val="20"/>
          <w:color w:val="auto"/>
        </w:rPr>
      </w:pPr>
    </w:p>
    <w:p>
      <w:pPr>
        <w:ind w:right="160"/>
        <w:spacing w:after="0" w:line="287" w:lineRule="auto"/>
        <w:rPr>
          <w:sz w:val="20"/>
          <w:szCs w:val="20"/>
          <w:color w:val="auto"/>
        </w:rPr>
      </w:pPr>
      <w:r>
        <w:rPr>
          <w:rFonts w:ascii="Arial" w:cs="Arial" w:eastAsia="Arial" w:hAnsi="Arial"/>
          <w:sz w:val="19"/>
          <w:szCs w:val="19"/>
          <w:b w:val="1"/>
          <w:bCs w:val="1"/>
          <w:i w:val="1"/>
          <w:iCs w:val="1"/>
          <w:color w:val="auto"/>
        </w:rPr>
        <w:t>If conflicts arise with our development and commercialization collaborators or licensors, they may act in their own self-interest, which may be adverse to the interests of our company.</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We may in the future experience disagreements with our development and commercialization collaborators or licensors.</w:t>
      </w:r>
    </w:p>
    <w:p>
      <w:pPr>
        <w:spacing w:after="0" w:line="24" w:lineRule="exact"/>
        <w:rPr>
          <w:sz w:val="20"/>
          <w:szCs w:val="20"/>
          <w:color w:val="auto"/>
        </w:rPr>
      </w:pPr>
    </w:p>
    <w:p>
      <w:pPr>
        <w:spacing w:after="0"/>
        <w:rPr>
          <w:sz w:val="20"/>
          <w:szCs w:val="20"/>
          <w:color w:val="auto"/>
        </w:rPr>
      </w:pPr>
      <w:r>
        <w:rPr>
          <w:rFonts w:ascii="Arial" w:cs="Arial" w:eastAsia="Arial" w:hAnsi="Arial"/>
          <w:sz w:val="19"/>
          <w:szCs w:val="19"/>
          <w:color w:val="auto"/>
        </w:rPr>
        <w:t>Conflicts may arise in our collaboration and license arrangements with third parties due to one or more of the following:</w:t>
      </w:r>
    </w:p>
    <w:p>
      <w:pPr>
        <w:spacing w:after="0" w:line="109" w:lineRule="exact"/>
        <w:rPr>
          <w:sz w:val="20"/>
          <w:szCs w:val="20"/>
          <w:color w:val="auto"/>
        </w:rPr>
      </w:pPr>
    </w:p>
    <w:p>
      <w:pPr>
        <w:ind w:left="980" w:right="240" w:hanging="491"/>
        <w:spacing w:after="0" w:line="281" w:lineRule="auto"/>
        <w:tabs>
          <w:tab w:leader="none" w:pos="980" w:val="left"/>
        </w:tabs>
        <w:numPr>
          <w:ilvl w:val="0"/>
          <w:numId w:val="57"/>
        </w:numPr>
        <w:rPr>
          <w:rFonts w:ascii="Arial" w:cs="Arial" w:eastAsia="Arial" w:hAnsi="Arial"/>
          <w:sz w:val="19"/>
          <w:szCs w:val="19"/>
          <w:color w:val="auto"/>
        </w:rPr>
      </w:pPr>
      <w:r>
        <w:rPr>
          <w:rFonts w:ascii="Arial" w:cs="Arial" w:eastAsia="Arial" w:hAnsi="Arial"/>
          <w:sz w:val="19"/>
          <w:szCs w:val="19"/>
          <w:color w:val="auto"/>
        </w:rPr>
        <w:t>disputes with respect to milestone, royalty and other payments that are believed due under the applicable agreements;</w:t>
      </w:r>
    </w:p>
    <w:p>
      <w:pPr>
        <w:spacing w:after="0" w:line="58" w:lineRule="exact"/>
        <w:rPr>
          <w:rFonts w:ascii="Arial" w:cs="Arial" w:eastAsia="Arial" w:hAnsi="Arial"/>
          <w:sz w:val="19"/>
          <w:szCs w:val="19"/>
          <w:color w:val="auto"/>
        </w:rPr>
      </w:pPr>
    </w:p>
    <w:p>
      <w:pPr>
        <w:ind w:left="980" w:hanging="491"/>
        <w:spacing w:after="0"/>
        <w:tabs>
          <w:tab w:leader="none" w:pos="980" w:val="left"/>
        </w:tabs>
        <w:numPr>
          <w:ilvl w:val="0"/>
          <w:numId w:val="57"/>
        </w:numPr>
        <w:rPr>
          <w:rFonts w:ascii="Arial" w:cs="Arial" w:eastAsia="Arial" w:hAnsi="Arial"/>
          <w:sz w:val="19"/>
          <w:szCs w:val="19"/>
          <w:color w:val="auto"/>
        </w:rPr>
      </w:pPr>
      <w:r>
        <w:rPr>
          <w:rFonts w:ascii="Arial" w:cs="Arial" w:eastAsia="Arial" w:hAnsi="Arial"/>
          <w:sz w:val="19"/>
          <w:szCs w:val="19"/>
          <w:color w:val="auto"/>
        </w:rPr>
        <w:t>disagreements with respect to the ownership of intellectual property rights or scope of licenses;</w:t>
      </w:r>
    </w:p>
    <w:p>
      <w:pPr>
        <w:spacing w:after="0" w:line="132" w:lineRule="exact"/>
        <w:rPr>
          <w:rFonts w:ascii="Arial" w:cs="Arial" w:eastAsia="Arial" w:hAnsi="Arial"/>
          <w:sz w:val="19"/>
          <w:szCs w:val="19"/>
          <w:color w:val="auto"/>
        </w:rPr>
      </w:pPr>
    </w:p>
    <w:p>
      <w:pPr>
        <w:ind w:left="980" w:hanging="491"/>
        <w:spacing w:after="0"/>
        <w:tabs>
          <w:tab w:leader="none" w:pos="980" w:val="left"/>
        </w:tabs>
        <w:numPr>
          <w:ilvl w:val="0"/>
          <w:numId w:val="57"/>
        </w:numPr>
        <w:rPr>
          <w:rFonts w:ascii="Arial" w:cs="Arial" w:eastAsia="Arial" w:hAnsi="Arial"/>
          <w:sz w:val="19"/>
          <w:szCs w:val="19"/>
          <w:color w:val="auto"/>
        </w:rPr>
      </w:pPr>
      <w:r>
        <w:rPr>
          <w:rFonts w:ascii="Arial" w:cs="Arial" w:eastAsia="Arial" w:hAnsi="Arial"/>
          <w:sz w:val="19"/>
          <w:szCs w:val="19"/>
          <w:color w:val="auto"/>
        </w:rPr>
        <w:t>disagreements with respect to the scope of any reporting obligations;</w:t>
      </w:r>
    </w:p>
    <w:p>
      <w:pPr>
        <w:spacing w:after="0" w:line="132" w:lineRule="exact"/>
        <w:rPr>
          <w:rFonts w:ascii="Arial" w:cs="Arial" w:eastAsia="Arial" w:hAnsi="Arial"/>
          <w:sz w:val="19"/>
          <w:szCs w:val="19"/>
          <w:color w:val="auto"/>
        </w:rPr>
      </w:pPr>
    </w:p>
    <w:p>
      <w:pPr>
        <w:ind w:left="980" w:hanging="491"/>
        <w:spacing w:after="0"/>
        <w:tabs>
          <w:tab w:leader="none" w:pos="980" w:val="left"/>
        </w:tabs>
        <w:numPr>
          <w:ilvl w:val="0"/>
          <w:numId w:val="57"/>
        </w:numPr>
        <w:rPr>
          <w:rFonts w:ascii="Arial" w:cs="Arial" w:eastAsia="Arial" w:hAnsi="Arial"/>
          <w:sz w:val="19"/>
          <w:szCs w:val="19"/>
          <w:color w:val="auto"/>
        </w:rPr>
      </w:pPr>
      <w:r>
        <w:rPr>
          <w:rFonts w:ascii="Arial" w:cs="Arial" w:eastAsia="Arial" w:hAnsi="Arial"/>
          <w:sz w:val="19"/>
          <w:szCs w:val="19"/>
          <w:color w:val="auto"/>
        </w:rPr>
        <w:t>disagreements with respect to contract interpretation or the preferred course of development;</w:t>
      </w:r>
    </w:p>
    <w:p>
      <w:pPr>
        <w:spacing w:after="0" w:line="132" w:lineRule="exact"/>
        <w:rPr>
          <w:rFonts w:ascii="Arial" w:cs="Arial" w:eastAsia="Arial" w:hAnsi="Arial"/>
          <w:sz w:val="19"/>
          <w:szCs w:val="19"/>
          <w:color w:val="auto"/>
        </w:rPr>
      </w:pPr>
    </w:p>
    <w:p>
      <w:pPr>
        <w:ind w:left="980" w:right="300" w:hanging="491"/>
        <w:spacing w:after="0" w:line="281" w:lineRule="auto"/>
        <w:tabs>
          <w:tab w:leader="none" w:pos="980" w:val="left"/>
        </w:tabs>
        <w:numPr>
          <w:ilvl w:val="0"/>
          <w:numId w:val="57"/>
        </w:numPr>
        <w:rPr>
          <w:rFonts w:ascii="Arial" w:cs="Arial" w:eastAsia="Arial" w:hAnsi="Arial"/>
          <w:sz w:val="19"/>
          <w:szCs w:val="19"/>
          <w:color w:val="auto"/>
        </w:rPr>
      </w:pPr>
      <w:r>
        <w:rPr>
          <w:rFonts w:ascii="Arial" w:cs="Arial" w:eastAsia="Arial" w:hAnsi="Arial"/>
          <w:sz w:val="19"/>
          <w:szCs w:val="19"/>
          <w:color w:val="auto"/>
        </w:rPr>
        <w:t>unwillingness on the part of a collaborator to keep us informed regarding the progress of its development and commercialization activities, or to permit public disclosure of these activities; and</w:t>
      </w:r>
    </w:p>
    <w:p>
      <w:pPr>
        <w:spacing w:after="0" w:line="58" w:lineRule="exact"/>
        <w:rPr>
          <w:rFonts w:ascii="Arial" w:cs="Arial" w:eastAsia="Arial" w:hAnsi="Arial"/>
          <w:sz w:val="19"/>
          <w:szCs w:val="19"/>
          <w:color w:val="auto"/>
        </w:rPr>
      </w:pPr>
    </w:p>
    <w:p>
      <w:pPr>
        <w:ind w:left="980" w:right="80" w:hanging="491"/>
        <w:spacing w:after="0" w:line="281" w:lineRule="auto"/>
        <w:tabs>
          <w:tab w:leader="none" w:pos="980" w:val="left"/>
        </w:tabs>
        <w:numPr>
          <w:ilvl w:val="0"/>
          <w:numId w:val="57"/>
        </w:numPr>
        <w:rPr>
          <w:rFonts w:ascii="Arial" w:cs="Arial" w:eastAsia="Arial" w:hAnsi="Arial"/>
          <w:sz w:val="19"/>
          <w:szCs w:val="19"/>
          <w:color w:val="auto"/>
        </w:rPr>
      </w:pPr>
      <w:r>
        <w:rPr>
          <w:rFonts w:ascii="Arial" w:cs="Arial" w:eastAsia="Arial" w:hAnsi="Arial"/>
          <w:sz w:val="19"/>
          <w:szCs w:val="19"/>
          <w:color w:val="auto"/>
        </w:rPr>
        <w:t>disputes with respect to a collaborator’s or our development or commercialization efforts with respect to our products and product candidates.</w:t>
      </w:r>
    </w:p>
    <w:p>
      <w:pPr>
        <w:spacing w:after="0" w:line="45" w:lineRule="exact"/>
        <w:rPr>
          <w:sz w:val="20"/>
          <w:szCs w:val="20"/>
          <w:color w:val="auto"/>
        </w:rPr>
      </w:pPr>
    </w:p>
    <w:p>
      <w:pPr>
        <w:ind w:right="280"/>
        <w:spacing w:after="0" w:line="281" w:lineRule="auto"/>
        <w:rPr>
          <w:sz w:val="20"/>
          <w:szCs w:val="20"/>
          <w:color w:val="auto"/>
        </w:rPr>
      </w:pPr>
      <w:r>
        <w:rPr>
          <w:rFonts w:ascii="Arial" w:cs="Arial" w:eastAsia="Arial" w:hAnsi="Arial"/>
          <w:sz w:val="19"/>
          <w:szCs w:val="19"/>
          <w:color w:val="auto"/>
        </w:rPr>
        <w:t>Conflicts with our development and commercialization collaborators or licensors could materially adversely affect our business, financial condition or results of operations and future growth prospects.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75</w:t>
      </w:r>
    </w:p>
    <w:p>
      <w:pPr>
        <w:sectPr>
          <w:pgSz w:w="12240" w:h="15840" w:orient="portrait"/>
          <w:cols w:equalWidth="0" w:num="1">
            <w:col w:w="10060"/>
          </w:cols>
          <w:pgMar w:left="1080" w:top="1075" w:right="1100" w:bottom="173" w:gutter="0" w:footer="0" w:header="0"/>
        </w:sectPr>
      </w:pPr>
    </w:p>
    <w:bookmarkStart w:id="79" w:name="page80"/>
    <w:bookmarkEnd w:id="79"/>
    <w:p>
      <w:pPr>
        <w:ind w:right="160"/>
        <w:spacing w:after="0" w:line="255" w:lineRule="auto"/>
        <w:rPr>
          <w:sz w:val="20"/>
          <w:szCs w:val="20"/>
          <w:color w:val="auto"/>
        </w:rPr>
      </w:pPr>
      <w:r>
        <w:rPr>
          <w:rFonts w:ascii="Arial" w:cs="Arial" w:eastAsia="Arial" w:hAnsi="Arial"/>
          <w:sz w:val="19"/>
          <w:szCs w:val="19"/>
          <w:b w:val="1"/>
          <w:bCs w:val="1"/>
          <w:i w:val="1"/>
          <w:iCs w:val="1"/>
          <w:color w:val="auto"/>
        </w:rPr>
        <w:t>We rely on third parties, including independent clinical investigators and CROs to conduct and sponsor some of the clinical trials of our product candidates. Any failure by a third party to meet its obligations with respect to the clinical development of our product candidates may delay or impair our ability to obtain regulatory approval for our product candidates.</w:t>
      </w:r>
    </w:p>
    <w:p>
      <w:pPr>
        <w:spacing w:after="0" w:line="61" w:lineRule="exact"/>
        <w:rPr>
          <w:sz w:val="20"/>
          <w:szCs w:val="20"/>
          <w:color w:val="auto"/>
        </w:rPr>
      </w:pPr>
    </w:p>
    <w:p>
      <w:pPr>
        <w:ind w:right="80"/>
        <w:spacing w:after="0" w:line="248" w:lineRule="auto"/>
        <w:rPr>
          <w:sz w:val="20"/>
          <w:szCs w:val="20"/>
          <w:color w:val="auto"/>
        </w:rPr>
      </w:pPr>
      <w:r>
        <w:rPr>
          <w:rFonts w:ascii="Arial" w:cs="Arial" w:eastAsia="Arial" w:hAnsi="Arial"/>
          <w:sz w:val="19"/>
          <w:szCs w:val="19"/>
          <w:color w:val="auto"/>
        </w:rPr>
        <w:t>We have relied upon and plan to continue to rely upon third parties, including independent clinical investigators, academic partners, medical institutions, regulatory affairs consultants and third-party CROs, to conduct our preclinical studies and clinical trials, including in some instances sponsoring such clinical trials, and to engage with regulatory authorities and monitor and manage data for our ongoing preclinical and clinical programs. While we have, or will have, agreements governing the activities of such third parties, we will control only certain aspects of their activities and have limited influence over their actual performance.</w:t>
      </w:r>
    </w:p>
    <w:p>
      <w:pPr>
        <w:spacing w:after="0" w:line="76" w:lineRule="exact"/>
        <w:rPr>
          <w:sz w:val="20"/>
          <w:szCs w:val="20"/>
          <w:color w:val="auto"/>
        </w:rPr>
      </w:pPr>
    </w:p>
    <w:p>
      <w:pPr>
        <w:ind w:right="20"/>
        <w:spacing w:after="0" w:line="250" w:lineRule="auto"/>
        <w:rPr>
          <w:sz w:val="20"/>
          <w:szCs w:val="20"/>
          <w:color w:val="auto"/>
        </w:rPr>
      </w:pPr>
      <w:r>
        <w:rPr>
          <w:rFonts w:ascii="Arial" w:cs="Arial" w:eastAsia="Arial" w:hAnsi="Arial"/>
          <w:sz w:val="19"/>
          <w:szCs w:val="19"/>
          <w:color w:val="auto"/>
        </w:rPr>
        <w:t>Any of these third parties may terminate their engagements with us under certain circumstances. We may not be able to enter into alternative arrangements or do so on commercially reasonable terms. In addition, there is a natural transition period when a new contract research organization begins work. As a result, delays would likely occur, which could negatively impact our ability to meet our expected clinical development timelines and harm our business, financial condition and prospects.</w:t>
      </w:r>
    </w:p>
    <w:p>
      <w:pPr>
        <w:spacing w:after="0" w:line="74" w:lineRule="exact"/>
        <w:rPr>
          <w:sz w:val="20"/>
          <w:szCs w:val="20"/>
          <w:color w:val="auto"/>
        </w:rPr>
      </w:pPr>
    </w:p>
    <w:p>
      <w:pPr>
        <w:spacing w:after="0" w:line="242" w:lineRule="auto"/>
        <w:rPr>
          <w:sz w:val="20"/>
          <w:szCs w:val="20"/>
          <w:color w:val="auto"/>
        </w:rPr>
      </w:pPr>
      <w:r>
        <w:rPr>
          <w:rFonts w:ascii="Arial" w:cs="Arial" w:eastAsia="Arial" w:hAnsi="Arial"/>
          <w:sz w:val="19"/>
          <w:szCs w:val="19"/>
          <w:color w:val="auto"/>
        </w:rPr>
        <w:t>We remain responsible for ensuring that each of our preclinical studies and clinical trials is conducted in accordance with the applicable protocol and legal, regulatory and scientific standards, and our reliance on these third parties does not relieve us of our regulatory responsibilities. We and our third-party contractors and CROs are required to comply with GCP requirements, which are regulations and guidelines enforced by the FDA, the Competent Authorities of the Member States of the EEA and comparable foreign regulatory authorities for all of our products in clinical development. Regulatory authorities enforce these GCP requirements through periodic inspections of trial sponsors, principal investigators and trial sites. If we fail to exercise adequate oversight over any of our academic partners or CROs or if we or any of our academic partners or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the clinical data generated in our clinical trials may be deemed unreliable and the FDA, the EMA or comparable foreign regulatory authorities may require us to perform additional clinical trials before approving our marketing applications. We cannot assure you that upon a regulatory inspection of us, our academic partners or our CROs or other third parties performing services in connection with our clinical trials, such regulatory authority will determine that any of our clinical trials complies with GCP regulations. In addition, our clinical trials must be conducted with product produced under applicable cGMP regulations. Our failure to comply with these regulations may require us to repeat clinical trials, which would delay the regulatory approval process.</w:t>
      </w:r>
    </w:p>
    <w:p>
      <w:pPr>
        <w:spacing w:after="0" w:line="89" w:lineRule="exact"/>
        <w:rPr>
          <w:sz w:val="20"/>
          <w:szCs w:val="20"/>
          <w:color w:val="auto"/>
        </w:rPr>
      </w:pPr>
    </w:p>
    <w:p>
      <w:pPr>
        <w:spacing w:after="0" w:line="245" w:lineRule="auto"/>
        <w:rPr>
          <w:sz w:val="20"/>
          <w:szCs w:val="20"/>
          <w:color w:val="auto"/>
        </w:rPr>
      </w:pPr>
      <w:r>
        <w:rPr>
          <w:rFonts w:ascii="Arial" w:cs="Arial" w:eastAsia="Arial" w:hAnsi="Arial"/>
          <w:sz w:val="19"/>
          <w:szCs w:val="19"/>
          <w:color w:val="auto"/>
        </w:rPr>
        <w:t>Furthermore, the third parties conducting clinical trials on our behalf are not our employees, and except for remedies available to us under our agreements with such contractors, we cannot control whether or not they devote sufficient time, skill and resources to our ongoing development programs. These contractors may also have relationships with other commercial entities, including our competitors, for whom they may also be conducting clinical trials or other drug development activities, which could impede their ability to devote appropriate time to our clinical programs. If these third parties, including clinical investigators, do not successfully carry out their contractual duties, meet expected deadlines or conduct our clinical trials in accordance with regulatory requirements or our stated protocols, we may not be able to obtain, or may be delayed in obtaining, marketing approvals for our product candidates. If that occurs, we will not be able to, or may be delayed in our efforts to, successfully commercialize our product candidates.</w:t>
      </w:r>
    </w:p>
    <w:p>
      <w:pPr>
        <w:spacing w:after="0" w:line="79" w:lineRule="exact"/>
        <w:rPr>
          <w:sz w:val="20"/>
          <w:szCs w:val="20"/>
          <w:color w:val="auto"/>
        </w:rPr>
      </w:pPr>
    </w:p>
    <w:p>
      <w:pPr>
        <w:ind w:right="20"/>
        <w:spacing w:after="0" w:line="242" w:lineRule="auto"/>
        <w:rPr>
          <w:sz w:val="20"/>
          <w:szCs w:val="20"/>
          <w:color w:val="auto"/>
        </w:rPr>
      </w:pPr>
      <w:r>
        <w:rPr>
          <w:rFonts w:ascii="Arial" w:cs="Arial" w:eastAsia="Arial" w:hAnsi="Arial"/>
          <w:sz w:val="19"/>
          <w:szCs w:val="19"/>
          <w:color w:val="auto"/>
        </w:rPr>
        <w:t>In addition, with respect to investigator-sponsored trials that are being or may be conducted, we do not control the design or conduct of these trials, and it is possible that the FDA or EMA will not view these investigator-sponsored trials as providing adequate support for future clinical trials or market approval, whether controlled by us or third parties, for any one or more reasons, including elements of the design or execution of the trials or safety concerns or other trial results. We expect that such arrangements will provide us certain information rights with respect to the investigator-sponsored trials, including the ability to obtain a license to obtain access to use and reference the data, including for our own regulatory submissions, resulting from the investigator-sponsored trials. However, we do not have control over the timing and reporting of the data from investigator-sponsored trials, nor do we own the data from the investigator-sponsored trials. If we are unable to confirm or replicate the results from the investigator-sponsored trials or if negative results are obtained, we would likely be further delayed or prevented from advancing further clinical development.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conducted by us, then our ability to design and conduct any future clinical trials ourselves may be adversely affected. Additionally, the FDA or EMA may disagree with the sufficiency of our right of reference to the preclinical, manufacturing or clinical data generated by these investigator-sponsored trials, or our interpretation of preclinical, manufacturing or clinical data from these investigator-sponsored trials. If so, the FDA or EMA may require us to obtain and submit additional preclinical, manufacturing, or clinical data.</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76</w:t>
      </w:r>
    </w:p>
    <w:p>
      <w:pPr>
        <w:sectPr>
          <w:pgSz w:w="12240" w:h="15840" w:orient="portrait"/>
          <w:cols w:equalWidth="0" w:num="1">
            <w:col w:w="10080"/>
          </w:cols>
          <w:pgMar w:left="1080" w:top="1066" w:right="1080" w:bottom="173" w:gutter="0" w:footer="0" w:header="0"/>
        </w:sectPr>
      </w:pPr>
    </w:p>
    <w:bookmarkStart w:id="80" w:name="page81"/>
    <w:bookmarkEnd w:id="80"/>
    <w:p>
      <w:pPr>
        <w:spacing w:after="0" w:line="255" w:lineRule="auto"/>
        <w:rPr>
          <w:sz w:val="20"/>
          <w:szCs w:val="20"/>
          <w:color w:val="auto"/>
        </w:rPr>
      </w:pPr>
      <w:r>
        <w:rPr>
          <w:rFonts w:ascii="Arial" w:cs="Arial" w:eastAsia="Arial" w:hAnsi="Arial"/>
          <w:sz w:val="19"/>
          <w:szCs w:val="19"/>
          <w:b w:val="1"/>
          <w:bCs w:val="1"/>
          <w:i w:val="1"/>
          <w:iCs w:val="1"/>
          <w:color w:val="auto"/>
        </w:rPr>
        <w:t>If the manufacturers upon which we may rely fail to produce our product candidates in the volumes that we require on a timely basis, or fail to comply with stringent regulations applicable to biopharmaceutical manufacturers, we may face delays in the development and commercialization of, or be unable to meet demand for, our product candidates and may lose potential revenues.</w:t>
      </w:r>
    </w:p>
    <w:p>
      <w:pPr>
        <w:spacing w:after="0" w:line="61" w:lineRule="exact"/>
        <w:rPr>
          <w:sz w:val="20"/>
          <w:szCs w:val="20"/>
          <w:color w:val="auto"/>
        </w:rPr>
      </w:pPr>
    </w:p>
    <w:p>
      <w:pPr>
        <w:ind w:right="20"/>
        <w:spacing w:after="0" w:line="246" w:lineRule="auto"/>
        <w:rPr>
          <w:sz w:val="20"/>
          <w:szCs w:val="20"/>
          <w:color w:val="auto"/>
        </w:rPr>
      </w:pPr>
      <w:r>
        <w:rPr>
          <w:rFonts w:ascii="Arial" w:cs="Arial" w:eastAsia="Arial" w:hAnsi="Arial"/>
          <w:sz w:val="19"/>
          <w:szCs w:val="19"/>
          <w:color w:val="auto"/>
        </w:rPr>
        <w:t>We also expect to develop commercial-scale manufacturing at third-party manufacturers for our product candidate CAN-2409. We may develop clinical manufacturing capabilities for CAN-3110 at third-party manufacturers. There can be no assurance that our supply of clinical product will not be limited, interrupted, or of satisfactory quality or continue to be available at acceptable prices. In particular, any replacement of our CDMOs could require significant effort and expertise because there may be a limited number of qualified replacements. Any delays in obtaining adequate supplies of our product candidates that meet the necessary quality standards, including delays caused by any future public health crisis, may delay our development or commercialization.</w:t>
      </w:r>
    </w:p>
    <w:p>
      <w:pPr>
        <w:spacing w:after="0" w:line="82" w:lineRule="exact"/>
        <w:rPr>
          <w:sz w:val="20"/>
          <w:szCs w:val="20"/>
          <w:color w:val="auto"/>
        </w:rPr>
      </w:pPr>
    </w:p>
    <w:p>
      <w:pPr>
        <w:ind w:right="20"/>
        <w:spacing w:after="0" w:line="244" w:lineRule="auto"/>
        <w:rPr>
          <w:sz w:val="20"/>
          <w:szCs w:val="20"/>
          <w:color w:val="auto"/>
        </w:rPr>
      </w:pPr>
      <w:r>
        <w:rPr>
          <w:rFonts w:ascii="Arial" w:cs="Arial" w:eastAsia="Arial" w:hAnsi="Arial"/>
          <w:sz w:val="19"/>
          <w:szCs w:val="19"/>
          <w:color w:val="auto"/>
        </w:rPr>
        <w:t>We may not succeed in our efforts to establish manufacturing relationships or other alternative arrangements for any of our product candidates or programs. Our product candidates may compete with other products and product candidates for access to manufacturing facilities. There are a limited number of manufacturers that operate under cGMP regulations and that are both capable of manufacturing and filling our viral product for us and willing to do so. If our existing third-party manufacturers, or the third parties that we engage in the future, should cease to work with us, we likely would experience delays in obtaining sufficient quantities of our product candidates for us to meet commercial demand or to advance our clinical trials while we identify and qualify replacement suppliers. If for any reason we are unable to obtain adequate supplies of our product candidates or the therapeutic substances used to manufacture them, it will be more difficult for us to develop our product candidates and compete effectively. Further, even if we do establish such collaborations or arrangements, our third-party manufacturers may breach, terminate, or not renew these agreements.</w:t>
      </w:r>
    </w:p>
    <w:p>
      <w:pPr>
        <w:spacing w:after="0" w:line="80" w:lineRule="exact"/>
        <w:rPr>
          <w:sz w:val="20"/>
          <w:szCs w:val="20"/>
          <w:color w:val="auto"/>
        </w:rPr>
      </w:pPr>
    </w:p>
    <w:p>
      <w:pPr>
        <w:ind w:right="120"/>
        <w:spacing w:after="0" w:line="248" w:lineRule="auto"/>
        <w:rPr>
          <w:sz w:val="20"/>
          <w:szCs w:val="20"/>
          <w:color w:val="auto"/>
        </w:rPr>
      </w:pPr>
      <w:r>
        <w:rPr>
          <w:rFonts w:ascii="Arial" w:cs="Arial" w:eastAsia="Arial" w:hAnsi="Arial"/>
          <w:sz w:val="19"/>
          <w:szCs w:val="19"/>
          <w:color w:val="auto"/>
        </w:rPr>
        <w:t>Any problems or delays we experience in preparing for commercial-scale manufacturing of a product candidate or component may result in a delay in product development timelines and FDA or comparable foreign regulatory authority approval of the product candidate or may impair our ability to manufacture commercial quantities or such quantities at an acceptable cost and quality, which could result in the delay, prevention, or impairment of clinical development and commercialization of our product candidates and may materially harm our business, financial condition, results of operations, stock price and prospects.</w:t>
      </w:r>
    </w:p>
    <w:p>
      <w:pPr>
        <w:spacing w:after="0" w:line="76" w:lineRule="exact"/>
        <w:rPr>
          <w:sz w:val="20"/>
          <w:szCs w:val="20"/>
          <w:color w:val="auto"/>
        </w:rPr>
      </w:pPr>
    </w:p>
    <w:p>
      <w:pPr>
        <w:ind w:right="100"/>
        <w:spacing w:after="0" w:line="246" w:lineRule="auto"/>
        <w:rPr>
          <w:sz w:val="20"/>
          <w:szCs w:val="20"/>
          <w:color w:val="auto"/>
        </w:rPr>
      </w:pPr>
      <w:r>
        <w:rPr>
          <w:rFonts w:ascii="Arial" w:cs="Arial" w:eastAsia="Arial" w:hAnsi="Arial"/>
          <w:sz w:val="19"/>
          <w:szCs w:val="19"/>
          <w:color w:val="auto"/>
        </w:rPr>
        <w:t>The manufacture of biopharmaceutical products requires significant expertise and capital investment, including the development of advanced manufacturing techniques and process controls. Manufacturers of therapeutics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or key raw materials, and compliance with strictly enforced federal, state, and foreign regulations. Our CDMOs may not perform as agreed. If our manufacturers were to encounter these or other difficulties, our ability to provide product candidates to patients in our clinical trials could be jeopardized.</w:t>
      </w:r>
    </w:p>
    <w:p>
      <w:pPr>
        <w:spacing w:after="0" w:line="82" w:lineRule="exact"/>
        <w:rPr>
          <w:sz w:val="20"/>
          <w:szCs w:val="20"/>
          <w:color w:val="auto"/>
        </w:rPr>
      </w:pPr>
    </w:p>
    <w:p>
      <w:pPr>
        <w:spacing w:after="0" w:line="243" w:lineRule="auto"/>
        <w:rPr>
          <w:sz w:val="20"/>
          <w:szCs w:val="20"/>
          <w:color w:val="auto"/>
        </w:rPr>
      </w:pPr>
      <w:r>
        <w:rPr>
          <w:rFonts w:ascii="Arial" w:cs="Arial" w:eastAsia="Arial" w:hAnsi="Arial"/>
          <w:sz w:val="19"/>
          <w:szCs w:val="19"/>
          <w:color w:val="auto"/>
        </w:rPr>
        <w:t>CDMOs of our product candidates may be unable to comply with our specifications, applicable cGMP requirements or other FDA, state or foreign regulatory requirements. Poor control of production processes can lead to the introduction of adventitious agents or other contaminants, or to inadvertent changes in the properties or stability of a product candidate that may not be detectable in final product testing. If our CDMOs cannot successfully manufacture material that conforms to our specifications and the strict regulatory requirements of the FDA or other regulatory authorities, they will not be able to secure or maintain regulatory approval for their manufacturing facilities. Any such deviations may also require remedial measures that may be costly and/or time consuming for us or a third party to implement and that may include the temporary or permanent suspension of a clinical trial or the temporary or permanent closure of a facility. Any such remedial measures imposed upon us or third parties with whom we contract could materially harm our business. Any delays in obtaining products or product candidates that comply with the applicable regulatory requirements may result in delays to clinical trials, product approvals, and commercialization. It may also require that we conduct additional studies.</w:t>
      </w:r>
    </w:p>
    <w:p>
      <w:pPr>
        <w:spacing w:after="0" w:line="87" w:lineRule="exact"/>
        <w:rPr>
          <w:sz w:val="20"/>
          <w:szCs w:val="20"/>
          <w:color w:val="auto"/>
        </w:rPr>
      </w:pPr>
    </w:p>
    <w:p>
      <w:pPr>
        <w:ind w:right="40"/>
        <w:spacing w:after="0" w:line="244" w:lineRule="auto"/>
        <w:rPr>
          <w:sz w:val="20"/>
          <w:szCs w:val="20"/>
          <w:color w:val="auto"/>
        </w:rPr>
      </w:pPr>
      <w:r>
        <w:rPr>
          <w:rFonts w:ascii="Arial" w:cs="Arial" w:eastAsia="Arial" w:hAnsi="Arial"/>
          <w:sz w:val="19"/>
          <w:szCs w:val="19"/>
          <w:color w:val="auto"/>
        </w:rPr>
        <w:t>While we are ultimately responsible for the manufacturing of our product candidates and therapeutic substances, other than through our contractual arrangements, we have little control over our manufacturers’ compliance with these regulations and standards.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Any new manufacturers would need to either obtain or develop the necessary manufacturing know-how, and obtain the necessary equipment and materials, which may take substantial time and investment. We must also receive approval from the FDA and applicable comparable foreign regulatory authorities for the use of any new manufacturers for commercial supply. The regulatory authorities may also require additional studies if a new manufacturer is relied upon for commercial production. In some cases, the technical skills required to manufacture our product candidates may be unique or proprietary to the original CDMO and we may have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77</w:t>
      </w:r>
    </w:p>
    <w:p>
      <w:pPr>
        <w:sectPr>
          <w:pgSz w:w="12240" w:h="15840" w:orient="portrait"/>
          <w:cols w:equalWidth="0" w:num="1">
            <w:col w:w="10060"/>
          </w:cols>
          <w:pgMar w:left="1080" w:top="1066" w:right="1100" w:bottom="173" w:gutter="0" w:footer="0" w:header="0"/>
        </w:sectPr>
      </w:pPr>
    </w:p>
    <w:bookmarkStart w:id="81" w:name="page82"/>
    <w:bookmarkEnd w:id="81"/>
    <w:p>
      <w:pPr>
        <w:spacing w:after="0" w:line="243" w:lineRule="auto"/>
        <w:rPr>
          <w:sz w:val="20"/>
          <w:szCs w:val="20"/>
          <w:color w:val="auto"/>
        </w:rPr>
      </w:pPr>
      <w:r>
        <w:rPr>
          <w:rFonts w:ascii="Arial" w:cs="Arial" w:eastAsia="Arial" w:hAnsi="Arial"/>
          <w:sz w:val="19"/>
          <w:szCs w:val="19"/>
          <w:color w:val="auto"/>
        </w:rPr>
        <w:t>difficulty, or there may be contractual restrictions prohibiting us from, transferring such skills to a back-up or alternate supplier, or we may be unable to transfer such skills at all. In addition, if we are required to change CDMOs for any reason, we will be required to verify that the new CDMO maintains facilities and procedures that comply with quality standards and with all applicable regulations. We will also need to verify, such as through a manufacturing comparability study, that any new manufacturing process will produce our product or product candidate according to the specifications previously submitted to or approved by the FDA or another regulatory authority. The delays associated with the verification of a new CDMO could negatively affect our ability to develop product candidates or once approved, to commercialize those product candidates in a timely manner or within budget.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Accordingly, switching manufacturers may involve substantial costs and is likely to result in a delay in our desired clinical and commercial timelines.</w:t>
      </w:r>
    </w:p>
    <w:p>
      <w:pPr>
        <w:spacing w:after="0" w:line="84" w:lineRule="exact"/>
        <w:rPr>
          <w:sz w:val="20"/>
          <w:szCs w:val="20"/>
          <w:color w:val="auto"/>
        </w:rPr>
      </w:pPr>
    </w:p>
    <w:p>
      <w:pPr>
        <w:ind w:right="20"/>
        <w:spacing w:after="0" w:line="244" w:lineRule="auto"/>
        <w:rPr>
          <w:sz w:val="20"/>
          <w:szCs w:val="20"/>
          <w:color w:val="auto"/>
        </w:rPr>
      </w:pPr>
      <w:r>
        <w:rPr>
          <w:rFonts w:ascii="Arial" w:cs="Arial" w:eastAsia="Arial" w:hAnsi="Arial"/>
          <w:sz w:val="19"/>
          <w:szCs w:val="19"/>
          <w:color w:val="auto"/>
        </w:rPr>
        <w:t>A failure to comply with the applicable regulatory requirements, including periodic regulatory inspections, may result in regulatory enforcement actions against our manufacturers or us (including fines and civil and criminal penalties, including imprisonment) suspension or restrictions of production, injunctions, delay or denial of product approval or supplements to approved products, clinical holds or termination of clinical trials, warning or untitled letters, regulatory authority communications warning the public about safety issues with the product candidate, refusal to permit the import or export of the products, product seizure, detention, or recall, operating restrictions, suits under the civil False Claims Act, corporate integrity agreements, consent decrees, withdrawal of product approval, environmental or safety incidents and other liabilities. If the safety of any quantities supplied is compromised due to our manufacturers’ failure to adhere to applicable laws or for other reasons, we may not be able to obtain regulatory approval for or successfully commercialize our product candidates.</w:t>
      </w:r>
    </w:p>
    <w:p>
      <w:pPr>
        <w:spacing w:after="0" w:line="84" w:lineRule="exact"/>
        <w:rPr>
          <w:sz w:val="20"/>
          <w:szCs w:val="20"/>
          <w:color w:val="auto"/>
        </w:rPr>
      </w:pPr>
    </w:p>
    <w:p>
      <w:pPr>
        <w:ind w:right="180"/>
        <w:spacing w:after="0" w:line="253" w:lineRule="auto"/>
        <w:rPr>
          <w:sz w:val="20"/>
          <w:szCs w:val="20"/>
          <w:color w:val="auto"/>
        </w:rPr>
      </w:pPr>
      <w:r>
        <w:rPr>
          <w:rFonts w:ascii="Arial" w:cs="Arial" w:eastAsia="Arial" w:hAnsi="Arial"/>
          <w:sz w:val="19"/>
          <w:szCs w:val="19"/>
          <w:color w:val="auto"/>
        </w:rPr>
        <w:t>Any failure or refusal to supply our product candidates or components for our product candidates that we may develop could delay, prevent or impair our clinical development or commercialization efforts. Any change in our manufacturers could be costly because the commercial terms of any new arrangement could be less favorable and because the expenses relating to the transfer of necessary technology and processes could be significant.</w:t>
      </w:r>
    </w:p>
    <w:p>
      <w:pPr>
        <w:spacing w:after="0" w:line="77" w:lineRule="exact"/>
        <w:rPr>
          <w:sz w:val="20"/>
          <w:szCs w:val="20"/>
          <w:color w:val="auto"/>
        </w:rPr>
      </w:pPr>
    </w:p>
    <w:p>
      <w:pPr>
        <w:ind w:right="260"/>
        <w:spacing w:after="0" w:line="255" w:lineRule="auto"/>
        <w:rPr>
          <w:sz w:val="20"/>
          <w:szCs w:val="20"/>
          <w:color w:val="auto"/>
        </w:rPr>
      </w:pPr>
      <w:r>
        <w:rPr>
          <w:rFonts w:ascii="Arial" w:cs="Arial" w:eastAsia="Arial" w:hAnsi="Arial"/>
          <w:sz w:val="19"/>
          <w:szCs w:val="19"/>
          <w:b w:val="1"/>
          <w:bCs w:val="1"/>
          <w:i w:val="1"/>
          <w:iCs w:val="1"/>
          <w:color w:val="auto"/>
        </w:rPr>
        <w:t>Some of our product candidates are being and may be studied in third-party research and clinical trials sponsored by organizations or agencies other than us, or in investigator-sponsored clinical trials, which means we will have minimal or no control over the conduct of such trials and which may adversely affect our ability to obtain marketing approval or certain regulatory exclusivities.</w:t>
      </w:r>
    </w:p>
    <w:p>
      <w:pPr>
        <w:spacing w:after="0" w:line="61" w:lineRule="exact"/>
        <w:rPr>
          <w:sz w:val="20"/>
          <w:szCs w:val="20"/>
          <w:color w:val="auto"/>
        </w:rPr>
      </w:pPr>
    </w:p>
    <w:p>
      <w:pPr>
        <w:ind w:right="20"/>
        <w:spacing w:after="0" w:line="242" w:lineRule="auto"/>
        <w:rPr>
          <w:sz w:val="20"/>
          <w:szCs w:val="20"/>
          <w:color w:val="auto"/>
        </w:rPr>
      </w:pPr>
      <w:r>
        <w:rPr>
          <w:rFonts w:ascii="Arial" w:cs="Arial" w:eastAsia="Arial" w:hAnsi="Arial"/>
          <w:sz w:val="19"/>
          <w:szCs w:val="19"/>
          <w:color w:val="auto"/>
        </w:rPr>
        <w:t>We have supplied and may continue to supply and otherwise support third party research, including investigator-sponsored clinical trials. Investigator-sponsored clinical trials pose similar risks as those set forth elsewhere in this “Risk Factors” section relating to our internally-sponsored clinical trials, but because we are not be the sponsors of these trials, we have less control over the protocols, administration or conduct of these trials, including follow-up with patients and ongoing collection of data after treatment. Additionally, third party clinical research has been and may continue to be conducted with CAN-3110 and CAN-2409 which was not provided by us. The conduct or findings of these trials may have a negative impact on our development programs notwithstanding that we have little involvement or control over these trials. As a result, we are subject to additional risks associated with the way investigator-sponsored trials are conducted. In particular, for trials in which we supply drug product, we may be named in lawsuits that would lead to increased costs associated with legal defense. Additional risks include difficulties or delays in communicating with investigators or administrators, procedural delays and other timing issues and difficulties or differences in interpreting data. Third-party investigators may design clinical trials with clinical endpoints that are more difficult to achieve, or in other ways that increase the risk of negative clinical trial results compared to clinical trials that we may design on our own. Negative results in investigator-sponsored clinical trials could have a material adverse effect on our efforts to obtain regulatory approval for our product candidates and the public perception of our product candidates. As a result, our lack of control over the conduct and timing of and communications with the FDA and other regulatory authorities regarding investigator-sponsored trials may expose us to additional risks and uncertainties, many of which are outside our control, and the occurrence of which could adversely affect the commercial prospects for our product candidates. In addition, third parties that are investigating product candidates which have not been provided by us may seek and obtain regulatory approval of product candidates before we do, which may adversely affect our development strategy and eligibility for certain exclusivities for which we may otherwise be eligible.</w:t>
      </w:r>
    </w:p>
    <w:p>
      <w:pPr>
        <w:spacing w:after="0" w:line="86" w:lineRule="exact"/>
        <w:rPr>
          <w:sz w:val="20"/>
          <w:szCs w:val="20"/>
          <w:color w:val="auto"/>
        </w:rPr>
      </w:pPr>
    </w:p>
    <w:p>
      <w:pPr>
        <w:ind w:right="380"/>
        <w:spacing w:after="0" w:line="287" w:lineRule="auto"/>
        <w:rPr>
          <w:sz w:val="20"/>
          <w:szCs w:val="20"/>
          <w:color w:val="auto"/>
        </w:rPr>
      </w:pPr>
      <w:r>
        <w:rPr>
          <w:rFonts w:ascii="Arial" w:cs="Arial" w:eastAsia="Arial" w:hAnsi="Arial"/>
          <w:sz w:val="19"/>
          <w:szCs w:val="19"/>
          <w:b w:val="1"/>
          <w:bCs w:val="1"/>
          <w:i w:val="1"/>
          <w:iCs w:val="1"/>
          <w:color w:val="auto"/>
        </w:rPr>
        <w:t>We have completed and may in the future complete related party transactions that were not and may not be conducted on an arm’s length basis.</w:t>
      </w:r>
    </w:p>
    <w:p>
      <w:pPr>
        <w:spacing w:after="0" w:line="30" w:lineRule="exact"/>
        <w:rPr>
          <w:sz w:val="20"/>
          <w:szCs w:val="20"/>
          <w:color w:val="auto"/>
        </w:rPr>
      </w:pPr>
    </w:p>
    <w:p>
      <w:pPr>
        <w:ind w:right="120"/>
        <w:spacing w:after="0" w:line="253" w:lineRule="auto"/>
        <w:rPr>
          <w:sz w:val="20"/>
          <w:szCs w:val="20"/>
          <w:color w:val="auto"/>
        </w:rPr>
      </w:pPr>
      <w:r>
        <w:rPr>
          <w:rFonts w:ascii="Arial" w:cs="Arial" w:eastAsia="Arial" w:hAnsi="Arial"/>
          <w:sz w:val="19"/>
          <w:szCs w:val="19"/>
          <w:color w:val="auto"/>
        </w:rPr>
        <w:t>We have in the past been and continue to be party to certain transactions with certain entities affiliated with Estuardo Aguilar-Cordova, our founder and former Chief Scientific Officer, and Laura Aguilar, our former Chief Medical Officer. For instance, we have entered into an exclusive license agreement with Ventagen, LLC (Ventagen), an entity owned in part (49.5%), though not managed, by Estuardo Aguilar-Cordova and Laura Aguilar, for the use of worldwide patent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78</w:t>
      </w:r>
    </w:p>
    <w:p>
      <w:pPr>
        <w:sectPr>
          <w:pgSz w:w="12240" w:h="15840" w:orient="portrait"/>
          <w:cols w:equalWidth="0" w:num="1">
            <w:col w:w="10080"/>
          </w:cols>
          <w:pgMar w:left="1080" w:top="1062" w:right="1080" w:bottom="173" w:gutter="0" w:footer="0" w:header="0"/>
        </w:sectPr>
      </w:pPr>
    </w:p>
    <w:bookmarkStart w:id="82" w:name="page83"/>
    <w:bookmarkEnd w:id="82"/>
    <w:p>
      <w:pPr>
        <w:ind w:right="260"/>
        <w:spacing w:after="0" w:line="281" w:lineRule="auto"/>
        <w:rPr>
          <w:sz w:val="20"/>
          <w:szCs w:val="20"/>
          <w:color w:val="auto"/>
        </w:rPr>
      </w:pPr>
      <w:r>
        <w:rPr>
          <w:rFonts w:ascii="Arial" w:cs="Arial" w:eastAsia="Arial" w:hAnsi="Arial"/>
          <w:sz w:val="19"/>
          <w:szCs w:val="19"/>
          <w:color w:val="auto"/>
        </w:rPr>
        <w:t>rights and know-how owned or controlled by us which cover applicable technology utilizing the delivery method of the herpes derived TK protein to tumors or other tissues via a viral vector.</w:t>
      </w:r>
    </w:p>
    <w:p>
      <w:pPr>
        <w:spacing w:after="0" w:line="45" w:lineRule="exact"/>
        <w:rPr>
          <w:sz w:val="20"/>
          <w:szCs w:val="20"/>
          <w:color w:val="auto"/>
        </w:rPr>
      </w:pPr>
    </w:p>
    <w:p>
      <w:pPr>
        <w:ind w:right="120"/>
        <w:spacing w:after="0" w:line="245" w:lineRule="auto"/>
        <w:rPr>
          <w:sz w:val="20"/>
          <w:szCs w:val="20"/>
          <w:color w:val="auto"/>
        </w:rPr>
      </w:pPr>
      <w:r>
        <w:rPr>
          <w:rFonts w:ascii="Arial" w:cs="Arial" w:eastAsia="Arial" w:hAnsi="Arial"/>
          <w:sz w:val="19"/>
          <w:szCs w:val="19"/>
          <w:color w:val="auto"/>
        </w:rPr>
        <w:t>In January 2008, we entered into an operating lease agreement with a term through December 31, 2022 with Ellka Holdings, LLC (Ellka), for the space in which we operated in Auburndale, MA. In May 2016, we entered into a second lease agreement with Ellka for living space for employees, also in Auburndale, MA. We entered into a second lease for this space on July 26, 2018, which expired on July 31, 2019. Ellka was originally established in 2007 as an LLC for the purpose of acquiring and managing investment properties owned by Laura Aguilar and Estuardo Aguilar-Cordova and their children’s trusts. Ellka is owned and operated by Laura Aguilar and Estuardo Aguilar-Cordova and members of their immediate family. Although we believe that these transactions were conducted on an arm’s length basis, it is possible that the terms were less favorable to us than they might have been in a transaction with an unrelated party.</w:t>
      </w:r>
    </w:p>
    <w:p>
      <w:pPr>
        <w:spacing w:after="0" w:line="84" w:lineRule="exact"/>
        <w:rPr>
          <w:sz w:val="20"/>
          <w:szCs w:val="20"/>
          <w:color w:val="auto"/>
        </w:rPr>
      </w:pPr>
    </w:p>
    <w:p>
      <w:pPr>
        <w:spacing w:after="0" w:line="246" w:lineRule="auto"/>
        <w:rPr>
          <w:sz w:val="20"/>
          <w:szCs w:val="20"/>
          <w:color w:val="auto"/>
        </w:rPr>
      </w:pPr>
      <w:r>
        <w:rPr>
          <w:rFonts w:ascii="Arial" w:cs="Arial" w:eastAsia="Arial" w:hAnsi="Arial"/>
          <w:sz w:val="19"/>
          <w:szCs w:val="19"/>
          <w:color w:val="auto"/>
        </w:rPr>
        <w:t>As of March 21, 2024, Estuardo Aguilar-Cordova and Laura Aguilar beneficially owned 6,200,755 shares of our common stock, or approximately 21.1% of our total outstanding capital stock as of such date. Accordingly, they will continue to have significant influence over all business decisions, including with respect to such matters as amendments to our charter, other fundamental corporate transactions, such as mergers, asset sales, and the sale of the Company, and otherwise will be able to influence our business and affairs. In connection with the IPO, we adopted a written related-person transactions policy that sets forth our policies and procedures regarding the identification, review, consideration and oversight of related-person transactions.</w:t>
      </w:r>
    </w:p>
    <w:p>
      <w:pPr>
        <w:spacing w:after="0" w:line="86" w:lineRule="exact"/>
        <w:rPr>
          <w:sz w:val="20"/>
          <w:szCs w:val="20"/>
          <w:color w:val="auto"/>
        </w:rPr>
      </w:pPr>
    </w:p>
    <w:p>
      <w:pPr>
        <w:ind w:right="600"/>
        <w:spacing w:after="0" w:line="287" w:lineRule="auto"/>
        <w:rPr>
          <w:sz w:val="20"/>
          <w:szCs w:val="20"/>
          <w:color w:val="auto"/>
        </w:rPr>
      </w:pPr>
      <w:r>
        <w:rPr>
          <w:rFonts w:ascii="Arial" w:cs="Arial" w:eastAsia="Arial" w:hAnsi="Arial"/>
          <w:sz w:val="19"/>
          <w:szCs w:val="19"/>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30" w:lineRule="exact"/>
        <w:rPr>
          <w:sz w:val="20"/>
          <w:szCs w:val="20"/>
          <w:color w:val="auto"/>
        </w:rPr>
      </w:pPr>
    </w:p>
    <w:p>
      <w:pPr>
        <w:ind w:right="40"/>
        <w:spacing w:after="0" w:line="246" w:lineRule="auto"/>
        <w:rPr>
          <w:sz w:val="20"/>
          <w:szCs w:val="20"/>
          <w:color w:val="auto"/>
        </w:rPr>
      </w:pPr>
      <w:r>
        <w:rPr>
          <w:rFonts w:ascii="Arial" w:cs="Arial" w:eastAsia="Arial" w:hAnsi="Arial"/>
          <w:sz w:val="19"/>
          <w:szCs w:val="19"/>
          <w:color w:val="auto"/>
        </w:rPr>
        <w:t>Because we rely on third parties to manufacture our product candidates, and because we collaborate with various organizations and academic institutions on the development of our product candidates,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w:t>
      </w:r>
    </w:p>
    <w:p>
      <w:pPr>
        <w:spacing w:after="0" w:line="82" w:lineRule="exact"/>
        <w:rPr>
          <w:sz w:val="20"/>
          <w:szCs w:val="20"/>
          <w:color w:val="auto"/>
        </w:rPr>
      </w:pPr>
    </w:p>
    <w:p>
      <w:pPr>
        <w:ind w:right="120"/>
        <w:spacing w:after="0" w:line="248" w:lineRule="auto"/>
        <w:rPr>
          <w:sz w:val="20"/>
          <w:szCs w:val="20"/>
          <w:color w:val="auto"/>
        </w:rPr>
      </w:pPr>
      <w:r>
        <w:rPr>
          <w:rFonts w:ascii="Arial" w:cs="Arial" w:eastAsia="Arial" w:hAnsi="Arial"/>
          <w:sz w:val="19"/>
          <w:szCs w:val="19"/>
          <w:color w:val="auto"/>
        </w:rPr>
        <w:t>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76" w:lineRule="exact"/>
        <w:rPr>
          <w:sz w:val="20"/>
          <w:szCs w:val="20"/>
          <w:color w:val="auto"/>
        </w:rPr>
      </w:pPr>
    </w:p>
    <w:p>
      <w:pPr>
        <w:ind w:right="20"/>
        <w:spacing w:after="0" w:line="245" w:lineRule="auto"/>
        <w:rPr>
          <w:sz w:val="20"/>
          <w:szCs w:val="20"/>
          <w:color w:val="auto"/>
        </w:rPr>
      </w:pPr>
      <w:r>
        <w:rPr>
          <w:rFonts w:ascii="Arial" w:cs="Arial" w:eastAsia="Arial" w:hAnsi="Arial"/>
          <w:sz w:val="19"/>
          <w:szCs w:val="19"/>
          <w:color w:val="auto"/>
        </w:rPr>
        <w:t>In addition,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 and have an adverse impact on our business.</w:t>
      </w:r>
    </w:p>
    <w:p>
      <w:pPr>
        <w:spacing w:after="0" w:line="7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Intellectual Property</w:t>
      </w:r>
    </w:p>
    <w:p>
      <w:pPr>
        <w:spacing w:after="0" w:line="128" w:lineRule="exact"/>
        <w:rPr>
          <w:sz w:val="20"/>
          <w:szCs w:val="20"/>
          <w:color w:val="auto"/>
        </w:rPr>
      </w:pPr>
    </w:p>
    <w:p>
      <w:pPr>
        <w:ind w:right="20"/>
        <w:spacing w:after="0" w:line="251" w:lineRule="auto"/>
        <w:rPr>
          <w:sz w:val="20"/>
          <w:szCs w:val="20"/>
          <w:color w:val="auto"/>
        </w:rPr>
      </w:pPr>
      <w:r>
        <w:rPr>
          <w:rFonts w:ascii="Arial" w:cs="Arial" w:eastAsia="Arial" w:hAnsi="Arial"/>
          <w:sz w:val="19"/>
          <w:szCs w:val="19"/>
          <w:b w:val="1"/>
          <w:bCs w:val="1"/>
          <w:i w:val="1"/>
          <w:iCs w:val="1"/>
          <w:color w:val="auto"/>
        </w:rPr>
        <w:t>Our rights to develop and commercialize certain of our product candidates are subject and may in the future be subject, in part, to the terms and conditions of licenses granted to us by third parties. If we fail to comply with our obligations under our current or future intellectual property license agreements or otherwise experience disruptions to our business relationships with our current or any future licensors, we could lose intellectual property rights that are important to our business.</w:t>
      </w:r>
    </w:p>
    <w:p>
      <w:pPr>
        <w:spacing w:after="0" w:line="66" w:lineRule="exact"/>
        <w:rPr>
          <w:sz w:val="20"/>
          <w:szCs w:val="20"/>
          <w:color w:val="auto"/>
        </w:rPr>
      </w:pPr>
    </w:p>
    <w:p>
      <w:pPr>
        <w:ind w:right="240"/>
        <w:spacing w:after="0" w:line="246" w:lineRule="auto"/>
        <w:rPr>
          <w:sz w:val="20"/>
          <w:szCs w:val="20"/>
          <w:color w:val="auto"/>
        </w:rPr>
      </w:pPr>
      <w:r>
        <w:rPr>
          <w:rFonts w:ascii="Arial" w:cs="Arial" w:eastAsia="Arial" w:hAnsi="Arial"/>
          <w:sz w:val="19"/>
          <w:szCs w:val="19"/>
          <w:color w:val="auto"/>
        </w:rPr>
        <w:t>We are and expect to continue to be reliant upon third-party licensors for certain patent and other intellectual property rights that are important or necessary to the development of some of our technology and product candidates. For example, we rely on licenses from MGB and Periphagen to certain patent rights. These license agreements impose, and we expect that any future license agreement will impose, specified diligence, milestone payment, royalty, commercialization, development and other obligations on us and require us to meet development timelines, or to exercise diligent or commercially reasonable efforts to develop and commercialize licensed products, in order to maintain the licenses.</w:t>
      </w:r>
    </w:p>
    <w:p>
      <w:pPr>
        <w:spacing w:after="0" w:line="82" w:lineRule="exact"/>
        <w:rPr>
          <w:sz w:val="20"/>
          <w:szCs w:val="20"/>
          <w:color w:val="auto"/>
        </w:rPr>
      </w:pPr>
    </w:p>
    <w:p>
      <w:pPr>
        <w:ind w:right="140"/>
        <w:spacing w:after="0" w:line="310" w:lineRule="auto"/>
        <w:rPr>
          <w:sz w:val="20"/>
          <w:szCs w:val="20"/>
          <w:color w:val="auto"/>
        </w:rPr>
      </w:pPr>
      <w:r>
        <w:rPr>
          <w:rFonts w:ascii="Arial" w:cs="Arial" w:eastAsia="Arial" w:hAnsi="Arial"/>
          <w:sz w:val="18"/>
          <w:szCs w:val="18"/>
          <w:color w:val="auto"/>
        </w:rPr>
        <w:t>Furthermore, our licensors have, or may in the future have, the right to terminate a license if we materially breach the agreement and fail to cure such breach within a specified period or in the event we undergo certain bankruptcy events.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79</w:t>
      </w:r>
    </w:p>
    <w:p>
      <w:pPr>
        <w:sectPr>
          <w:pgSz w:w="12240" w:h="15840" w:orient="portrait"/>
          <w:cols w:equalWidth="0" w:num="1">
            <w:col w:w="10080"/>
          </w:cols>
          <w:pgMar w:left="1080" w:top="1062" w:right="1080" w:bottom="173" w:gutter="0" w:footer="0" w:header="0"/>
        </w:sectPr>
      </w:pPr>
    </w:p>
    <w:bookmarkStart w:id="83" w:name="page84"/>
    <w:bookmarkEnd w:id="83"/>
    <w:p>
      <w:pPr>
        <w:ind w:right="40"/>
        <w:spacing w:after="0" w:line="243" w:lineRule="auto"/>
        <w:rPr>
          <w:sz w:val="20"/>
          <w:szCs w:val="20"/>
          <w:color w:val="auto"/>
        </w:rPr>
      </w:pPr>
      <w:r>
        <w:rPr>
          <w:rFonts w:ascii="Arial" w:cs="Arial" w:eastAsia="Arial" w:hAnsi="Arial"/>
          <w:sz w:val="19"/>
          <w:szCs w:val="19"/>
          <w:color w:val="auto"/>
        </w:rPr>
        <w:t>In spite of our best efforts, our current or any future licensors might conclude that we have materially breached our license agreements and might therefore terminate the license agreements. If any of our license agreements are terminated, we may lose our rights to develop and commercialize certain of our product candidates and technology, lose patent protection, experience significant delays in the development and commercialization of certain of our product candidates and technology, and incur liability for damages. If these in-licenses are terminated, or if the underlying intellectual property fails to provide the intended exclusivity, our competitors or other third parties could have the freedom to seek regulatory approval of, and to market, products and technologies identical or competitive to ours and we may be required to cease our development and commercialization of certain of our product candidates and technology.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any product candidates we may develop and our technology. Any of the foregoing could have a material adverse effect on our competitive position, business, financial condition, results of operations and prospects.</w:t>
      </w:r>
    </w:p>
    <w:p>
      <w:pPr>
        <w:spacing w:after="0" w:line="82" w:lineRule="exact"/>
        <w:rPr>
          <w:sz w:val="20"/>
          <w:szCs w:val="20"/>
          <w:color w:val="auto"/>
        </w:rPr>
      </w:pPr>
    </w:p>
    <w:p>
      <w:pPr>
        <w:spacing w:after="0"/>
        <w:rPr>
          <w:sz w:val="20"/>
          <w:szCs w:val="20"/>
          <w:color w:val="auto"/>
        </w:rPr>
      </w:pPr>
      <w:r>
        <w:rPr>
          <w:rFonts w:ascii="Arial" w:cs="Arial" w:eastAsia="Arial" w:hAnsi="Arial"/>
          <w:sz w:val="19"/>
          <w:szCs w:val="19"/>
          <w:color w:val="auto"/>
        </w:rPr>
        <w:t>Disputes may arise regarding intellectual property subject to a licensing agreement, including:</w:t>
      </w:r>
    </w:p>
    <w:p>
      <w:pPr>
        <w:spacing w:after="0" w:line="133" w:lineRule="exact"/>
        <w:rPr>
          <w:sz w:val="20"/>
          <w:szCs w:val="20"/>
          <w:color w:val="auto"/>
        </w:rPr>
      </w:pPr>
    </w:p>
    <w:p>
      <w:pPr>
        <w:ind w:left="980" w:hanging="491"/>
        <w:spacing w:after="0"/>
        <w:tabs>
          <w:tab w:leader="none" w:pos="980"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scope of rights granted under the license agreement and other interpretation-related issues;</w:t>
      </w:r>
    </w:p>
    <w:p>
      <w:pPr>
        <w:spacing w:after="0" w:line="132" w:lineRule="exact"/>
        <w:rPr>
          <w:rFonts w:ascii="Arial" w:cs="Arial" w:eastAsia="Arial" w:hAnsi="Arial"/>
          <w:sz w:val="19"/>
          <w:szCs w:val="19"/>
          <w:color w:val="auto"/>
        </w:rPr>
      </w:pPr>
    </w:p>
    <w:p>
      <w:pPr>
        <w:ind w:left="980" w:right="340" w:hanging="491"/>
        <w:spacing w:after="0" w:line="281" w:lineRule="auto"/>
        <w:tabs>
          <w:tab w:leader="none" w:pos="980" w:val="left"/>
        </w:tabs>
        <w:numPr>
          <w:ilvl w:val="0"/>
          <w:numId w:val="58"/>
        </w:numPr>
        <w:rPr>
          <w:rFonts w:ascii="Arial" w:cs="Arial" w:eastAsia="Arial" w:hAnsi="Arial"/>
          <w:sz w:val="19"/>
          <w:szCs w:val="19"/>
          <w:color w:val="auto"/>
        </w:rPr>
      </w:pPr>
      <w:r>
        <w:rPr>
          <w:rFonts w:ascii="Arial" w:cs="Arial" w:eastAsia="Arial" w:hAnsi="Arial"/>
          <w:sz w:val="19"/>
          <w:szCs w:val="19"/>
          <w:color w:val="auto"/>
        </w:rPr>
        <w:t>our or our licensors’ ability to obtain, maintain and defend intellectual property and to enforce intellectual property rights against third parties;</w:t>
      </w:r>
    </w:p>
    <w:p>
      <w:pPr>
        <w:spacing w:after="0" w:line="58" w:lineRule="exact"/>
        <w:rPr>
          <w:rFonts w:ascii="Arial" w:cs="Arial" w:eastAsia="Arial" w:hAnsi="Arial"/>
          <w:sz w:val="19"/>
          <w:szCs w:val="19"/>
          <w:color w:val="auto"/>
        </w:rPr>
      </w:pPr>
    </w:p>
    <w:p>
      <w:pPr>
        <w:ind w:left="980" w:right="80" w:hanging="491"/>
        <w:spacing w:after="0" w:line="281" w:lineRule="auto"/>
        <w:tabs>
          <w:tab w:leader="none" w:pos="980"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extent to which our technology, product candidates and processes infringe, misappropriate or otherwise violate the intellectual property of the licensor that is not subject to the license agreement;</w:t>
      </w:r>
    </w:p>
    <w:p>
      <w:pPr>
        <w:spacing w:after="0" w:line="58" w:lineRule="exact"/>
        <w:rPr>
          <w:rFonts w:ascii="Arial" w:cs="Arial" w:eastAsia="Arial" w:hAnsi="Arial"/>
          <w:sz w:val="19"/>
          <w:szCs w:val="19"/>
          <w:color w:val="auto"/>
        </w:rPr>
      </w:pPr>
    </w:p>
    <w:p>
      <w:pPr>
        <w:ind w:left="980" w:hanging="491"/>
        <w:spacing w:after="0"/>
        <w:tabs>
          <w:tab w:leader="none" w:pos="980"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sublicensing of patent and other intellectual property rights under our license agreements;</w:t>
      </w:r>
    </w:p>
    <w:p>
      <w:pPr>
        <w:spacing w:after="0" w:line="132" w:lineRule="exact"/>
        <w:rPr>
          <w:rFonts w:ascii="Arial" w:cs="Arial" w:eastAsia="Arial" w:hAnsi="Arial"/>
          <w:sz w:val="19"/>
          <w:szCs w:val="19"/>
          <w:color w:val="auto"/>
        </w:rPr>
      </w:pPr>
    </w:p>
    <w:p>
      <w:pPr>
        <w:ind w:left="980" w:right="260" w:hanging="491"/>
        <w:spacing w:after="0" w:line="281" w:lineRule="auto"/>
        <w:tabs>
          <w:tab w:leader="none" w:pos="980" w:val="left"/>
        </w:tabs>
        <w:numPr>
          <w:ilvl w:val="0"/>
          <w:numId w:val="58"/>
        </w:numPr>
        <w:rPr>
          <w:rFonts w:ascii="Arial" w:cs="Arial" w:eastAsia="Arial" w:hAnsi="Arial"/>
          <w:sz w:val="19"/>
          <w:szCs w:val="19"/>
          <w:color w:val="auto"/>
        </w:rPr>
      </w:pPr>
      <w:r>
        <w:rPr>
          <w:rFonts w:ascii="Arial" w:cs="Arial" w:eastAsia="Arial" w:hAnsi="Arial"/>
          <w:sz w:val="19"/>
          <w:szCs w:val="19"/>
          <w:color w:val="auto"/>
        </w:rPr>
        <w:t>our diligence, development, regulatory, commercialization, financial or other obligations under the license agreement and what activities satisfy those diligence obligations;</w:t>
      </w:r>
    </w:p>
    <w:p>
      <w:pPr>
        <w:spacing w:after="0" w:line="58" w:lineRule="exact"/>
        <w:rPr>
          <w:rFonts w:ascii="Arial" w:cs="Arial" w:eastAsia="Arial" w:hAnsi="Arial"/>
          <w:sz w:val="19"/>
          <w:szCs w:val="19"/>
          <w:color w:val="auto"/>
        </w:rPr>
      </w:pPr>
    </w:p>
    <w:p>
      <w:pPr>
        <w:ind w:left="980" w:right="620" w:hanging="491"/>
        <w:spacing w:after="0" w:line="281" w:lineRule="auto"/>
        <w:tabs>
          <w:tab w:leader="none" w:pos="980"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inventorship and ownership of inventions and know-how resulting from the joint creation or use of intellectual property by our current or future licensors and us and our partners; and</w:t>
      </w:r>
    </w:p>
    <w:p>
      <w:pPr>
        <w:spacing w:after="0" w:line="58" w:lineRule="exact"/>
        <w:rPr>
          <w:rFonts w:ascii="Arial" w:cs="Arial" w:eastAsia="Arial" w:hAnsi="Arial"/>
          <w:sz w:val="19"/>
          <w:szCs w:val="19"/>
          <w:color w:val="auto"/>
        </w:rPr>
      </w:pPr>
    </w:p>
    <w:p>
      <w:pPr>
        <w:ind w:left="980" w:hanging="491"/>
        <w:spacing w:after="0"/>
        <w:tabs>
          <w:tab w:leader="none" w:pos="980"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priority of invention of patented technology.</w:t>
      </w:r>
    </w:p>
    <w:p>
      <w:pPr>
        <w:spacing w:after="0" w:line="120" w:lineRule="exact"/>
        <w:rPr>
          <w:sz w:val="20"/>
          <w:szCs w:val="20"/>
          <w:color w:val="auto"/>
        </w:rPr>
      </w:pPr>
    </w:p>
    <w:p>
      <w:pPr>
        <w:spacing w:after="0" w:line="245" w:lineRule="auto"/>
        <w:rPr>
          <w:sz w:val="20"/>
          <w:szCs w:val="20"/>
          <w:color w:val="auto"/>
        </w:rPr>
      </w:pPr>
      <w:r>
        <w:rPr>
          <w:rFonts w:ascii="Arial" w:cs="Arial" w:eastAsia="Arial" w:hAnsi="Arial"/>
          <w:sz w:val="19"/>
          <w:szCs w:val="19"/>
          <w:color w:val="auto"/>
        </w:rPr>
        <w:t>In addition, our license agreements are, and future license agreements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diligence, development, regulatory, commercialization, financial or other obligations under the relevant agreement. In addition, if disputes over intellectual property that we have licensed or any other dispute related to our license agreements prevent or impair our ability to maintain our current license agreements on commercially acceptable terms, we may be unable to successfully develop and commercialize the affected product candidates and technology. Any of the foregoing could have a material adverse effect on our business, financial condition, results of operations and prospects.</w:t>
      </w:r>
    </w:p>
    <w:p>
      <w:pPr>
        <w:spacing w:after="0" w:line="79" w:lineRule="exact"/>
        <w:rPr>
          <w:sz w:val="20"/>
          <w:szCs w:val="20"/>
          <w:color w:val="auto"/>
        </w:rPr>
      </w:pPr>
    </w:p>
    <w:p>
      <w:pPr>
        <w:ind w:right="280"/>
        <w:spacing w:after="0" w:line="248" w:lineRule="auto"/>
        <w:rPr>
          <w:sz w:val="20"/>
          <w:szCs w:val="20"/>
          <w:color w:val="auto"/>
        </w:rPr>
      </w:pPr>
      <w:r>
        <w:rPr>
          <w:rFonts w:ascii="Arial" w:cs="Arial" w:eastAsia="Arial" w:hAnsi="Arial"/>
          <w:sz w:val="19"/>
          <w:szCs w:val="19"/>
          <w:color w:val="auto"/>
        </w:rPr>
        <w:t>License agreements we may enter into in the future may be non-exclusive. Accordingly, third parties may also obtain non-exclusive licenses from such licensors with respect to the intellectual property licensed to us under such license agreements. Accordingly, these license agreements may not provide us with exclusive rights to use such licensed patent and other intellectual property rights, or may not provide us with exclusive rights to use such patent and other intellectual property rights in all relevant fields of use and in all territories in which we may wish to develop or commercialize our technology and any product candidates we may develop in the future.</w:t>
      </w:r>
    </w:p>
    <w:p>
      <w:pPr>
        <w:spacing w:after="0" w:line="7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Moreover, some of our in-licensed patent and other intellectual property rights may in the future be subject to third-party interests such as co-ownership. If we are unable to obtain an exclusive license to such third-party co-owners’ interest, in such patent and other intellectual property rights, such third-party co-owners may be able to license their rights to other third parties, including our competitors, and our competitors could market competing products and technology. We or our licensors may need the cooperation of any such co-owners of our licensed patent and other intellectual property rights in order to enforce them against third parties, and such cooperation may not be provided to us or our licensors.</w:t>
      </w:r>
    </w:p>
    <w:p>
      <w:pPr>
        <w:spacing w:after="0" w:line="65" w:lineRule="exact"/>
        <w:rPr>
          <w:sz w:val="20"/>
          <w:szCs w:val="20"/>
          <w:color w:val="auto"/>
        </w:rPr>
      </w:pPr>
    </w:p>
    <w:p>
      <w:pPr>
        <w:ind w:right="40"/>
        <w:spacing w:after="0" w:line="245" w:lineRule="auto"/>
        <w:rPr>
          <w:sz w:val="20"/>
          <w:szCs w:val="20"/>
          <w:color w:val="auto"/>
        </w:rPr>
      </w:pPr>
      <w:r>
        <w:rPr>
          <w:rFonts w:ascii="Arial" w:cs="Arial" w:eastAsia="Arial" w:hAnsi="Arial"/>
          <w:sz w:val="19"/>
          <w:szCs w:val="19"/>
          <w:color w:val="auto"/>
        </w:rPr>
        <w:t>Additionally, we may not have complete control over the preparation, filing, prosecution, maintenance, enforcement and defense of patents and patent applications that we license from third parties. It is possible that our licensors’ filing, prosecution and maintenance of the licensed patents and patent applications, enforcement of patents against infringers or defense of such patents against challenges of validity or claims of enforceability may be less vigorous than if we had conducted them ourselves, and accordingly, we cannot be certain that these patents and patent applications will be prepared, filed, prosecuted, maintained, enforced and defended in a manner consistent with the best interests of our business. If our licensors fail to file, prosecute, maintain, enforce and defend such patents and patent applications, or lose rights to those patents or patent applications, the rights we have licensed may be reduced or eliminated, our right</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80</w:t>
      </w:r>
    </w:p>
    <w:p>
      <w:pPr>
        <w:sectPr>
          <w:pgSz w:w="12240" w:h="15840" w:orient="portrait"/>
          <w:cols w:equalWidth="0" w:num="1">
            <w:col w:w="10060"/>
          </w:cols>
          <w:pgMar w:left="1080" w:top="1062" w:right="1100" w:bottom="173" w:gutter="0" w:footer="0" w:header="0"/>
        </w:sectPr>
      </w:pPr>
    </w:p>
    <w:bookmarkStart w:id="84" w:name="page85"/>
    <w:bookmarkEnd w:id="84"/>
    <w:p>
      <w:pPr>
        <w:spacing w:after="0" w:line="260" w:lineRule="auto"/>
        <w:rPr>
          <w:sz w:val="20"/>
          <w:szCs w:val="20"/>
          <w:color w:val="auto"/>
        </w:rPr>
      </w:pPr>
      <w:r>
        <w:rPr>
          <w:rFonts w:ascii="Arial" w:cs="Arial" w:eastAsia="Arial" w:hAnsi="Arial"/>
          <w:sz w:val="19"/>
          <w:szCs w:val="19"/>
          <w:color w:val="auto"/>
        </w:rPr>
        <w:t>to develop and commercialize any of our technology and any product candidates we may develop that are the subject of such licensed rights could be adversely affected and we may not be able to prevent competitors or other third parties from making, using and selling competing products.</w:t>
      </w:r>
    </w:p>
    <w:p>
      <w:pPr>
        <w:spacing w:after="0" w:line="65" w:lineRule="exact"/>
        <w:rPr>
          <w:sz w:val="20"/>
          <w:szCs w:val="20"/>
          <w:color w:val="auto"/>
        </w:rPr>
      </w:pPr>
    </w:p>
    <w:p>
      <w:pPr>
        <w:ind w:right="20"/>
        <w:spacing w:after="0" w:line="248" w:lineRule="auto"/>
        <w:rPr>
          <w:sz w:val="20"/>
          <w:szCs w:val="20"/>
          <w:color w:val="auto"/>
        </w:rPr>
      </w:pPr>
      <w:r>
        <w:rPr>
          <w:rFonts w:ascii="Arial" w:cs="Arial" w:eastAsia="Arial" w:hAnsi="Arial"/>
          <w:sz w:val="19"/>
          <w:szCs w:val="19"/>
          <w:color w:val="auto"/>
        </w:rPr>
        <w:t>Furthermore, our owned and in-licensed patent rights may be subject to a reservation of rights by one or more third parties. When new technologies are developed with government funding, in order to secure ownership of patent rights related to the technologies, the recipient of such funding is required to comply with certain government regulations, including timely disclosing the inventions claimed in such patent rights to the U.S. government and timely electing title to such inventions. A failure to meet these obligations may lead to a loss of rights or the unenforceability of relevant patents or patent applications.</w:t>
      </w:r>
    </w:p>
    <w:p>
      <w:pPr>
        <w:spacing w:after="0" w:line="80" w:lineRule="exact"/>
        <w:rPr>
          <w:sz w:val="20"/>
          <w:szCs w:val="20"/>
          <w:color w:val="auto"/>
        </w:rPr>
      </w:pPr>
    </w:p>
    <w:p>
      <w:pPr>
        <w:ind w:right="680"/>
        <w:spacing w:after="0" w:line="287" w:lineRule="auto"/>
        <w:rPr>
          <w:sz w:val="20"/>
          <w:szCs w:val="20"/>
          <w:color w:val="auto"/>
        </w:rPr>
      </w:pPr>
      <w:r>
        <w:rPr>
          <w:rFonts w:ascii="Arial" w:cs="Arial" w:eastAsia="Arial" w:hAnsi="Arial"/>
          <w:sz w:val="19"/>
          <w:szCs w:val="19"/>
          <w:b w:val="1"/>
          <w:bCs w:val="1"/>
          <w:i w:val="1"/>
          <w:iCs w:val="1"/>
          <w:color w:val="auto"/>
        </w:rPr>
        <w:t>Our success depends in part on our ability to protect our intellectual property. It is difficult and costly to protect our proprietary rights and technology, and we may not be able to ensure their protection.</w:t>
      </w:r>
    </w:p>
    <w:p>
      <w:pPr>
        <w:spacing w:after="0" w:line="30" w:lineRule="exact"/>
        <w:rPr>
          <w:sz w:val="20"/>
          <w:szCs w:val="20"/>
          <w:color w:val="auto"/>
        </w:rPr>
      </w:pPr>
    </w:p>
    <w:p>
      <w:pPr>
        <w:ind w:right="20"/>
        <w:spacing w:after="0" w:line="245" w:lineRule="auto"/>
        <w:rPr>
          <w:sz w:val="20"/>
          <w:szCs w:val="20"/>
          <w:color w:val="auto"/>
        </w:rPr>
      </w:pPr>
      <w:r>
        <w:rPr>
          <w:rFonts w:ascii="Arial" w:cs="Arial" w:eastAsia="Arial" w:hAnsi="Arial"/>
          <w:sz w:val="19"/>
          <w:szCs w:val="19"/>
          <w:color w:val="auto"/>
        </w:rPr>
        <w:t>Our business will depend in large part on obtaining and maintaining patent, trademark and trade secret protection of our proprietary technologies and our product candidates, their formulations, combination therapies,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and whether a court would issue an injunctive remedy.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w:t>
      </w:r>
    </w:p>
    <w:p>
      <w:pPr>
        <w:spacing w:after="0" w:line="7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patenting process is expensive and time-consuming, and we may not be able to file and prosecute all necessary or desirable patent applications at a reasonable cost or in a timely manner. In addition, we may not pursue, obtain, or maintain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w:t>
      </w:r>
    </w:p>
    <w:p>
      <w:pPr>
        <w:spacing w:after="0" w:line="65" w:lineRule="exact"/>
        <w:rPr>
          <w:sz w:val="20"/>
          <w:szCs w:val="20"/>
          <w:color w:val="auto"/>
        </w:rPr>
      </w:pPr>
    </w:p>
    <w:p>
      <w:pPr>
        <w:ind w:right="20"/>
        <w:spacing w:after="0" w:line="244" w:lineRule="auto"/>
        <w:rPr>
          <w:sz w:val="20"/>
          <w:szCs w:val="20"/>
          <w:color w:val="auto"/>
        </w:rPr>
      </w:pPr>
      <w:r>
        <w:rPr>
          <w:rFonts w:ascii="Arial" w:cs="Arial" w:eastAsia="Arial" w:hAnsi="Arial"/>
          <w:sz w:val="19"/>
          <w:szCs w:val="19"/>
          <w:color w:val="auto"/>
        </w:rPr>
        <w:t>The strength of patents in the biotechnology and biopharmaceutical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do successfully issue, third parties may challenge the validity, enforceability or scope thereof, which may result in such patents being narrowed, invalidated or held unenforceable. Furthermore, even if they are unchallenged, our patents and patent applications may not adequately protect our technology, including our product candidates, or prevent others from designing around our claims. If the breadth or strength of protection provided by the patent applications and patents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w:t>
      </w:r>
    </w:p>
    <w:p>
      <w:pPr>
        <w:spacing w:after="0" w:line="80" w:lineRule="exact"/>
        <w:rPr>
          <w:sz w:val="20"/>
          <w:szCs w:val="20"/>
          <w:color w:val="auto"/>
        </w:rPr>
      </w:pPr>
    </w:p>
    <w:p>
      <w:pPr>
        <w:ind w:right="280"/>
        <w:spacing w:after="0" w:line="260" w:lineRule="auto"/>
        <w:rPr>
          <w:sz w:val="20"/>
          <w:szCs w:val="20"/>
          <w:color w:val="auto"/>
        </w:rPr>
      </w:pPr>
      <w:r>
        <w:rPr>
          <w:rFonts w:ascii="Arial" w:cs="Arial" w:eastAsia="Arial" w:hAnsi="Arial"/>
          <w:sz w:val="19"/>
          <w:szCs w:val="19"/>
          <w:color w:val="auto"/>
        </w:rPr>
        <w:t>We cannot be certain that we were the first to file any patent application related to our technology and directed to our product candidates, and, if we were not, we may be precluded from obtaining patent protection for our technology, including our product candidates.</w:t>
      </w:r>
    </w:p>
    <w:p>
      <w:pPr>
        <w:spacing w:after="0" w:line="65" w:lineRule="exact"/>
        <w:rPr>
          <w:sz w:val="20"/>
          <w:szCs w:val="20"/>
          <w:color w:val="auto"/>
        </w:rPr>
      </w:pPr>
    </w:p>
    <w:p>
      <w:pPr>
        <w:ind w:right="40"/>
        <w:spacing w:after="0" w:line="246" w:lineRule="auto"/>
        <w:rPr>
          <w:sz w:val="20"/>
          <w:szCs w:val="20"/>
          <w:color w:val="auto"/>
        </w:rPr>
      </w:pPr>
      <w:r>
        <w:rPr>
          <w:rFonts w:ascii="Arial" w:cs="Arial" w:eastAsia="Arial" w:hAnsi="Arial"/>
          <w:sz w:val="19"/>
          <w:szCs w:val="19"/>
          <w:color w:val="auto"/>
        </w:rPr>
        <w:t>We cannot be certain that we are the first to invent the inventions covered by pending patent applications and patents, and, if we are not, we may be subject to priority disputes. Furthermore, for United States applications in which all claims are entitled to a priority date before March 16, 2013, an interference proceeding can be provoked by a third-party or instituted by the USPTO to determine who was the first to invent any of the subject matter covered by the patent claims of our applications and patents. Similarly, for United States applications in which at least one claim is not entitled to a priority date before March 16, 2013, derivation proceedings can be instituted to determine whether the subject matter of a patent claim was derived from a prior inventor’s disclosure.</w:t>
      </w:r>
    </w:p>
    <w:p>
      <w:pPr>
        <w:spacing w:after="0" w:line="82" w:lineRule="exact"/>
        <w:rPr>
          <w:sz w:val="20"/>
          <w:szCs w:val="20"/>
          <w:color w:val="auto"/>
        </w:rPr>
      </w:pPr>
    </w:p>
    <w:p>
      <w:pPr>
        <w:ind w:right="60"/>
        <w:spacing w:after="0" w:line="244" w:lineRule="auto"/>
        <w:rPr>
          <w:sz w:val="20"/>
          <w:szCs w:val="20"/>
          <w:color w:val="auto"/>
        </w:rPr>
      </w:pPr>
      <w:r>
        <w:rPr>
          <w:rFonts w:ascii="Arial" w:cs="Arial" w:eastAsia="Arial" w:hAnsi="Arial"/>
          <w:sz w:val="19"/>
          <w:szCs w:val="19"/>
          <w:color w:val="auto"/>
        </w:rPr>
        <w:t>We may be required to disclaim part or all of the term of certain patents or all of the term of certain patent applications. There may be prior art of which we are not aware that may affect the validity or enforceability of a patent or patent application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would adequately protect our product candidates, or would be found by a court to be infringed by a competitor’s technology or product.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which block our efforts or may potentially result in our product candidates or our activities infringing such claims. The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81</w:t>
      </w:r>
    </w:p>
    <w:p>
      <w:pPr>
        <w:sectPr>
          <w:pgSz w:w="12240" w:h="15840" w:orient="portrait"/>
          <w:cols w:equalWidth="0" w:num="1">
            <w:col w:w="10080"/>
          </w:cols>
          <w:pgMar w:left="1080" w:top="1062" w:right="1080" w:bottom="173" w:gutter="0" w:footer="0" w:header="0"/>
        </w:sectPr>
      </w:pPr>
    </w:p>
    <w:bookmarkStart w:id="85" w:name="page86"/>
    <w:bookmarkEnd w:id="85"/>
    <w:p>
      <w:pPr>
        <w:ind w:right="120"/>
        <w:spacing w:after="0" w:line="260" w:lineRule="auto"/>
        <w:rPr>
          <w:sz w:val="20"/>
          <w:szCs w:val="20"/>
          <w:color w:val="auto"/>
        </w:rPr>
      </w:pPr>
      <w:r>
        <w:rPr>
          <w:rFonts w:ascii="Arial" w:cs="Arial" w:eastAsia="Arial" w:hAnsi="Arial"/>
          <w:sz w:val="19"/>
          <w:szCs w:val="19"/>
          <w:color w:val="auto"/>
        </w:rPr>
        <w:t>possibility exists that others will develop products which have the same effect as our products on an independent basis which do not infringe our patents or other intellectual property rights, or will design around the claims of patents that may issue that cover our products.</w:t>
      </w:r>
    </w:p>
    <w:p>
      <w:pPr>
        <w:spacing w:after="0" w:line="65" w:lineRule="exact"/>
        <w:rPr>
          <w:sz w:val="20"/>
          <w:szCs w:val="20"/>
          <w:color w:val="auto"/>
        </w:rPr>
      </w:pPr>
    </w:p>
    <w:p>
      <w:pPr>
        <w:ind w:right="80"/>
        <w:spacing w:after="0" w:line="248" w:lineRule="auto"/>
        <w:rPr>
          <w:sz w:val="20"/>
          <w:szCs w:val="20"/>
          <w:color w:val="auto"/>
        </w:rPr>
      </w:pPr>
      <w:r>
        <w:rPr>
          <w:rFonts w:ascii="Arial" w:cs="Arial" w:eastAsia="Arial" w:hAnsi="Arial"/>
          <w:sz w:val="19"/>
          <w:szCs w:val="19"/>
          <w:color w:val="auto"/>
        </w:rPr>
        <w:t>Changes in either the patent laws or interpretation of the patent laws in the United States and other countries may diminish the value of the patents we in-license or narrow the scope of our patent protection. In addition, the laws of foreign countries may not protect our rights to the same extent or in the same manner as the laws of the United States. For example, European patent law is more restrictive than U.S. patent law in connection with the patentability of methods of treatment of the human body and Chinese bankruptcy law may not provide a licensee the same protections as U.S. bankruptcy law.</w:t>
      </w:r>
    </w:p>
    <w:p>
      <w:pPr>
        <w:spacing w:after="0" w:line="7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Furthermore, in the United States, patent reform legislation could increase the uncertainties and costs surrounding the prosecution of our patent applications and the enforcement or defense of our issued patents. Under the Leahy-Smith America Invents Act (the America Invents Act), enacted in 2013,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are unclear as the USPTO continues to develop new regulations and procedures in connection with the America Invents Act. In addition, the patent positions of companies in the development and commercialization of biopharmaceuticals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increase the uncertainties and costs surrounding the prosecution of our patent applications and have a material adverse effect on our existing patent portfolio and our ability to protect and enforce our intellectual property in the future.</w:t>
      </w:r>
    </w:p>
    <w:p>
      <w:pPr>
        <w:spacing w:after="0" w:line="69" w:lineRule="exact"/>
        <w:rPr>
          <w:sz w:val="20"/>
          <w:szCs w:val="20"/>
          <w:color w:val="auto"/>
        </w:rPr>
      </w:pPr>
    </w:p>
    <w:p>
      <w:pPr>
        <w:spacing w:after="0" w:line="243" w:lineRule="auto"/>
        <w:rPr>
          <w:sz w:val="20"/>
          <w:szCs w:val="20"/>
          <w:color w:val="auto"/>
        </w:rPr>
      </w:pPr>
      <w:r>
        <w:rPr>
          <w:rFonts w:ascii="Arial" w:cs="Arial" w:eastAsia="Arial" w:hAnsi="Arial"/>
          <w:sz w:val="19"/>
          <w:szCs w:val="19"/>
          <w:color w:val="auto"/>
        </w:rPr>
        <w:t>In addition, the European Union opened a Unified Patent Court (UPC) in June 2023. The UPC is a common patent court that hears patent infringement and revocation proceedings effective for member states of the European Union. This could enable third parties to seek revocation of any of our European patents in a single proceeding at the UPC rather than through multiple proceedings in each of the jurisdictions in which the European patent is validated. Any such revocation and loss of patent protection could have a material adverse impact on our business and our ability to commercialize or license our technology and products. Moreover, the controlling laws and regulations of the UPC will develop over time, and may adversely affect our ability to enforce or defend the validity of our European patents. We have opted out of the UPC for our European patents and applications and may decide to opt out of any future European patents and patent applications from the UPC. If certain formalities and requirements are not met, however, our European patents and patent applications could be challenged for non-compliance and brought under the jurisdiction of the UPC. We cannot be certain that our European patents and patent applications will avoid falling under the jurisdiction of the UPC, even if we elected, or in the future elect, to opt out of the UPC.</w:t>
      </w:r>
    </w:p>
    <w:p>
      <w:pPr>
        <w:spacing w:after="0" w:line="87" w:lineRule="exact"/>
        <w:rPr>
          <w:sz w:val="20"/>
          <w:szCs w:val="20"/>
          <w:color w:val="auto"/>
        </w:rPr>
      </w:pPr>
    </w:p>
    <w:p>
      <w:pPr>
        <w:ind w:right="80"/>
        <w:spacing w:after="0" w:line="244" w:lineRule="auto"/>
        <w:rPr>
          <w:sz w:val="20"/>
          <w:szCs w:val="20"/>
          <w:color w:val="auto"/>
        </w:rPr>
      </w:pPr>
      <w:r>
        <w:rPr>
          <w:rFonts w:ascii="Arial" w:cs="Arial" w:eastAsia="Arial" w:hAnsi="Arial"/>
          <w:sz w:val="19"/>
          <w:szCs w:val="19"/>
          <w:color w:val="auto"/>
        </w:rPr>
        <w:t>We cannot predict whether the patent applications we in-license currently being pursued will issue as patents, whether the claims of any patent that has or may issue will provide us with a competitive advantage or prevent competitors from designing around the claims to develop competing technologies in a non-infringing manner, or whether we or our licensors will be able to successfully pursue patent applications in the future relating to our current product candidates or future products and product candidates. Moreover, the patent application and approval process is expensive and time-consuming. We or our licensors may not be able to file and prosecute all necessary or desirable patent applications at a reasonable cost or in a timely manner. Furthermore, we, or any future partners, collaborators, or licensees, may fail to identify patentable aspects of inventions made in the course of development and commercialization activities before it is too late to obtain patent protection on them. Therefore, we may miss potential opportunities to seek additional patent protection.</w:t>
      </w:r>
    </w:p>
    <w:p>
      <w:pPr>
        <w:spacing w:after="0" w:line="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Even if the patent applications we in-license issue as patents, they may not issue in a form that will provide us with any meaningful protection, prevent competitors from competing with us or otherwise provide us with any competitive advantage. Our competitors may be able to circumvent our patent rights by developing similar or alternative technologies or products in a non-infringing manner. Our competitors may also seek approval to market their own products similar to or otherwise competitive with our product candidates. Alternatively, our competitors may seek to market generic versions of any approved products by submitting abbreviated BLAs to the FDA during which process they may claim that patents licensed by us are invalid, unenforceable or not infringed. In these circumstances, we may need to defend or assert our intellectual property rights, or both, including by filing lawsuits alleging patent infringement. In any of these types of proceedings, a court or other agency with jurisdiction may find the patents we in-license invalid or unenforceable, or that our competitors are competing in a non-infringing manner. Thus, even if we have in-licensed valid and enforceable patents, these patents still may not provide protection against competing products or processes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82</w:t>
      </w:r>
    </w:p>
    <w:p>
      <w:pPr>
        <w:sectPr>
          <w:pgSz w:w="12240" w:h="15840" w:orient="portrait"/>
          <w:cols w:equalWidth="0" w:num="1">
            <w:col w:w="10080"/>
          </w:cols>
          <w:pgMar w:left="1080" w:top="1062" w:right="1080" w:bottom="173" w:gutter="0" w:footer="0" w:header="0"/>
        </w:sectPr>
      </w:pPr>
    </w:p>
    <w:bookmarkStart w:id="86" w:name="page87"/>
    <w:bookmarkEnd w:id="86"/>
    <w:p>
      <w:pPr>
        <w:ind w:right="860"/>
        <w:spacing w:after="0" w:line="281" w:lineRule="auto"/>
        <w:rPr>
          <w:sz w:val="20"/>
          <w:szCs w:val="20"/>
          <w:color w:val="auto"/>
        </w:rPr>
      </w:pPr>
      <w:r>
        <w:rPr>
          <w:rFonts w:ascii="Arial" w:cs="Arial" w:eastAsia="Arial" w:hAnsi="Arial"/>
          <w:sz w:val="19"/>
          <w:szCs w:val="19"/>
          <w:color w:val="auto"/>
        </w:rPr>
        <w:t>sufficient to achieve our business objectives. Any of the foregoing could have a material adverse effect on our competitive position, business, financial conditions, results of operations, and prospects.</w:t>
      </w:r>
    </w:p>
    <w:p>
      <w:pPr>
        <w:spacing w:after="0" w:line="45" w:lineRule="exact"/>
        <w:rPr>
          <w:sz w:val="20"/>
          <w:szCs w:val="20"/>
          <w:color w:val="auto"/>
        </w:rPr>
      </w:pPr>
    </w:p>
    <w:p>
      <w:pPr>
        <w:ind w:right="60"/>
        <w:spacing w:after="0" w:line="281" w:lineRule="auto"/>
        <w:rPr>
          <w:sz w:val="20"/>
          <w:szCs w:val="20"/>
          <w:color w:val="auto"/>
        </w:rPr>
      </w:pPr>
      <w:r>
        <w:rPr>
          <w:rFonts w:ascii="Arial" w:cs="Arial" w:eastAsia="Arial" w:hAnsi="Arial"/>
          <w:sz w:val="19"/>
          <w:szCs w:val="19"/>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58" w:lineRule="exact"/>
        <w:rPr>
          <w:sz w:val="20"/>
          <w:szCs w:val="20"/>
          <w:color w:val="auto"/>
        </w:rPr>
      </w:pPr>
    </w:p>
    <w:p>
      <w:pPr>
        <w:ind w:left="980" w:right="900" w:hanging="491"/>
        <w:spacing w:after="0" w:line="281" w:lineRule="auto"/>
        <w:tabs>
          <w:tab w:leader="none" w:pos="980" w:val="left"/>
        </w:tabs>
        <w:numPr>
          <w:ilvl w:val="0"/>
          <w:numId w:val="59"/>
        </w:numPr>
        <w:rPr>
          <w:rFonts w:ascii="Arial" w:cs="Arial" w:eastAsia="Arial" w:hAnsi="Arial"/>
          <w:sz w:val="19"/>
          <w:szCs w:val="19"/>
          <w:color w:val="auto"/>
        </w:rPr>
      </w:pPr>
      <w:r>
        <w:rPr>
          <w:rFonts w:ascii="Arial" w:cs="Arial" w:eastAsia="Arial" w:hAnsi="Arial"/>
          <w:sz w:val="19"/>
          <w:szCs w:val="19"/>
          <w:color w:val="auto"/>
        </w:rPr>
        <w:t>others may be able to make or use compounds that are similar to the compositions of our product candidates but that are not covered by the claims of our patents or those of our licensors;</w:t>
      </w:r>
    </w:p>
    <w:p>
      <w:pPr>
        <w:spacing w:after="0" w:line="58" w:lineRule="exact"/>
        <w:rPr>
          <w:rFonts w:ascii="Arial" w:cs="Arial" w:eastAsia="Arial" w:hAnsi="Arial"/>
          <w:sz w:val="19"/>
          <w:szCs w:val="19"/>
          <w:color w:val="auto"/>
        </w:rPr>
      </w:pPr>
    </w:p>
    <w:p>
      <w:pPr>
        <w:jc w:val="both"/>
        <w:ind w:left="980" w:right="100" w:hanging="491"/>
        <w:spacing w:after="0" w:line="260" w:lineRule="auto"/>
        <w:tabs>
          <w:tab w:leader="none" w:pos="980" w:val="left"/>
        </w:tabs>
        <w:numPr>
          <w:ilvl w:val="0"/>
          <w:numId w:val="59"/>
        </w:numPr>
        <w:rPr>
          <w:rFonts w:ascii="Arial" w:cs="Arial" w:eastAsia="Arial" w:hAnsi="Arial"/>
          <w:sz w:val="19"/>
          <w:szCs w:val="19"/>
          <w:color w:val="auto"/>
        </w:rPr>
      </w:pPr>
      <w:r>
        <w:rPr>
          <w:rFonts w:ascii="Arial" w:cs="Arial" w:eastAsia="Arial" w:hAnsi="Arial"/>
          <w:sz w:val="19"/>
          <w:szCs w:val="19"/>
          <w:color w:val="auto"/>
        </w:rPr>
        <w:t>we or our licensors, as the case may be, may fail to meet our obligations to the U.S. government in regards to any in-licensed patents and patent applications funded by U.S. government grants, leading to the loss of patent rights;</w:t>
      </w:r>
    </w:p>
    <w:p>
      <w:pPr>
        <w:spacing w:after="0" w:line="78" w:lineRule="exact"/>
        <w:rPr>
          <w:rFonts w:ascii="Arial" w:cs="Arial" w:eastAsia="Arial" w:hAnsi="Arial"/>
          <w:sz w:val="19"/>
          <w:szCs w:val="19"/>
          <w:color w:val="auto"/>
        </w:rPr>
      </w:pPr>
    </w:p>
    <w:p>
      <w:pPr>
        <w:ind w:left="980" w:right="300" w:hanging="491"/>
        <w:spacing w:after="0" w:line="281" w:lineRule="auto"/>
        <w:tabs>
          <w:tab w:leader="none" w:pos="980" w:val="left"/>
        </w:tabs>
        <w:numPr>
          <w:ilvl w:val="0"/>
          <w:numId w:val="59"/>
        </w:numPr>
        <w:rPr>
          <w:rFonts w:ascii="Arial" w:cs="Arial" w:eastAsia="Arial" w:hAnsi="Arial"/>
          <w:sz w:val="19"/>
          <w:szCs w:val="19"/>
          <w:color w:val="auto"/>
        </w:rPr>
      </w:pPr>
      <w:r>
        <w:rPr>
          <w:rFonts w:ascii="Arial" w:cs="Arial" w:eastAsia="Arial" w:hAnsi="Arial"/>
          <w:sz w:val="19"/>
          <w:szCs w:val="19"/>
          <w:color w:val="auto"/>
        </w:rPr>
        <w:t>we or our licensors, as the case may be, might not have been the first to file patent applications for these inventions;</w:t>
      </w:r>
    </w:p>
    <w:p>
      <w:pPr>
        <w:spacing w:after="0" w:line="58" w:lineRule="exact"/>
        <w:rPr>
          <w:rFonts w:ascii="Arial" w:cs="Arial" w:eastAsia="Arial" w:hAnsi="Arial"/>
          <w:sz w:val="19"/>
          <w:szCs w:val="19"/>
          <w:color w:val="auto"/>
        </w:rPr>
      </w:pPr>
    </w:p>
    <w:p>
      <w:pPr>
        <w:ind w:left="980" w:hanging="491"/>
        <w:spacing w:after="0"/>
        <w:tabs>
          <w:tab w:leader="none" w:pos="980" w:val="left"/>
        </w:tabs>
        <w:numPr>
          <w:ilvl w:val="0"/>
          <w:numId w:val="59"/>
        </w:numPr>
        <w:rPr>
          <w:rFonts w:ascii="Arial" w:cs="Arial" w:eastAsia="Arial" w:hAnsi="Arial"/>
          <w:sz w:val="19"/>
          <w:szCs w:val="19"/>
          <w:color w:val="auto"/>
        </w:rPr>
      </w:pPr>
      <w:r>
        <w:rPr>
          <w:rFonts w:ascii="Arial" w:cs="Arial" w:eastAsia="Arial" w:hAnsi="Arial"/>
          <w:sz w:val="19"/>
          <w:szCs w:val="19"/>
          <w:color w:val="auto"/>
        </w:rPr>
        <w:t>others may independently develop similar or alternative technologies or duplicate any of our technologies;</w:t>
      </w:r>
    </w:p>
    <w:p>
      <w:pPr>
        <w:spacing w:after="0" w:line="132" w:lineRule="exact"/>
        <w:rPr>
          <w:rFonts w:ascii="Arial" w:cs="Arial" w:eastAsia="Arial" w:hAnsi="Arial"/>
          <w:sz w:val="19"/>
          <w:szCs w:val="19"/>
          <w:color w:val="auto"/>
        </w:rPr>
      </w:pPr>
    </w:p>
    <w:p>
      <w:pPr>
        <w:ind w:left="980" w:hanging="491"/>
        <w:spacing w:after="0"/>
        <w:tabs>
          <w:tab w:leader="none" w:pos="980" w:val="left"/>
        </w:tabs>
        <w:numPr>
          <w:ilvl w:val="0"/>
          <w:numId w:val="59"/>
        </w:numPr>
        <w:rPr>
          <w:rFonts w:ascii="Arial" w:cs="Arial" w:eastAsia="Arial" w:hAnsi="Arial"/>
          <w:sz w:val="19"/>
          <w:szCs w:val="19"/>
          <w:color w:val="auto"/>
        </w:rPr>
      </w:pPr>
      <w:r>
        <w:rPr>
          <w:rFonts w:ascii="Arial" w:cs="Arial" w:eastAsia="Arial" w:hAnsi="Arial"/>
          <w:sz w:val="19"/>
          <w:szCs w:val="19"/>
          <w:color w:val="auto"/>
        </w:rPr>
        <w:t>it is possible that our pending patent applications will not result in issued patents;</w:t>
      </w:r>
    </w:p>
    <w:p>
      <w:pPr>
        <w:spacing w:after="0" w:line="132" w:lineRule="exact"/>
        <w:rPr>
          <w:rFonts w:ascii="Arial" w:cs="Arial" w:eastAsia="Arial" w:hAnsi="Arial"/>
          <w:sz w:val="19"/>
          <w:szCs w:val="19"/>
          <w:color w:val="auto"/>
        </w:rPr>
      </w:pPr>
    </w:p>
    <w:p>
      <w:pPr>
        <w:ind w:left="980" w:right="120" w:hanging="491"/>
        <w:spacing w:after="0" w:line="281" w:lineRule="auto"/>
        <w:tabs>
          <w:tab w:leader="none" w:pos="980" w:val="left"/>
        </w:tabs>
        <w:numPr>
          <w:ilvl w:val="0"/>
          <w:numId w:val="59"/>
        </w:numPr>
        <w:rPr>
          <w:rFonts w:ascii="Arial" w:cs="Arial" w:eastAsia="Arial" w:hAnsi="Arial"/>
          <w:sz w:val="19"/>
          <w:szCs w:val="19"/>
          <w:color w:val="auto"/>
        </w:rPr>
      </w:pPr>
      <w:r>
        <w:rPr>
          <w:rFonts w:ascii="Arial" w:cs="Arial" w:eastAsia="Arial" w:hAnsi="Arial"/>
          <w:sz w:val="19"/>
          <w:szCs w:val="19"/>
          <w:color w:val="auto"/>
        </w:rPr>
        <w:t>it is possible that there are prior public disclosures that could invalidate our or our licensors’ patents, as the case may be, or parts of our or their patents;</w:t>
      </w:r>
    </w:p>
    <w:p>
      <w:pPr>
        <w:spacing w:after="0" w:line="58" w:lineRule="exact"/>
        <w:rPr>
          <w:rFonts w:ascii="Arial" w:cs="Arial" w:eastAsia="Arial" w:hAnsi="Arial"/>
          <w:sz w:val="19"/>
          <w:szCs w:val="19"/>
          <w:color w:val="auto"/>
        </w:rPr>
      </w:pPr>
    </w:p>
    <w:p>
      <w:pPr>
        <w:ind w:left="980" w:hanging="491"/>
        <w:spacing w:after="0"/>
        <w:tabs>
          <w:tab w:leader="none" w:pos="980" w:val="left"/>
        </w:tabs>
        <w:numPr>
          <w:ilvl w:val="0"/>
          <w:numId w:val="59"/>
        </w:numPr>
        <w:rPr>
          <w:rFonts w:ascii="Arial" w:cs="Arial" w:eastAsia="Arial" w:hAnsi="Arial"/>
          <w:sz w:val="19"/>
          <w:szCs w:val="19"/>
          <w:color w:val="auto"/>
        </w:rPr>
      </w:pPr>
      <w:r>
        <w:rPr>
          <w:rFonts w:ascii="Arial" w:cs="Arial" w:eastAsia="Arial" w:hAnsi="Arial"/>
          <w:sz w:val="19"/>
          <w:szCs w:val="19"/>
          <w:color w:val="auto"/>
        </w:rPr>
        <w:t>it is possible that others may circumvent our owned or in-licensed patents;</w:t>
      </w:r>
    </w:p>
    <w:p>
      <w:pPr>
        <w:spacing w:after="0" w:line="132" w:lineRule="exact"/>
        <w:rPr>
          <w:rFonts w:ascii="Arial" w:cs="Arial" w:eastAsia="Arial" w:hAnsi="Arial"/>
          <w:sz w:val="19"/>
          <w:szCs w:val="19"/>
          <w:color w:val="auto"/>
        </w:rPr>
      </w:pPr>
    </w:p>
    <w:p>
      <w:pPr>
        <w:ind w:left="980" w:right="200" w:hanging="491"/>
        <w:spacing w:after="0" w:line="281" w:lineRule="auto"/>
        <w:tabs>
          <w:tab w:leader="none" w:pos="980" w:val="left"/>
        </w:tabs>
        <w:numPr>
          <w:ilvl w:val="0"/>
          <w:numId w:val="59"/>
        </w:numPr>
        <w:rPr>
          <w:rFonts w:ascii="Arial" w:cs="Arial" w:eastAsia="Arial" w:hAnsi="Arial"/>
          <w:sz w:val="19"/>
          <w:szCs w:val="19"/>
          <w:color w:val="auto"/>
        </w:rPr>
      </w:pPr>
      <w:r>
        <w:rPr>
          <w:rFonts w:ascii="Arial" w:cs="Arial" w:eastAsia="Arial" w:hAnsi="Arial"/>
          <w:sz w:val="19"/>
          <w:szCs w:val="19"/>
          <w:color w:val="auto"/>
        </w:rPr>
        <w:t>it is possible that there are unpublished applications or patent applications maintained in secrecy that may later issue with claims covering our products or technology similar to ours;</w:t>
      </w:r>
    </w:p>
    <w:p>
      <w:pPr>
        <w:spacing w:after="0" w:line="58" w:lineRule="exact"/>
        <w:rPr>
          <w:rFonts w:ascii="Arial" w:cs="Arial" w:eastAsia="Arial" w:hAnsi="Arial"/>
          <w:sz w:val="19"/>
          <w:szCs w:val="19"/>
          <w:color w:val="auto"/>
        </w:rPr>
      </w:pPr>
    </w:p>
    <w:p>
      <w:pPr>
        <w:ind w:left="980" w:right="140" w:hanging="491"/>
        <w:spacing w:after="0" w:line="281" w:lineRule="auto"/>
        <w:tabs>
          <w:tab w:leader="none" w:pos="98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laws of foreign countries may not protect our or our licensors’, as the case may be, proprietary rights to the same extent as the laws of the United States;</w:t>
      </w:r>
    </w:p>
    <w:p>
      <w:pPr>
        <w:spacing w:after="0" w:line="58" w:lineRule="exact"/>
        <w:rPr>
          <w:rFonts w:ascii="Arial" w:cs="Arial" w:eastAsia="Arial" w:hAnsi="Arial"/>
          <w:sz w:val="19"/>
          <w:szCs w:val="19"/>
          <w:color w:val="auto"/>
        </w:rPr>
      </w:pPr>
    </w:p>
    <w:p>
      <w:pPr>
        <w:ind w:left="980" w:right="300" w:hanging="491"/>
        <w:spacing w:after="0" w:line="281" w:lineRule="auto"/>
        <w:tabs>
          <w:tab w:leader="none" w:pos="98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claims of our owned or in-licensed issued patents or patent applications, if and when issued, may not cover our product candidates;</w:t>
      </w:r>
    </w:p>
    <w:p>
      <w:pPr>
        <w:spacing w:after="0" w:line="58" w:lineRule="exact"/>
        <w:rPr>
          <w:rFonts w:ascii="Arial" w:cs="Arial" w:eastAsia="Arial" w:hAnsi="Arial"/>
          <w:sz w:val="19"/>
          <w:szCs w:val="19"/>
          <w:color w:val="auto"/>
        </w:rPr>
      </w:pPr>
    </w:p>
    <w:p>
      <w:pPr>
        <w:ind w:left="980" w:right="240" w:hanging="491"/>
        <w:spacing w:after="0" w:line="260" w:lineRule="auto"/>
        <w:tabs>
          <w:tab w:leader="none" w:pos="980" w:val="left"/>
        </w:tabs>
        <w:numPr>
          <w:ilvl w:val="0"/>
          <w:numId w:val="59"/>
        </w:numPr>
        <w:rPr>
          <w:rFonts w:ascii="Arial" w:cs="Arial" w:eastAsia="Arial" w:hAnsi="Arial"/>
          <w:sz w:val="19"/>
          <w:szCs w:val="19"/>
          <w:color w:val="auto"/>
        </w:rPr>
      </w:pPr>
      <w:r>
        <w:rPr>
          <w:rFonts w:ascii="Arial" w:cs="Arial" w:eastAsia="Arial" w:hAnsi="Arial"/>
          <w:sz w:val="19"/>
          <w:szCs w:val="19"/>
          <w:color w:val="auto"/>
        </w:rPr>
        <w:t>our owned, co-owned, or in-licensed issued patents may not provide us with any competitive advantages, may be narrowed in scope, or be held invalid or unenforceable as a result of legal challenges by third parties;</w:t>
      </w:r>
    </w:p>
    <w:p>
      <w:pPr>
        <w:spacing w:after="0" w:line="78" w:lineRule="exact"/>
        <w:rPr>
          <w:rFonts w:ascii="Arial" w:cs="Arial" w:eastAsia="Arial" w:hAnsi="Arial"/>
          <w:sz w:val="19"/>
          <w:szCs w:val="19"/>
          <w:color w:val="auto"/>
        </w:rPr>
      </w:pPr>
    </w:p>
    <w:p>
      <w:pPr>
        <w:ind w:left="980" w:right="140" w:hanging="491"/>
        <w:spacing w:after="0" w:line="260" w:lineRule="auto"/>
        <w:tabs>
          <w:tab w:leader="none" w:pos="98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inventors of our owned, co-owned,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78" w:lineRule="exact"/>
        <w:rPr>
          <w:rFonts w:ascii="Arial" w:cs="Arial" w:eastAsia="Arial" w:hAnsi="Arial"/>
          <w:sz w:val="19"/>
          <w:szCs w:val="19"/>
          <w:color w:val="auto"/>
        </w:rPr>
      </w:pPr>
    </w:p>
    <w:p>
      <w:pPr>
        <w:jc w:val="both"/>
        <w:ind w:left="980" w:right="220" w:hanging="491"/>
        <w:spacing w:after="0" w:line="260" w:lineRule="auto"/>
        <w:tabs>
          <w:tab w:leader="none" w:pos="98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co-owners of certain of our patent applications may become involved with, or license or assign the co-owned applications to competitors, or become hostile to us or the patents or patent applications on which they are named as co-owners;</w:t>
      </w:r>
    </w:p>
    <w:p>
      <w:pPr>
        <w:spacing w:after="0" w:line="78" w:lineRule="exact"/>
        <w:rPr>
          <w:rFonts w:ascii="Arial" w:cs="Arial" w:eastAsia="Arial" w:hAnsi="Arial"/>
          <w:sz w:val="19"/>
          <w:szCs w:val="19"/>
          <w:color w:val="auto"/>
        </w:rPr>
      </w:pPr>
    </w:p>
    <w:p>
      <w:pPr>
        <w:ind w:left="980" w:right="140" w:hanging="491"/>
        <w:spacing w:after="0" w:line="260" w:lineRule="auto"/>
        <w:tabs>
          <w:tab w:leader="none" w:pos="980" w:val="left"/>
        </w:tabs>
        <w:numPr>
          <w:ilvl w:val="0"/>
          <w:numId w:val="59"/>
        </w:numPr>
        <w:rPr>
          <w:rFonts w:ascii="Arial" w:cs="Arial" w:eastAsia="Arial" w:hAnsi="Arial"/>
          <w:sz w:val="19"/>
          <w:szCs w:val="19"/>
          <w:color w:val="auto"/>
        </w:rPr>
      </w:pPr>
      <w:r>
        <w:rPr>
          <w:rFonts w:ascii="Arial" w:cs="Arial" w:eastAsia="Arial" w:hAnsi="Arial"/>
          <w:sz w:val="19"/>
          <w:szCs w:val="19"/>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78" w:lineRule="exact"/>
        <w:rPr>
          <w:rFonts w:ascii="Arial" w:cs="Arial" w:eastAsia="Arial" w:hAnsi="Arial"/>
          <w:sz w:val="19"/>
          <w:szCs w:val="19"/>
          <w:color w:val="auto"/>
        </w:rPr>
      </w:pPr>
    </w:p>
    <w:p>
      <w:pPr>
        <w:ind w:left="980" w:right="20" w:hanging="491"/>
        <w:spacing w:after="0" w:line="310" w:lineRule="auto"/>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have engaged in scientific collaborations in the past, and will continue to do so in the future. Such collaborators may develop adjacent or competing products to ours that are outside the scope of our patents;</w:t>
      </w:r>
    </w:p>
    <w:p>
      <w:pPr>
        <w:spacing w:after="0" w:line="35" w:lineRule="exact"/>
        <w:rPr>
          <w:rFonts w:ascii="Arial" w:cs="Arial" w:eastAsia="Arial" w:hAnsi="Arial"/>
          <w:sz w:val="18"/>
          <w:szCs w:val="18"/>
          <w:color w:val="auto"/>
        </w:rPr>
      </w:pPr>
    </w:p>
    <w:p>
      <w:pPr>
        <w:ind w:left="980" w:hanging="491"/>
        <w:spacing w:after="0"/>
        <w:tabs>
          <w:tab w:leader="none" w:pos="980" w:val="left"/>
        </w:tabs>
        <w:numPr>
          <w:ilvl w:val="0"/>
          <w:numId w:val="59"/>
        </w:numPr>
        <w:rPr>
          <w:rFonts w:ascii="Arial" w:cs="Arial" w:eastAsia="Arial" w:hAnsi="Arial"/>
          <w:sz w:val="19"/>
          <w:szCs w:val="19"/>
          <w:color w:val="auto"/>
        </w:rPr>
      </w:pPr>
      <w:r>
        <w:rPr>
          <w:rFonts w:ascii="Arial" w:cs="Arial" w:eastAsia="Arial" w:hAnsi="Arial"/>
          <w:sz w:val="19"/>
          <w:szCs w:val="19"/>
          <w:color w:val="auto"/>
        </w:rPr>
        <w:t>we may not develop additional proprietary technologies for which we can obtain patent protection;</w:t>
      </w:r>
    </w:p>
    <w:p>
      <w:pPr>
        <w:spacing w:after="0" w:line="132" w:lineRule="exact"/>
        <w:rPr>
          <w:rFonts w:ascii="Arial" w:cs="Arial" w:eastAsia="Arial" w:hAnsi="Arial"/>
          <w:sz w:val="19"/>
          <w:szCs w:val="19"/>
          <w:color w:val="auto"/>
        </w:rPr>
      </w:pPr>
    </w:p>
    <w:p>
      <w:pPr>
        <w:ind w:left="980" w:hanging="491"/>
        <w:spacing w:after="0" w:line="281" w:lineRule="auto"/>
        <w:tabs>
          <w:tab w:leader="none" w:pos="980" w:val="left"/>
        </w:tabs>
        <w:numPr>
          <w:ilvl w:val="0"/>
          <w:numId w:val="59"/>
        </w:numPr>
        <w:rPr>
          <w:rFonts w:ascii="Arial" w:cs="Arial" w:eastAsia="Arial" w:hAnsi="Arial"/>
          <w:sz w:val="19"/>
          <w:szCs w:val="19"/>
          <w:color w:val="auto"/>
        </w:rPr>
      </w:pPr>
      <w:r>
        <w:rPr>
          <w:rFonts w:ascii="Arial" w:cs="Arial" w:eastAsia="Arial" w:hAnsi="Arial"/>
          <w:sz w:val="19"/>
          <w:szCs w:val="19"/>
          <w:color w:val="auto"/>
        </w:rPr>
        <w:t>it is possible that product candidates or diagnostic tests we develop may be covered by third parties’ patents or other exclusive rights; or</w:t>
      </w:r>
    </w:p>
    <w:p>
      <w:pPr>
        <w:spacing w:after="0" w:line="58" w:lineRule="exact"/>
        <w:rPr>
          <w:rFonts w:ascii="Arial" w:cs="Arial" w:eastAsia="Arial" w:hAnsi="Arial"/>
          <w:sz w:val="19"/>
          <w:szCs w:val="19"/>
          <w:color w:val="auto"/>
        </w:rPr>
      </w:pPr>
    </w:p>
    <w:p>
      <w:pPr>
        <w:ind w:left="980" w:hanging="491"/>
        <w:spacing w:after="0"/>
        <w:tabs>
          <w:tab w:leader="none" w:pos="98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patents of others may have an adverse effect on our business.</w:t>
      </w:r>
    </w:p>
    <w:p>
      <w:pPr>
        <w:spacing w:after="0" w:line="124" w:lineRule="exact"/>
        <w:rPr>
          <w:sz w:val="20"/>
          <w:szCs w:val="20"/>
          <w:color w:val="auto"/>
        </w:rPr>
      </w:pPr>
    </w:p>
    <w:p>
      <w:pPr>
        <w:jc w:val="both"/>
        <w:ind w:right="140"/>
        <w:spacing w:after="0" w:line="263" w:lineRule="auto"/>
        <w:rPr>
          <w:sz w:val="20"/>
          <w:szCs w:val="20"/>
          <w:color w:val="auto"/>
        </w:rPr>
      </w:pPr>
      <w:r>
        <w:rPr>
          <w:rFonts w:ascii="Arial" w:cs="Arial" w:eastAsia="Arial" w:hAnsi="Arial"/>
          <w:sz w:val="19"/>
          <w:szCs w:val="19"/>
          <w:b w:val="1"/>
          <w:bCs w:val="1"/>
          <w:i w:val="1"/>
          <w:iCs w:val="1"/>
          <w:color w:val="auto"/>
        </w:rPr>
        <w:t xml:space="preserve">We may enter into license or other collaboration agreements in the future that may impose certain obligations on </w:t>
      </w:r>
      <w:r>
        <w:rPr>
          <w:rFonts w:ascii="Arial" w:cs="Arial" w:eastAsia="Arial" w:hAnsi="Arial"/>
          <w:sz w:val="19"/>
          <w:szCs w:val="19"/>
          <w:b w:val="1"/>
          <w:bCs w:val="1"/>
          <w:color w:val="auto"/>
        </w:rPr>
        <w:t>us. If we fail to comply with our obligations under such future agreements with third parties, we could lose</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license rights that may be important to our future business.</w:t>
      </w:r>
    </w:p>
    <w:p>
      <w:pPr>
        <w:spacing w:after="0" w:line="53" w:lineRule="exact"/>
        <w:rPr>
          <w:sz w:val="20"/>
          <w:szCs w:val="20"/>
          <w:color w:val="auto"/>
        </w:rPr>
      </w:pPr>
    </w:p>
    <w:p>
      <w:pPr>
        <w:ind w:right="20"/>
        <w:spacing w:after="0" w:line="250" w:lineRule="auto"/>
        <w:rPr>
          <w:sz w:val="20"/>
          <w:szCs w:val="20"/>
          <w:color w:val="auto"/>
        </w:rPr>
      </w:pPr>
      <w:r>
        <w:rPr>
          <w:rFonts w:ascii="Arial" w:cs="Arial" w:eastAsia="Arial" w:hAnsi="Arial"/>
          <w:sz w:val="19"/>
          <w:szCs w:val="19"/>
          <w:color w:val="auto"/>
        </w:rPr>
        <w:t>In connection with our efforts to expand our pipeline of product candidates, we may enter into certain licenses or other collaboration agreements in the future pertaining to the in-license of rights to additional candidates. Such agreements may impose various diligence, milestone payment, royalty, insurance or other obligations on us. If we fail to comply with these obligations, our licensor or collaboration partners may have the right to terminate the relevant agreement, in which event we would not be able to develop or market the products covered by such licensed intellectual property.</w:t>
      </w:r>
    </w:p>
    <w:p>
      <w:pPr>
        <w:spacing w:after="0" w:line="74" w:lineRule="exact"/>
        <w:rPr>
          <w:sz w:val="20"/>
          <w:szCs w:val="20"/>
          <w:color w:val="auto"/>
        </w:rPr>
      </w:pPr>
    </w:p>
    <w:p>
      <w:pPr>
        <w:spacing w:after="0"/>
        <w:rPr>
          <w:sz w:val="20"/>
          <w:szCs w:val="20"/>
          <w:color w:val="auto"/>
        </w:rPr>
      </w:pPr>
      <w:r>
        <w:rPr>
          <w:rFonts w:ascii="Arial" w:cs="Arial" w:eastAsia="Arial" w:hAnsi="Arial"/>
          <w:sz w:val="19"/>
          <w:szCs w:val="19"/>
          <w:color w:val="auto"/>
        </w:rPr>
        <w:t>Moreover, disputes may arise regarding intellectual property subject to a licensing agreement, including:</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83</w:t>
      </w:r>
    </w:p>
    <w:p>
      <w:pPr>
        <w:sectPr>
          <w:pgSz w:w="12240" w:h="15840" w:orient="portrait"/>
          <w:cols w:equalWidth="0" w:num="1">
            <w:col w:w="10060"/>
          </w:cols>
          <w:pgMar w:left="1080" w:top="1062" w:right="1100" w:bottom="173" w:gutter="0" w:footer="0" w:header="0"/>
        </w:sectPr>
      </w:pPr>
    </w:p>
    <w:bookmarkStart w:id="87" w:name="page88"/>
    <w:bookmarkEnd w:id="87"/>
    <w:p>
      <w:pPr>
        <w:ind w:left="980" w:hanging="491"/>
        <w:spacing w:after="0"/>
        <w:tabs>
          <w:tab w:leader="none" w:pos="980"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scope of rights granted under the license agreement and other interpretation-related issues;</w:t>
      </w:r>
    </w:p>
    <w:p>
      <w:pPr>
        <w:spacing w:after="0" w:line="132" w:lineRule="exact"/>
        <w:rPr>
          <w:rFonts w:ascii="Arial" w:cs="Arial" w:eastAsia="Arial" w:hAnsi="Arial"/>
          <w:sz w:val="19"/>
          <w:szCs w:val="19"/>
          <w:color w:val="auto"/>
        </w:rPr>
      </w:pPr>
    </w:p>
    <w:p>
      <w:pPr>
        <w:ind w:left="980" w:right="20" w:hanging="491"/>
        <w:spacing w:after="0" w:line="281" w:lineRule="auto"/>
        <w:tabs>
          <w:tab w:leader="none" w:pos="980"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extent to which our product candidates, technology and processes infringe on intellectual property of the licensor that is not subject to the licensing agreement;</w:t>
      </w:r>
    </w:p>
    <w:p>
      <w:pPr>
        <w:spacing w:after="0" w:line="58" w:lineRule="exact"/>
        <w:rPr>
          <w:rFonts w:ascii="Arial" w:cs="Arial" w:eastAsia="Arial" w:hAnsi="Arial"/>
          <w:sz w:val="19"/>
          <w:szCs w:val="19"/>
          <w:color w:val="auto"/>
        </w:rPr>
      </w:pPr>
    </w:p>
    <w:p>
      <w:pPr>
        <w:ind w:left="980" w:hanging="491"/>
        <w:spacing w:after="0"/>
        <w:tabs>
          <w:tab w:leader="none" w:pos="980"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sublicensing of patent and other rights under our collaborative development relationships;</w:t>
      </w:r>
    </w:p>
    <w:p>
      <w:pPr>
        <w:spacing w:after="0" w:line="132" w:lineRule="exact"/>
        <w:rPr>
          <w:rFonts w:ascii="Arial" w:cs="Arial" w:eastAsia="Arial" w:hAnsi="Arial"/>
          <w:sz w:val="19"/>
          <w:szCs w:val="19"/>
          <w:color w:val="auto"/>
        </w:rPr>
      </w:pPr>
    </w:p>
    <w:p>
      <w:pPr>
        <w:ind w:left="980" w:hanging="491"/>
        <w:spacing w:after="0"/>
        <w:tabs>
          <w:tab w:leader="none" w:pos="980" w:val="left"/>
        </w:tabs>
        <w:numPr>
          <w:ilvl w:val="0"/>
          <w:numId w:val="60"/>
        </w:numPr>
        <w:rPr>
          <w:rFonts w:ascii="Arial" w:cs="Arial" w:eastAsia="Arial" w:hAnsi="Arial"/>
          <w:sz w:val="19"/>
          <w:szCs w:val="19"/>
          <w:color w:val="auto"/>
        </w:rPr>
      </w:pPr>
      <w:r>
        <w:rPr>
          <w:rFonts w:ascii="Arial" w:cs="Arial" w:eastAsia="Arial" w:hAnsi="Arial"/>
          <w:sz w:val="19"/>
          <w:szCs w:val="19"/>
          <w:color w:val="auto"/>
        </w:rPr>
        <w:t>our diligence obligations under the license agreement and what activities satisfy those diligence obligations;</w:t>
      </w:r>
    </w:p>
    <w:p>
      <w:pPr>
        <w:spacing w:after="0" w:line="132" w:lineRule="exact"/>
        <w:rPr>
          <w:rFonts w:ascii="Arial" w:cs="Arial" w:eastAsia="Arial" w:hAnsi="Arial"/>
          <w:sz w:val="19"/>
          <w:szCs w:val="19"/>
          <w:color w:val="auto"/>
        </w:rPr>
      </w:pPr>
    </w:p>
    <w:p>
      <w:pPr>
        <w:ind w:left="980" w:right="620" w:hanging="491"/>
        <w:spacing w:after="0" w:line="281" w:lineRule="auto"/>
        <w:tabs>
          <w:tab w:leader="none" w:pos="980"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inventorship and ownership of inventions and know-how resulting from the joint creation or use of intellectual property by our licensors and us and our partners; and</w:t>
      </w:r>
    </w:p>
    <w:p>
      <w:pPr>
        <w:spacing w:after="0" w:line="58" w:lineRule="exact"/>
        <w:rPr>
          <w:rFonts w:ascii="Arial" w:cs="Arial" w:eastAsia="Arial" w:hAnsi="Arial"/>
          <w:sz w:val="19"/>
          <w:szCs w:val="19"/>
          <w:color w:val="auto"/>
        </w:rPr>
      </w:pPr>
    </w:p>
    <w:p>
      <w:pPr>
        <w:ind w:left="980" w:hanging="491"/>
        <w:spacing w:after="0"/>
        <w:tabs>
          <w:tab w:leader="none" w:pos="980"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priority of invention of patented technology.</w:t>
      </w:r>
    </w:p>
    <w:p>
      <w:pPr>
        <w:spacing w:after="0" w:line="120" w:lineRule="exact"/>
        <w:rPr>
          <w:sz w:val="20"/>
          <w:szCs w:val="20"/>
          <w:color w:val="auto"/>
        </w:rPr>
      </w:pPr>
    </w:p>
    <w:p>
      <w:pPr>
        <w:ind w:right="60"/>
        <w:spacing w:after="0" w:line="245" w:lineRule="auto"/>
        <w:rPr>
          <w:sz w:val="20"/>
          <w:szCs w:val="20"/>
          <w:color w:val="auto"/>
        </w:rPr>
      </w:pPr>
      <w:r>
        <w:rPr>
          <w:rFonts w:ascii="Arial" w:cs="Arial" w:eastAsia="Arial" w:hAnsi="Arial"/>
          <w:sz w:val="19"/>
          <w:szCs w:val="19"/>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79" w:lineRule="exact"/>
        <w:rPr>
          <w:sz w:val="20"/>
          <w:szCs w:val="20"/>
          <w:color w:val="auto"/>
        </w:rPr>
      </w:pPr>
    </w:p>
    <w:p>
      <w:pPr>
        <w:ind w:right="140"/>
        <w:spacing w:after="0" w:line="245" w:lineRule="auto"/>
        <w:rPr>
          <w:sz w:val="20"/>
          <w:szCs w:val="20"/>
          <w:color w:val="auto"/>
        </w:rPr>
      </w:pPr>
      <w:r>
        <w:rPr>
          <w:rFonts w:ascii="Arial" w:cs="Arial" w:eastAsia="Arial" w:hAnsi="Arial"/>
          <w:sz w:val="19"/>
          <w:szCs w:val="19"/>
          <w:color w:val="auto"/>
        </w:rPr>
        <w:t>In addition, we may have limited control over the maintenance and prosecution of these in-licensed patents and patent applications, or any other intellectual property that may be related to our in-licensed intellectual property. For example, we cannot be certain that such activities by any future licensors have been or will be conducted in compliance with applicable laws and regulations or will result in valid and enforceable patents and other intellectual property rights. We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w:t>
      </w:r>
    </w:p>
    <w:p>
      <w:pPr>
        <w:spacing w:after="0" w:line="88"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b w:val="1"/>
          <w:bCs w:val="1"/>
          <w:i w:val="1"/>
          <w:iCs w:val="1"/>
          <w:color w:val="auto"/>
        </w:rPr>
        <w:t>If we are unable to protect the confidentiality of our trade secrets, our business and competitive position would be harmed.</w:t>
      </w:r>
    </w:p>
    <w:p>
      <w:pPr>
        <w:spacing w:after="0" w:line="30" w:lineRule="exact"/>
        <w:rPr>
          <w:sz w:val="20"/>
          <w:szCs w:val="20"/>
          <w:color w:val="auto"/>
        </w:rPr>
      </w:pPr>
    </w:p>
    <w:p>
      <w:pPr>
        <w:spacing w:after="0" w:line="242" w:lineRule="auto"/>
        <w:rPr>
          <w:sz w:val="20"/>
          <w:szCs w:val="20"/>
          <w:color w:val="auto"/>
        </w:rPr>
      </w:pPr>
      <w:r>
        <w:rPr>
          <w:rFonts w:ascii="Arial" w:cs="Arial" w:eastAsia="Arial" w:hAnsi="Arial"/>
          <w:sz w:val="19"/>
          <w:szCs w:val="19"/>
          <w:color w:val="auto"/>
        </w:rPr>
        <w:t>In addition to patent protection, we rely upon know-how and trade secret protection, as well as non-disclosure agreements and invention assignment agreements with our employees, consultants and third-parties,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of a trade secret by an employee or third-party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For example, our research development strategy includes the establishment of coculture of cancer cells, immune cells and viruses. Our techniques for establishing these cocultures and testing our experimental agents in these assays are proprietary and confidential. If one or more third parties obtain or are otherwise able to replicate these techniques, an important feature and differentiator of our research development strategy will become available to potential competitors. If any of our confidential or proprietary information, such as our trade secrets, were to be disclosed or misappropriated, or if any such information was independently developed by a competitor, our competitive position could be harmed.</w:t>
      </w:r>
    </w:p>
    <w:p>
      <w:pPr>
        <w:spacing w:after="0" w:line="89" w:lineRule="exact"/>
        <w:rPr>
          <w:sz w:val="20"/>
          <w:szCs w:val="20"/>
          <w:color w:val="auto"/>
        </w:rPr>
      </w:pPr>
    </w:p>
    <w:p>
      <w:pPr>
        <w:ind w:right="80"/>
        <w:spacing w:after="0" w:line="248" w:lineRule="auto"/>
        <w:rPr>
          <w:sz w:val="20"/>
          <w:szCs w:val="20"/>
          <w:color w:val="auto"/>
        </w:rPr>
      </w:pPr>
      <w:r>
        <w:rPr>
          <w:rFonts w:ascii="Arial" w:cs="Arial" w:eastAsia="Arial" w:hAnsi="Arial"/>
          <w:sz w:val="19"/>
          <w:szCs w:val="19"/>
          <w:color w:val="auto"/>
        </w:rPr>
        <w:t>In addition, courts outside the United States are sometimes less willing to protect trade secrets. If we choose to go to court to stop a third-party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w:t>
      </w:r>
    </w:p>
    <w:p>
      <w:pPr>
        <w:spacing w:after="0" w:line="76" w:lineRule="exact"/>
        <w:rPr>
          <w:sz w:val="20"/>
          <w:szCs w:val="20"/>
          <w:color w:val="auto"/>
        </w:rPr>
      </w:pPr>
    </w:p>
    <w:p>
      <w:pPr>
        <w:ind w:right="180"/>
        <w:spacing w:after="0" w:line="267" w:lineRule="auto"/>
        <w:rPr>
          <w:sz w:val="20"/>
          <w:szCs w:val="20"/>
          <w:color w:val="auto"/>
        </w:rPr>
      </w:pPr>
      <w:r>
        <w:rPr>
          <w:rFonts w:ascii="Arial" w:cs="Arial" w:eastAsia="Arial" w:hAnsi="Arial"/>
          <w:sz w:val="18"/>
          <w:szCs w:val="18"/>
          <w:color w:val="auto"/>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84</w:t>
      </w:r>
    </w:p>
    <w:p>
      <w:pPr>
        <w:sectPr>
          <w:pgSz w:w="12240" w:h="15840" w:orient="portrait"/>
          <w:cols w:equalWidth="0" w:num="1">
            <w:col w:w="10060"/>
          </w:cols>
          <w:pgMar w:left="1080" w:top="1075" w:right="1100" w:bottom="173" w:gutter="0" w:footer="0" w:header="0"/>
        </w:sectPr>
      </w:pPr>
    </w:p>
    <w:bookmarkStart w:id="88" w:name="page89"/>
    <w:bookmarkEnd w:id="88"/>
    <w:p>
      <w:pPr>
        <w:spacing w:after="0" w:line="248" w:lineRule="auto"/>
        <w:rPr>
          <w:sz w:val="20"/>
          <w:szCs w:val="20"/>
          <w:color w:val="auto"/>
        </w:rPr>
      </w:pPr>
      <w:r>
        <w:rPr>
          <w:rFonts w:ascii="Arial" w:cs="Arial" w:eastAsia="Arial" w:hAnsi="Arial"/>
          <w:sz w:val="19"/>
          <w:szCs w:val="19"/>
          <w:color w:val="auto"/>
        </w:rPr>
        <w:t>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technology by third parties. We have also adopted policies and conduct training that provides guidance on our expectations, and our advice for best practices, in protecting our trade secrets.</w:t>
      </w:r>
    </w:p>
    <w:p>
      <w:pPr>
        <w:spacing w:after="0" w:line="80" w:lineRule="exact"/>
        <w:rPr>
          <w:sz w:val="20"/>
          <w:szCs w:val="20"/>
          <w:color w:val="auto"/>
        </w:rPr>
      </w:pPr>
    </w:p>
    <w:p>
      <w:pPr>
        <w:ind w:right="700"/>
        <w:spacing w:after="0" w:line="287" w:lineRule="auto"/>
        <w:rPr>
          <w:sz w:val="20"/>
          <w:szCs w:val="20"/>
          <w:color w:val="auto"/>
        </w:rPr>
      </w:pPr>
      <w:r>
        <w:rPr>
          <w:rFonts w:ascii="Arial" w:cs="Arial" w:eastAsia="Arial" w:hAnsi="Arial"/>
          <w:sz w:val="19"/>
          <w:szCs w:val="19"/>
          <w:b w:val="1"/>
          <w:bCs w:val="1"/>
          <w:i w:val="1"/>
          <w:iCs w:val="1"/>
          <w:color w:val="auto"/>
        </w:rPr>
        <w:t>Third-party claims of intellectual property infringement may prevent or delay our product discovery and development efforts.</w:t>
      </w:r>
    </w:p>
    <w:p>
      <w:pPr>
        <w:spacing w:after="0" w:line="3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Our commercial success depends in part on our ability to develop, manufacture, market and sell our product candidates and use our proprietary technologies without infringing the proprietary rights of third parties. There is a substantial amount of litigation involving patents and other intellectual property rights in the biotechnology and biopharmaceutical industries, as well as administrative proceedings for challenging patents, including interference, derivation,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post-grant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As the biotechnology and biopharmaceutical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spacing w:after="0" w:line="76" w:lineRule="exact"/>
        <w:rPr>
          <w:sz w:val="20"/>
          <w:szCs w:val="20"/>
          <w:color w:val="auto"/>
        </w:rPr>
      </w:pPr>
    </w:p>
    <w:p>
      <w:pPr>
        <w:ind w:right="120"/>
        <w:spacing w:after="0" w:line="281" w:lineRule="auto"/>
        <w:rPr>
          <w:sz w:val="20"/>
          <w:szCs w:val="20"/>
          <w:color w:val="auto"/>
        </w:rPr>
      </w:pPr>
      <w:r>
        <w:rPr>
          <w:rFonts w:ascii="Arial" w:cs="Arial" w:eastAsia="Arial" w:hAnsi="Arial"/>
          <w:sz w:val="19"/>
          <w:szCs w:val="19"/>
          <w:color w:val="auto"/>
        </w:rPr>
        <w:t>If a third-party claims that we infringe its intellectual property rights, we may face a number of issues, including, but not limited to:</w:t>
      </w:r>
    </w:p>
    <w:p>
      <w:pPr>
        <w:spacing w:after="0" w:line="58" w:lineRule="exact"/>
        <w:rPr>
          <w:sz w:val="20"/>
          <w:szCs w:val="20"/>
          <w:color w:val="auto"/>
        </w:rPr>
      </w:pPr>
    </w:p>
    <w:p>
      <w:pPr>
        <w:ind w:left="980" w:right="180" w:hanging="491"/>
        <w:spacing w:after="0" w:line="281" w:lineRule="auto"/>
        <w:tabs>
          <w:tab w:leader="none" w:pos="980" w:val="left"/>
        </w:tabs>
        <w:numPr>
          <w:ilvl w:val="0"/>
          <w:numId w:val="61"/>
        </w:numPr>
        <w:rPr>
          <w:rFonts w:ascii="Arial" w:cs="Arial" w:eastAsia="Arial" w:hAnsi="Arial"/>
          <w:sz w:val="19"/>
          <w:szCs w:val="19"/>
          <w:color w:val="auto"/>
        </w:rPr>
      </w:pPr>
      <w:r>
        <w:rPr>
          <w:rFonts w:ascii="Arial" w:cs="Arial" w:eastAsia="Arial" w:hAnsi="Arial"/>
          <w:sz w:val="19"/>
          <w:szCs w:val="19"/>
          <w:color w:val="auto"/>
        </w:rPr>
        <w:t>infringement and other intellectual property claims which, regardless of merit, may be expensive and time-consuming to litigate and may divert our management’s attention from our core business;</w:t>
      </w:r>
    </w:p>
    <w:p>
      <w:pPr>
        <w:spacing w:after="0" w:line="58" w:lineRule="exact"/>
        <w:rPr>
          <w:rFonts w:ascii="Arial" w:cs="Arial" w:eastAsia="Arial" w:hAnsi="Arial"/>
          <w:sz w:val="19"/>
          <w:szCs w:val="19"/>
          <w:color w:val="auto"/>
        </w:rPr>
      </w:pPr>
    </w:p>
    <w:p>
      <w:pPr>
        <w:ind w:left="980" w:right="200" w:hanging="491"/>
        <w:spacing w:after="0" w:line="253" w:lineRule="auto"/>
        <w:tabs>
          <w:tab w:leader="none" w:pos="980" w:val="left"/>
        </w:tabs>
        <w:numPr>
          <w:ilvl w:val="0"/>
          <w:numId w:val="61"/>
        </w:numPr>
        <w:rPr>
          <w:rFonts w:ascii="Arial" w:cs="Arial" w:eastAsia="Arial" w:hAnsi="Arial"/>
          <w:sz w:val="19"/>
          <w:szCs w:val="19"/>
          <w:color w:val="auto"/>
        </w:rPr>
      </w:pPr>
      <w:r>
        <w:rPr>
          <w:rFonts w:ascii="Arial" w:cs="Arial" w:eastAsia="Arial" w:hAnsi="Arial"/>
          <w:sz w:val="19"/>
          <w:szCs w:val="19"/>
          <w:color w:val="auto"/>
        </w:rPr>
        <w:t>substantial damages for infringement, which we may have to pay if a court decides that the product candidate or technology at issue infringes on or violates the third-party’s rights, and, if the court finds that the infringement was willful, we could be ordered to pay treble damages and the patent owner’s attorneys’ fees;</w:t>
      </w:r>
    </w:p>
    <w:p>
      <w:pPr>
        <w:spacing w:after="0" w:line="85" w:lineRule="exact"/>
        <w:rPr>
          <w:rFonts w:ascii="Arial" w:cs="Arial" w:eastAsia="Arial" w:hAnsi="Arial"/>
          <w:sz w:val="19"/>
          <w:szCs w:val="19"/>
          <w:color w:val="auto"/>
        </w:rPr>
      </w:pPr>
    </w:p>
    <w:p>
      <w:pPr>
        <w:ind w:left="980" w:right="160" w:hanging="491"/>
        <w:spacing w:after="0" w:line="260" w:lineRule="auto"/>
        <w:tabs>
          <w:tab w:leader="none" w:pos="980" w:val="left"/>
        </w:tabs>
        <w:numPr>
          <w:ilvl w:val="0"/>
          <w:numId w:val="61"/>
        </w:numPr>
        <w:rPr>
          <w:rFonts w:ascii="Arial" w:cs="Arial" w:eastAsia="Arial" w:hAnsi="Arial"/>
          <w:sz w:val="19"/>
          <w:szCs w:val="19"/>
          <w:color w:val="auto"/>
        </w:rPr>
      </w:pPr>
      <w:r>
        <w:rPr>
          <w:rFonts w:ascii="Arial" w:cs="Arial" w:eastAsia="Arial" w:hAnsi="Arial"/>
          <w:sz w:val="19"/>
          <w:szCs w:val="19"/>
          <w:color w:val="auto"/>
        </w:rPr>
        <w:t>a court prohibiting us from developing, manufacturing, marketing or selling our product candidates, or from using our proprietary technologies, unless the third-party licenses its product rights to us, which it is not required to do;</w:t>
      </w:r>
    </w:p>
    <w:p>
      <w:pPr>
        <w:spacing w:after="0" w:line="78" w:lineRule="exact"/>
        <w:rPr>
          <w:rFonts w:ascii="Arial" w:cs="Arial" w:eastAsia="Arial" w:hAnsi="Arial"/>
          <w:sz w:val="19"/>
          <w:szCs w:val="19"/>
          <w:color w:val="auto"/>
        </w:rPr>
      </w:pPr>
    </w:p>
    <w:p>
      <w:pPr>
        <w:ind w:left="980" w:right="200" w:hanging="491"/>
        <w:spacing w:after="0" w:line="253" w:lineRule="auto"/>
        <w:tabs>
          <w:tab w:leader="none" w:pos="980" w:val="left"/>
        </w:tabs>
        <w:numPr>
          <w:ilvl w:val="0"/>
          <w:numId w:val="61"/>
        </w:numPr>
        <w:rPr>
          <w:rFonts w:ascii="Arial" w:cs="Arial" w:eastAsia="Arial" w:hAnsi="Arial"/>
          <w:sz w:val="19"/>
          <w:szCs w:val="19"/>
          <w:color w:val="auto"/>
        </w:rPr>
      </w:pPr>
      <w:r>
        <w:rPr>
          <w:rFonts w:ascii="Arial" w:cs="Arial" w:eastAsia="Arial" w:hAnsi="Arial"/>
          <w:sz w:val="19"/>
          <w:szCs w:val="19"/>
          <w:color w:val="auto"/>
        </w:rPr>
        <w:t>if a license is available from a third-party, we may have to pay substantial royalties, upfront fees and other amounts, and/or grant cross-licenses to intellectual property rights for our products and any license that is available may be non-exclusive, which could result in our competitors gaining access to the same intellectual property; and</w:t>
      </w:r>
    </w:p>
    <w:p>
      <w:pPr>
        <w:spacing w:after="0" w:line="85" w:lineRule="exact"/>
        <w:rPr>
          <w:rFonts w:ascii="Arial" w:cs="Arial" w:eastAsia="Arial" w:hAnsi="Arial"/>
          <w:sz w:val="19"/>
          <w:szCs w:val="19"/>
          <w:color w:val="auto"/>
        </w:rPr>
      </w:pPr>
    </w:p>
    <w:p>
      <w:pPr>
        <w:ind w:left="980" w:right="80" w:hanging="491"/>
        <w:spacing w:after="0" w:line="281" w:lineRule="auto"/>
        <w:tabs>
          <w:tab w:leader="none" w:pos="980" w:val="left"/>
        </w:tabs>
        <w:numPr>
          <w:ilvl w:val="0"/>
          <w:numId w:val="61"/>
        </w:numPr>
        <w:rPr>
          <w:rFonts w:ascii="Arial" w:cs="Arial" w:eastAsia="Arial" w:hAnsi="Arial"/>
          <w:sz w:val="19"/>
          <w:szCs w:val="19"/>
          <w:color w:val="auto"/>
        </w:rPr>
      </w:pPr>
      <w:r>
        <w:rPr>
          <w:rFonts w:ascii="Arial" w:cs="Arial" w:eastAsia="Arial" w:hAnsi="Arial"/>
          <w:sz w:val="19"/>
          <w:szCs w:val="19"/>
          <w:color w:val="auto"/>
        </w:rPr>
        <w:t>redesigning our product candidates or processes so they do not infringe, which may not be possible or may require substantial monetary expenditures and time.</w:t>
      </w:r>
    </w:p>
    <w:p>
      <w:pPr>
        <w:spacing w:after="0" w:line="45" w:lineRule="exact"/>
        <w:rPr>
          <w:sz w:val="20"/>
          <w:szCs w:val="20"/>
          <w:color w:val="auto"/>
        </w:rPr>
      </w:pPr>
    </w:p>
    <w:p>
      <w:pPr>
        <w:ind w:right="60"/>
        <w:spacing w:after="0" w:line="246" w:lineRule="auto"/>
        <w:rPr>
          <w:sz w:val="20"/>
          <w:szCs w:val="20"/>
          <w:color w:val="auto"/>
        </w:rPr>
      </w:pPr>
      <w:r>
        <w:rPr>
          <w:rFonts w:ascii="Arial" w:cs="Arial" w:eastAsia="Arial" w:hAnsi="Arial"/>
          <w:sz w:val="19"/>
          <w:szCs w:val="19"/>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Furthermore, because of the substantial amount of discovery required in connection with intellectual property litigation or administrative proceedings, there is a risk that some of our confidential information could be compromised by disclosure.</w:t>
      </w:r>
    </w:p>
    <w:p>
      <w:pPr>
        <w:spacing w:after="0" w:line="86" w:lineRule="exact"/>
        <w:rPr>
          <w:sz w:val="20"/>
          <w:szCs w:val="20"/>
          <w:color w:val="auto"/>
        </w:rPr>
      </w:pPr>
    </w:p>
    <w:p>
      <w:pPr>
        <w:spacing w:after="0" w:line="263" w:lineRule="auto"/>
        <w:rPr>
          <w:sz w:val="20"/>
          <w:szCs w:val="20"/>
          <w:color w:val="auto"/>
        </w:rPr>
      </w:pPr>
      <w:r>
        <w:rPr>
          <w:rFonts w:ascii="Arial" w:cs="Arial" w:eastAsia="Arial" w:hAnsi="Arial"/>
          <w:sz w:val="19"/>
          <w:szCs w:val="19"/>
          <w:b w:val="1"/>
          <w:bCs w:val="1"/>
          <w:i w:val="1"/>
          <w:iCs w:val="1"/>
          <w:color w:val="auto"/>
        </w:rPr>
        <w:t>Our collaborators may assert ownership or commercial rights to inventions they develop from research we support or that we develop from our use of the tissue samples or other biological materials, which they provide to us, or otherwise arising from the collaboration.</w:t>
      </w:r>
    </w:p>
    <w:p>
      <w:pPr>
        <w:spacing w:after="0" w:line="5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collaborate with several institutions, universities, medical centers, physicians and researchers in scientific matters and expect to continue to enter into additional collaboration agreements. In certain cases, we do not have written agreements with these collaborators, or the written agreements we have do not cover intellectual property rights. Also, we rely on numerous third parties to provide us with tissue samples and biological materials that we use to conduct our research activities and develop our product candidates. If we cannot successfully negotiate sufficient ownership and commercial rights to any inventions that result from our use of a third-party collaborator’s materials, or if disputes arise</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85</w:t>
      </w:r>
    </w:p>
    <w:p>
      <w:pPr>
        <w:sectPr>
          <w:pgSz w:w="12240" w:h="15840" w:orient="portrait"/>
          <w:cols w:equalWidth="0" w:num="1">
            <w:col w:w="10060"/>
          </w:cols>
          <w:pgMar w:left="1080" w:top="1062" w:right="1100" w:bottom="173" w:gutter="0" w:footer="0" w:header="0"/>
        </w:sectPr>
      </w:pPr>
    </w:p>
    <w:bookmarkStart w:id="89" w:name="page90"/>
    <w:bookmarkEnd w:id="89"/>
    <w:p>
      <w:pPr>
        <w:ind w:right="540"/>
        <w:spacing w:after="0" w:line="260" w:lineRule="auto"/>
        <w:rPr>
          <w:sz w:val="20"/>
          <w:szCs w:val="20"/>
          <w:color w:val="auto"/>
        </w:rPr>
      </w:pPr>
      <w:r>
        <w:rPr>
          <w:rFonts w:ascii="Arial" w:cs="Arial" w:eastAsia="Arial" w:hAnsi="Arial"/>
          <w:sz w:val="19"/>
          <w:szCs w:val="19"/>
          <w:color w:val="auto"/>
        </w:rPr>
        <w:t>with respect to the intellectual property developed with the use of a collaborator’s samples, or data developed in a collaborator’s study, we may be limited in our ability to capitalize on the market potential of these inventions or developments.</w:t>
      </w:r>
    </w:p>
    <w:p>
      <w:pPr>
        <w:spacing w:after="0" w:line="6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Third parties may assert that we are employing their proprietary technology without authorization.</w:t>
      </w:r>
    </w:p>
    <w:p>
      <w:pPr>
        <w:spacing w:after="0" w:line="116" w:lineRule="exact"/>
        <w:rPr>
          <w:sz w:val="20"/>
          <w:szCs w:val="20"/>
          <w:color w:val="auto"/>
        </w:rPr>
      </w:pPr>
    </w:p>
    <w:p>
      <w:pPr>
        <w:ind w:right="20"/>
        <w:spacing w:after="0" w:line="242" w:lineRule="auto"/>
        <w:rPr>
          <w:sz w:val="20"/>
          <w:szCs w:val="20"/>
          <w:color w:val="auto"/>
        </w:rPr>
      </w:pPr>
      <w:r>
        <w:rPr>
          <w:rFonts w:ascii="Arial" w:cs="Arial" w:eastAsia="Arial" w:hAnsi="Arial"/>
          <w:sz w:val="19"/>
          <w:szCs w:val="19"/>
          <w:color w:val="auto"/>
        </w:rPr>
        <w:t>There may be third-party patents of which we are currently unaware with claims to compositions of matter, materials, formulations, methods of manufacture or methods for treatment that encompass the composition, use or manufacture of our product candidates. There may be currently pending patent applications of which we are currently unaware which may later result in issued patents that our product candidates or their use or manufacture may infringe. In addition, third parties may obtain patents in the future and claim that use of our technologies infringes upon these patents. If any third-party patent were held by a court of competent jurisdiction to cover our product candidates, intermediates used in the manufacture of our product candidates or our materials generally, aspects of our formulations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91" w:lineRule="exact"/>
        <w:rPr>
          <w:sz w:val="20"/>
          <w:szCs w:val="20"/>
          <w:color w:val="auto"/>
        </w:rPr>
      </w:pPr>
    </w:p>
    <w:p>
      <w:pPr>
        <w:ind w:right="60"/>
        <w:spacing w:after="0" w:line="244" w:lineRule="auto"/>
        <w:rPr>
          <w:sz w:val="20"/>
          <w:szCs w:val="20"/>
          <w:color w:val="auto"/>
        </w:rPr>
      </w:pPr>
      <w:r>
        <w:rPr>
          <w:rFonts w:ascii="Arial" w:cs="Arial" w:eastAsia="Arial" w:hAnsi="Arial"/>
          <w:sz w:val="19"/>
          <w:szCs w:val="19"/>
          <w:color w:val="auto"/>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spacing w:after="0" w:line="84" w:lineRule="exact"/>
        <w:rPr>
          <w:sz w:val="20"/>
          <w:szCs w:val="20"/>
          <w:color w:val="auto"/>
        </w:rPr>
      </w:pPr>
    </w:p>
    <w:p>
      <w:pPr>
        <w:ind w:right="80"/>
        <w:spacing w:after="0" w:line="263" w:lineRule="auto"/>
        <w:rPr>
          <w:sz w:val="20"/>
          <w:szCs w:val="20"/>
          <w:color w:val="auto"/>
        </w:rPr>
      </w:pPr>
      <w:r>
        <w:rPr>
          <w:rFonts w:ascii="Arial" w:cs="Arial" w:eastAsia="Arial" w:hAnsi="Arial"/>
          <w:sz w:val="19"/>
          <w:szCs w:val="19"/>
          <w:b w:val="1"/>
          <w:bCs w:val="1"/>
          <w:i w:val="1"/>
          <w:iCs w:val="1"/>
          <w:color w:val="auto"/>
        </w:rPr>
        <w:t>Third parties may assert that our employees or consultants have wrongfully used or disclosed confidential information, misappropriated trade secrets, or are in breach of non-competition or non-solicitation agreements with our competitors.</w:t>
      </w:r>
    </w:p>
    <w:p>
      <w:pPr>
        <w:spacing w:after="0" w:line="53" w:lineRule="exact"/>
        <w:rPr>
          <w:sz w:val="20"/>
          <w:szCs w:val="20"/>
          <w:color w:val="auto"/>
        </w:rPr>
      </w:pPr>
    </w:p>
    <w:p>
      <w:pPr>
        <w:spacing w:after="0" w:line="242" w:lineRule="auto"/>
        <w:rPr>
          <w:sz w:val="20"/>
          <w:szCs w:val="20"/>
          <w:color w:val="auto"/>
        </w:rPr>
      </w:pPr>
      <w:r>
        <w:rPr>
          <w:rFonts w:ascii="Arial" w:cs="Arial" w:eastAsia="Arial" w:hAnsi="Arial"/>
          <w:sz w:val="19"/>
          <w:szCs w:val="19"/>
          <w:color w:val="auto"/>
        </w:rPr>
        <w:t>As is common in the biotechnology and biopharmaceutical industries, we employ individuals who were previously employed at universities or other biotechnology or biopharmaceutical companies, including our competitors or potential competitors. Although no claims against us are currently pending, and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We may also be subject to claims that we caused an employee to breach the terms of their non-competition or non-solicitation agreement, or that we or these individuals have, inadvertently or otherwise, used or disclosed the alleged trade secrets or other proprietary information of a former employer or competitor or other party.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w:t>
      </w:r>
    </w:p>
    <w:p>
      <w:pPr>
        <w:spacing w:after="0" w:line="83" w:lineRule="exact"/>
        <w:rPr>
          <w:sz w:val="20"/>
          <w:szCs w:val="20"/>
          <w:color w:val="auto"/>
        </w:rPr>
      </w:pPr>
    </w:p>
    <w:p>
      <w:pPr>
        <w:ind w:right="660"/>
        <w:spacing w:after="0" w:line="281" w:lineRule="auto"/>
        <w:rPr>
          <w:sz w:val="20"/>
          <w:szCs w:val="20"/>
          <w:color w:val="auto"/>
        </w:rPr>
      </w:pPr>
      <w:r>
        <w:rPr>
          <w:rFonts w:ascii="Arial" w:cs="Arial" w:eastAsia="Arial" w:hAnsi="Arial"/>
          <w:sz w:val="19"/>
          <w:szCs w:val="19"/>
          <w:color w:val="auto"/>
        </w:rPr>
        <w:t>Uncertainties resulting from the initiation and continuation of patent litigation or other intellectual property related proceedings could adversely affect our ability to compete in the marketplace.</w:t>
      </w:r>
    </w:p>
    <w:p>
      <w:pPr>
        <w:spacing w:after="0" w:line="49" w:lineRule="exact"/>
        <w:rPr>
          <w:sz w:val="20"/>
          <w:szCs w:val="20"/>
          <w:color w:val="auto"/>
        </w:rPr>
      </w:pPr>
    </w:p>
    <w:p>
      <w:pPr>
        <w:ind w:right="920"/>
        <w:spacing w:after="0" w:line="287" w:lineRule="auto"/>
        <w:rPr>
          <w:sz w:val="20"/>
          <w:szCs w:val="20"/>
          <w:color w:val="auto"/>
        </w:rPr>
      </w:pPr>
      <w:r>
        <w:rPr>
          <w:rFonts w:ascii="Arial" w:cs="Arial" w:eastAsia="Arial" w:hAnsi="Arial"/>
          <w:sz w:val="19"/>
          <w:szCs w:val="19"/>
          <w:b w:val="1"/>
          <w:bCs w:val="1"/>
          <w:i w:val="1"/>
          <w:iCs w:val="1"/>
          <w:color w:val="auto"/>
        </w:rPr>
        <w:t>We may not be successful in obtaining or maintaining necessary rights to develop any future product candidates on acceptable terms.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86</w:t>
      </w:r>
    </w:p>
    <w:p>
      <w:pPr>
        <w:sectPr>
          <w:pgSz w:w="12240" w:h="15840" w:orient="portrait"/>
          <w:cols w:equalWidth="0" w:num="1">
            <w:col w:w="10080"/>
          </w:cols>
          <w:pgMar w:left="1080" w:top="1062" w:right="1080" w:bottom="173" w:gutter="0" w:footer="0" w:header="0"/>
        </w:sectPr>
      </w:pPr>
    </w:p>
    <w:bookmarkStart w:id="90" w:name="page91"/>
    <w:bookmarkEnd w:id="90"/>
    <w:p>
      <w:pPr>
        <w:jc w:val="both"/>
        <w:ind w:right="60"/>
        <w:spacing w:after="0" w:line="260" w:lineRule="auto"/>
        <w:rPr>
          <w:sz w:val="20"/>
          <w:szCs w:val="20"/>
          <w:color w:val="auto"/>
        </w:rPr>
      </w:pPr>
      <w:r>
        <w:rPr>
          <w:rFonts w:ascii="Arial" w:cs="Arial" w:eastAsia="Arial" w:hAnsi="Arial"/>
          <w:sz w:val="19"/>
          <w:szCs w:val="19"/>
          <w:color w:val="auto"/>
        </w:rPr>
        <w:t>Because our programs may involve additional product candidates that may require the use of proprietary rights held by third parties, the growth of our business may depend in part on our ability to acquire, in-license or use these proprietary rights.</w:t>
      </w:r>
    </w:p>
    <w:p>
      <w:pPr>
        <w:spacing w:after="0" w:line="65" w:lineRule="exact"/>
        <w:rPr>
          <w:sz w:val="20"/>
          <w:szCs w:val="20"/>
          <w:color w:val="auto"/>
        </w:rPr>
      </w:pPr>
    </w:p>
    <w:p>
      <w:pPr>
        <w:spacing w:after="0" w:line="244" w:lineRule="auto"/>
        <w:rPr>
          <w:sz w:val="20"/>
          <w:szCs w:val="20"/>
          <w:color w:val="auto"/>
        </w:rPr>
      </w:pPr>
      <w:r>
        <w:rPr>
          <w:rFonts w:ascii="Arial" w:cs="Arial" w:eastAsia="Arial" w:hAnsi="Arial"/>
          <w:sz w:val="19"/>
          <w:szCs w:val="19"/>
          <w:color w:val="auto"/>
        </w:rPr>
        <w:t>Our product candidates may also require specific formulations to work effectively and efficiently and these rights may be held by others. We may develop products containing our compounds and pre-existing biopharmaceutical compounds.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spacing w:after="0" w:line="80" w:lineRule="exact"/>
        <w:rPr>
          <w:sz w:val="20"/>
          <w:szCs w:val="20"/>
          <w:color w:val="auto"/>
        </w:rPr>
      </w:pPr>
    </w:p>
    <w:p>
      <w:pPr>
        <w:spacing w:after="0" w:line="245" w:lineRule="auto"/>
        <w:rPr>
          <w:sz w:val="20"/>
          <w:szCs w:val="20"/>
          <w:color w:val="auto"/>
        </w:rPr>
      </w:pPr>
      <w:r>
        <w:rPr>
          <w:rFonts w:ascii="Arial" w:cs="Arial" w:eastAsia="Arial" w:hAnsi="Arial"/>
          <w:sz w:val="19"/>
          <w:szCs w:val="19"/>
          <w:color w:val="auto"/>
        </w:rPr>
        <w:t>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84" w:lineRule="exact"/>
        <w:rPr>
          <w:sz w:val="20"/>
          <w:szCs w:val="20"/>
          <w:color w:val="auto"/>
        </w:rPr>
      </w:pPr>
    </w:p>
    <w:p>
      <w:pPr>
        <w:ind w:right="60"/>
        <w:spacing w:after="0" w:line="246" w:lineRule="auto"/>
        <w:rPr>
          <w:sz w:val="20"/>
          <w:szCs w:val="20"/>
          <w:color w:val="auto"/>
        </w:rPr>
      </w:pPr>
      <w:r>
        <w:rPr>
          <w:rFonts w:ascii="Arial" w:cs="Arial" w:eastAsia="Arial" w:hAnsi="Arial"/>
          <w:sz w:val="19"/>
          <w:szCs w:val="19"/>
          <w:color w:val="auto"/>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86" w:lineRule="exact"/>
        <w:rPr>
          <w:sz w:val="20"/>
          <w:szCs w:val="20"/>
          <w:color w:val="auto"/>
        </w:rPr>
      </w:pPr>
    </w:p>
    <w:p>
      <w:pPr>
        <w:ind w:right="240"/>
        <w:spacing w:after="0" w:line="287" w:lineRule="auto"/>
        <w:rPr>
          <w:sz w:val="20"/>
          <w:szCs w:val="20"/>
          <w:color w:val="auto"/>
        </w:rPr>
      </w:pPr>
      <w:r>
        <w:rPr>
          <w:rFonts w:ascii="Arial" w:cs="Arial" w:eastAsia="Arial" w:hAnsi="Arial"/>
          <w:sz w:val="19"/>
          <w:szCs w:val="19"/>
          <w:b w:val="1"/>
          <w:bCs w:val="1"/>
          <w:i w:val="1"/>
          <w:iCs w:val="1"/>
          <w:color w:val="auto"/>
        </w:rPr>
        <w:t>We may be involved in lawsuits to protect or enforce our patents or the patents of our licensors, which could be expensive, time-consuming and unsuccessful.</w:t>
      </w:r>
    </w:p>
    <w:p>
      <w:pPr>
        <w:spacing w:after="0" w:line="30"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Competitors may infringe our patents or the patents of our current or future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or for other reasons.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67" w:lineRule="exact"/>
        <w:rPr>
          <w:sz w:val="20"/>
          <w:szCs w:val="20"/>
          <w:color w:val="auto"/>
        </w:rPr>
      </w:pPr>
    </w:p>
    <w:p>
      <w:pPr>
        <w:spacing w:after="0" w:line="246" w:lineRule="auto"/>
        <w:rPr>
          <w:sz w:val="20"/>
          <w:szCs w:val="20"/>
          <w:color w:val="auto"/>
        </w:rPr>
      </w:pPr>
      <w:r>
        <w:rPr>
          <w:rFonts w:ascii="Arial" w:cs="Arial" w:eastAsia="Arial" w:hAnsi="Arial"/>
          <w:sz w:val="19"/>
          <w:szCs w:val="19"/>
          <w:color w:val="auto"/>
        </w:rPr>
        <w:t xml:space="preserve">We may choose to challenge the patentability of claims in a third-party’s U.S. patent by requesting that the USPTO review the patent claims in an </w:t>
      </w:r>
      <w:r>
        <w:rPr>
          <w:rFonts w:ascii="Arial" w:cs="Arial" w:eastAsia="Arial" w:hAnsi="Arial"/>
          <w:sz w:val="19"/>
          <w:szCs w:val="19"/>
          <w:i w:val="1"/>
          <w:iCs w:val="1"/>
          <w:color w:val="auto"/>
        </w:rPr>
        <w:t>ex-parte</w:t>
      </w:r>
      <w:r>
        <w:rPr>
          <w:rFonts w:ascii="Arial" w:cs="Arial" w:eastAsia="Arial" w:hAnsi="Arial"/>
          <w:sz w:val="19"/>
          <w:szCs w:val="19"/>
          <w:color w:val="auto"/>
        </w:rPr>
        <w:t xml:space="preserve"> re-examination, </w:t>
      </w:r>
      <w:r>
        <w:rPr>
          <w:rFonts w:ascii="Arial" w:cs="Arial" w:eastAsia="Arial" w:hAnsi="Arial"/>
          <w:sz w:val="19"/>
          <w:szCs w:val="19"/>
          <w:i w:val="1"/>
          <w:iCs w:val="1"/>
          <w:color w:val="auto"/>
        </w:rPr>
        <w:t>inter partes</w:t>
      </w:r>
      <w:r>
        <w:rPr>
          <w:rFonts w:ascii="Arial" w:cs="Arial" w:eastAsia="Arial" w:hAnsi="Arial"/>
          <w:sz w:val="19"/>
          <w:szCs w:val="19"/>
          <w:color w:val="auto"/>
        </w:rPr>
        <w:t xml:space="preserve"> review or post-grant review proceeding. These proceedings are expensive and may consume our time or other resources. We may choose to challenge a third-party’s patent in patent opposition proceedings in the European Patent Office (EPO), or other foreign patent office. The costs of these opposition proceedings could be substantial, and may consume our time or other resources. If we fail to obtain a favorable result at the USPTO, EPO or other patent office then we may be exposed to litigation by a third-party alleging that the patent may be infringed by our product candidates or proprietary technologies.</w:t>
      </w:r>
    </w:p>
    <w:p>
      <w:pPr>
        <w:spacing w:after="0" w:line="8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our products or technology similar to ours. Any such patent application may have 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or derivation proceeding declared by the USPTO to determine priority of invention in the United States. If we or one of our licensors is a party to an interference or derivation proceeding involving a U.S.</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87</w:t>
      </w:r>
    </w:p>
    <w:p>
      <w:pPr>
        <w:sectPr>
          <w:pgSz w:w="12240" w:h="15840" w:orient="portrait"/>
          <w:cols w:equalWidth="0" w:num="1">
            <w:col w:w="10060"/>
          </w:cols>
          <w:pgMar w:left="1080" w:top="1062" w:right="1100" w:bottom="173" w:gutter="0" w:footer="0" w:header="0"/>
        </w:sectPr>
      </w:pPr>
    </w:p>
    <w:bookmarkStart w:id="91" w:name="page92"/>
    <w:bookmarkEnd w:id="91"/>
    <w:p>
      <w:pPr>
        <w:ind w:right="340"/>
        <w:spacing w:after="0" w:line="281" w:lineRule="auto"/>
        <w:rPr>
          <w:sz w:val="20"/>
          <w:szCs w:val="20"/>
          <w:color w:val="auto"/>
        </w:rPr>
      </w:pPr>
      <w:r>
        <w:rPr>
          <w:rFonts w:ascii="Arial" w:cs="Arial" w:eastAsia="Arial" w:hAnsi="Arial"/>
          <w:sz w:val="19"/>
          <w:szCs w:val="19"/>
          <w:color w:val="auto"/>
        </w:rPr>
        <w:t>patent application on inventions owned by or in-licensed to us, we may incur substantial costs, divert management’s time and expend other resources, even if we are successful.</w:t>
      </w:r>
    </w:p>
    <w:p>
      <w:pPr>
        <w:spacing w:after="0" w:line="45" w:lineRule="exact"/>
        <w:rPr>
          <w:sz w:val="20"/>
          <w:szCs w:val="20"/>
          <w:color w:val="auto"/>
        </w:rPr>
      </w:pPr>
    </w:p>
    <w:p>
      <w:pPr>
        <w:ind w:right="40"/>
        <w:spacing w:after="0" w:line="244" w:lineRule="auto"/>
        <w:rPr>
          <w:sz w:val="20"/>
          <w:szCs w:val="20"/>
          <w:color w:val="auto"/>
        </w:rPr>
      </w:pPr>
      <w:r>
        <w:rPr>
          <w:rFonts w:ascii="Arial" w:cs="Arial" w:eastAsia="Arial" w:hAnsi="Arial"/>
          <w:sz w:val="19"/>
          <w:szCs w:val="19"/>
          <w:color w:val="auto"/>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84" w:lineRule="exact"/>
        <w:rPr>
          <w:sz w:val="20"/>
          <w:szCs w:val="20"/>
          <w:color w:val="auto"/>
        </w:rPr>
      </w:pPr>
    </w:p>
    <w:p>
      <w:pPr>
        <w:ind w:right="20"/>
        <w:spacing w:after="0" w:line="250" w:lineRule="auto"/>
        <w:rPr>
          <w:sz w:val="20"/>
          <w:szCs w:val="20"/>
          <w:color w:val="auto"/>
        </w:rPr>
      </w:pPr>
      <w:r>
        <w:rPr>
          <w:rFonts w:ascii="Arial" w:cs="Arial" w:eastAsia="Arial" w:hAnsi="Arial"/>
          <w:sz w:val="19"/>
          <w:szCs w:val="19"/>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78" w:lineRule="exact"/>
        <w:rPr>
          <w:sz w:val="20"/>
          <w:szCs w:val="20"/>
          <w:color w:val="auto"/>
        </w:rPr>
      </w:pPr>
    </w:p>
    <w:p>
      <w:pPr>
        <w:jc w:val="both"/>
        <w:ind w:right="280"/>
        <w:spacing w:after="0" w:line="263" w:lineRule="auto"/>
        <w:rPr>
          <w:sz w:val="20"/>
          <w:szCs w:val="20"/>
          <w:color w:val="auto"/>
        </w:rPr>
      </w:pPr>
      <w:r>
        <w:rPr>
          <w:rFonts w:ascii="Arial" w:cs="Arial" w:eastAsia="Arial" w:hAnsi="Arial"/>
          <w:sz w:val="19"/>
          <w:szCs w:val="19"/>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53" w:lineRule="exact"/>
        <w:rPr>
          <w:sz w:val="20"/>
          <w:szCs w:val="20"/>
          <w:color w:val="auto"/>
        </w:rPr>
      </w:pPr>
    </w:p>
    <w:p>
      <w:pPr>
        <w:spacing w:after="0" w:line="244" w:lineRule="auto"/>
        <w:rPr>
          <w:sz w:val="20"/>
          <w:szCs w:val="20"/>
          <w:color w:val="auto"/>
        </w:rPr>
      </w:pPr>
      <w:r>
        <w:rPr>
          <w:rFonts w:ascii="Arial" w:cs="Arial" w:eastAsia="Arial" w:hAnsi="Arial"/>
          <w:sz w:val="19"/>
          <w:szCs w:val="19"/>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certain circumstances, even inadvertent noncompliance events may permanently and irrevocably jeopardize patent rights. In such an event, our competitors might be able to enter the market, which would have a material adverse effect on our business.</w:t>
      </w:r>
    </w:p>
    <w:p>
      <w:pPr>
        <w:spacing w:after="0" w:line="84"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b w:val="1"/>
          <w:bCs w:val="1"/>
          <w:i w:val="1"/>
          <w:iCs w:val="1"/>
          <w:color w:val="auto"/>
        </w:rPr>
        <w:t>Issued patents covering our product candidates could be found invalid or unenforceable if challenged in court or the USPTO or could expire before the first product achieves marketing approval.</w:t>
      </w:r>
    </w:p>
    <w:p>
      <w:pPr>
        <w:spacing w:after="0" w:line="30" w:lineRule="exact"/>
        <w:rPr>
          <w:sz w:val="20"/>
          <w:szCs w:val="20"/>
          <w:color w:val="auto"/>
        </w:rPr>
      </w:pPr>
    </w:p>
    <w:p>
      <w:pPr>
        <w:spacing w:after="0" w:line="243" w:lineRule="auto"/>
        <w:rPr>
          <w:sz w:val="20"/>
          <w:szCs w:val="20"/>
          <w:color w:val="auto"/>
        </w:rPr>
      </w:pPr>
      <w:r>
        <w:rPr>
          <w:rFonts w:ascii="Arial" w:cs="Arial" w:eastAsia="Arial" w:hAnsi="Arial"/>
          <w:sz w:val="19"/>
          <w:szCs w:val="19"/>
          <w:color w:val="auto"/>
        </w:rPr>
        <w:t>If we or one of our licensors initiate legal proceedings against a third-party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third-party can assert invalidity or unenforceability of a patent. Third parties may also raise similar claims before administrative bodies in the United States or abroad, even outside the context of litigation. Such mechanisms include re-examination, inter partes review,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Such a loss of patent protection could have a material adverse impact on our business and our ability to commercialize or license our technology and product candidates.</w:t>
      </w:r>
    </w:p>
    <w:p>
      <w:pPr>
        <w:spacing w:after="0" w:line="82" w:lineRule="exact"/>
        <w:rPr>
          <w:sz w:val="20"/>
          <w:szCs w:val="20"/>
          <w:color w:val="auto"/>
        </w:rPr>
      </w:pPr>
    </w:p>
    <w:p>
      <w:pPr>
        <w:ind w:right="40"/>
        <w:spacing w:after="0" w:line="244" w:lineRule="auto"/>
        <w:rPr>
          <w:sz w:val="20"/>
          <w:szCs w:val="20"/>
          <w:color w:val="auto"/>
        </w:rPr>
      </w:pPr>
      <w:r>
        <w:rPr>
          <w:rFonts w:ascii="Arial" w:cs="Arial" w:eastAsia="Arial" w:hAnsi="Arial"/>
          <w:sz w:val="19"/>
          <w:szCs w:val="19"/>
          <w:color w:val="auto"/>
        </w:rPr>
        <w:t>Likewise, we own a U.S. patent relating to our CAN-2409 product candidate that expires in 2034, and our in-licensed U.S. and non-U.S. patents relating to our HSV-based product candidates, licensed from MGB and from Periphagen are expected to expire in 2036 and in 2037, respectively, without taking into account any possible patent term extensions. Our earliest patents may expire before, or soon after, our first product achieves marketing approval in the United States or foreign jurisdictions. Upon the expiration of our current patents, we may lose the right to exclude others from practicing these inventions. The expiration of these patents could also have a similar material adverse effect on our business, results of operations, financial condition and prospects. We own and in-license pending patent applications relating to our proprietary technologies or our product candidates that if issued as patents are expected to expire from 2034 through 2044, without taking into account any possible patent term adjustments or extensions. However, we cannot be assured that the USPTO or relevant foreign patent offices will grant any of these patent applications or that the term of the patent will be sufficient to protect the proprietary technologies or product candidates.</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88</w:t>
      </w:r>
    </w:p>
    <w:p>
      <w:pPr>
        <w:sectPr>
          <w:pgSz w:w="12240" w:h="15840" w:orient="portrait"/>
          <w:cols w:equalWidth="0" w:num="1">
            <w:col w:w="10060"/>
          </w:cols>
          <w:pgMar w:left="1080" w:top="1062" w:right="1100" w:bottom="173" w:gutter="0" w:footer="0" w:header="0"/>
        </w:sectPr>
      </w:pPr>
    </w:p>
    <w:bookmarkStart w:id="92" w:name="page93"/>
    <w:bookmarkEnd w:id="92"/>
    <w:p>
      <w:pPr>
        <w:ind w:right="460"/>
        <w:spacing w:after="0" w:line="287" w:lineRule="auto"/>
        <w:rPr>
          <w:sz w:val="20"/>
          <w:szCs w:val="20"/>
          <w:color w:val="auto"/>
        </w:rPr>
      </w:pPr>
      <w:r>
        <w:rPr>
          <w:rFonts w:ascii="Arial" w:cs="Arial" w:eastAsia="Arial" w:hAnsi="Arial"/>
          <w:sz w:val="19"/>
          <w:szCs w:val="19"/>
          <w:b w:val="1"/>
          <w:bCs w:val="1"/>
          <w:i w:val="1"/>
          <w:iCs w:val="1"/>
          <w:color w:val="auto"/>
        </w:rPr>
        <w:t>We have limited foreign intellectual property rights and may not be able to protect our intellectual property rights throughout the world.</w:t>
      </w:r>
    </w:p>
    <w:p>
      <w:pPr>
        <w:spacing w:after="0" w:line="30" w:lineRule="exact"/>
        <w:rPr>
          <w:sz w:val="20"/>
          <w:szCs w:val="20"/>
          <w:color w:val="auto"/>
        </w:rPr>
      </w:pPr>
    </w:p>
    <w:p>
      <w:pPr>
        <w:ind w:right="20"/>
        <w:spacing w:after="0" w:line="244" w:lineRule="auto"/>
        <w:rPr>
          <w:sz w:val="20"/>
          <w:szCs w:val="20"/>
          <w:color w:val="auto"/>
        </w:rPr>
      </w:pPr>
      <w:r>
        <w:rPr>
          <w:rFonts w:ascii="Arial" w:cs="Arial" w:eastAsia="Arial" w:hAnsi="Arial"/>
          <w:sz w:val="19"/>
          <w:szCs w:val="19"/>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w:t>
      </w:r>
    </w:p>
    <w:p>
      <w:pPr>
        <w:spacing w:after="0" w:line="80"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and may require a compulsory license to,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72" w:lineRule="exact"/>
        <w:rPr>
          <w:sz w:val="20"/>
          <w:szCs w:val="20"/>
          <w:color w:val="auto"/>
        </w:rPr>
      </w:pPr>
    </w:p>
    <w:p>
      <w:pPr>
        <w:ind w:right="60"/>
        <w:spacing w:after="0" w:line="287" w:lineRule="auto"/>
        <w:rPr>
          <w:sz w:val="20"/>
          <w:szCs w:val="20"/>
          <w:color w:val="auto"/>
        </w:rPr>
      </w:pPr>
      <w:r>
        <w:rPr>
          <w:rFonts w:ascii="Arial" w:cs="Arial" w:eastAsia="Arial" w:hAnsi="Arial"/>
          <w:sz w:val="19"/>
          <w:szCs w:val="19"/>
          <w:b w:val="1"/>
          <w:bCs w:val="1"/>
          <w:i w:val="1"/>
          <w:iCs w:val="1"/>
          <w:color w:val="auto"/>
        </w:rPr>
        <w:t>Patent terms may be inadequate to protect our competitive position on our product candidates for an adequate amount of time.</w:t>
      </w:r>
    </w:p>
    <w:p>
      <w:pPr>
        <w:spacing w:after="0" w:line="30" w:lineRule="exact"/>
        <w:rPr>
          <w:sz w:val="20"/>
          <w:szCs w:val="20"/>
          <w:color w:val="auto"/>
        </w:rPr>
      </w:pPr>
    </w:p>
    <w:p>
      <w:pPr>
        <w:ind w:right="40"/>
        <w:spacing w:after="0" w:line="245" w:lineRule="auto"/>
        <w:rPr>
          <w:sz w:val="20"/>
          <w:szCs w:val="20"/>
          <w:color w:val="auto"/>
        </w:rPr>
      </w:pPr>
      <w:r>
        <w:rPr>
          <w:rFonts w:ascii="Arial" w:cs="Arial" w:eastAsia="Arial" w:hAnsi="Arial"/>
          <w:sz w:val="19"/>
          <w:szCs w:val="19"/>
          <w:color w:val="auto"/>
        </w:rPr>
        <w:t>Patents have a limited lifespan. In the United States, if all maintenance fees are timely paid, the natural expiration of a patent is generally 20 years from its earliest U.S. non-provisional filing date. Various extensions such as patent term adjustments and/or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88"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b w:val="1"/>
          <w:bCs w:val="1"/>
          <w:i w:val="1"/>
          <w:iCs w:val="1"/>
          <w:color w:val="auto"/>
        </w:rPr>
        <w:t>If we do not obtain patent term extension and data exclusivity for any product candidates we may develop, our business may be materially harmed.</w:t>
      </w:r>
    </w:p>
    <w:p>
      <w:pPr>
        <w:spacing w:after="0" w:line="30" w:lineRule="exact"/>
        <w:rPr>
          <w:sz w:val="20"/>
          <w:szCs w:val="20"/>
          <w:color w:val="auto"/>
        </w:rPr>
      </w:pPr>
    </w:p>
    <w:p>
      <w:pPr>
        <w:spacing w:after="0" w:line="243" w:lineRule="auto"/>
        <w:rPr>
          <w:sz w:val="20"/>
          <w:szCs w:val="20"/>
          <w:color w:val="auto"/>
        </w:rPr>
      </w:pPr>
      <w:r>
        <w:rPr>
          <w:rFonts w:ascii="Arial" w:cs="Arial" w:eastAsia="Arial" w:hAnsi="Arial"/>
          <w:sz w:val="19"/>
          <w:szCs w:val="19"/>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88" w:lineRule="exact"/>
        <w:rPr>
          <w:sz w:val="20"/>
          <w:szCs w:val="20"/>
          <w:color w:val="auto"/>
        </w:rPr>
      </w:pPr>
    </w:p>
    <w:p>
      <w:pPr>
        <w:ind w:right="720"/>
        <w:spacing w:after="0" w:line="287" w:lineRule="auto"/>
        <w:rPr>
          <w:sz w:val="20"/>
          <w:szCs w:val="20"/>
          <w:color w:val="auto"/>
        </w:rPr>
      </w:pPr>
      <w:r>
        <w:rPr>
          <w:rFonts w:ascii="Arial" w:cs="Arial" w:eastAsia="Arial" w:hAnsi="Arial"/>
          <w:sz w:val="19"/>
          <w:szCs w:val="19"/>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30" w:lineRule="exact"/>
        <w:rPr>
          <w:sz w:val="20"/>
          <w:szCs w:val="20"/>
          <w:color w:val="auto"/>
        </w:rPr>
      </w:pPr>
    </w:p>
    <w:p>
      <w:pPr>
        <w:jc w:val="both"/>
        <w:ind w:right="340"/>
        <w:spacing w:after="0" w:line="260" w:lineRule="auto"/>
        <w:rPr>
          <w:sz w:val="20"/>
          <w:szCs w:val="20"/>
          <w:color w:val="auto"/>
        </w:rPr>
      </w:pPr>
      <w:r>
        <w:rPr>
          <w:rFonts w:ascii="Arial" w:cs="Arial" w:eastAsia="Arial" w:hAnsi="Arial"/>
          <w:sz w:val="19"/>
          <w:szCs w:val="19"/>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89</w:t>
      </w:r>
    </w:p>
    <w:p>
      <w:pPr>
        <w:sectPr>
          <w:pgSz w:w="12240" w:h="15840" w:orient="portrait"/>
          <w:cols w:equalWidth="0" w:num="1">
            <w:col w:w="10080"/>
          </w:cols>
          <w:pgMar w:left="1080" w:top="1066" w:right="1080" w:bottom="173" w:gutter="0" w:footer="0" w:header="0"/>
        </w:sectPr>
      </w:pPr>
    </w:p>
    <w:bookmarkStart w:id="93" w:name="page94"/>
    <w:bookmarkEnd w:id="93"/>
    <w:p>
      <w:pPr>
        <w:ind w:right="100"/>
        <w:spacing w:after="0" w:line="281" w:lineRule="auto"/>
        <w:rPr>
          <w:sz w:val="20"/>
          <w:szCs w:val="20"/>
          <w:color w:val="auto"/>
        </w:rPr>
      </w:pPr>
      <w:r>
        <w:rPr>
          <w:rFonts w:ascii="Arial" w:cs="Arial" w:eastAsia="Arial" w:hAnsi="Arial"/>
          <w:sz w:val="19"/>
          <w:szCs w:val="19"/>
          <w:color w:val="auto"/>
        </w:rPr>
        <w:t>markets of interest. If we are unable to establish name recognition based on our trademarks and trade names, we may not be able to compete effectively and our business may be adversely affected.</w:t>
      </w: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Our Common Stock</w:t>
      </w:r>
    </w:p>
    <w:p>
      <w:pPr>
        <w:spacing w:after="0" w:line="128" w:lineRule="exact"/>
        <w:rPr>
          <w:sz w:val="20"/>
          <w:szCs w:val="20"/>
          <w:color w:val="auto"/>
        </w:rPr>
      </w:pPr>
    </w:p>
    <w:p>
      <w:pPr>
        <w:ind w:right="300"/>
        <w:spacing w:after="0" w:line="287" w:lineRule="auto"/>
        <w:rPr>
          <w:sz w:val="20"/>
          <w:szCs w:val="20"/>
          <w:color w:val="auto"/>
        </w:rPr>
      </w:pPr>
      <w:r>
        <w:rPr>
          <w:rFonts w:ascii="Arial" w:cs="Arial" w:eastAsia="Arial" w:hAnsi="Arial"/>
          <w:sz w:val="19"/>
          <w:szCs w:val="19"/>
          <w:b w:val="1"/>
          <w:bCs w:val="1"/>
          <w:i w:val="1"/>
          <w:iCs w:val="1"/>
          <w:color w:val="auto"/>
        </w:rPr>
        <w:t>The price of our common stock may be volatile and fluctuate substantially, which could result in substantial losses to stockholders.</w:t>
      </w:r>
    </w:p>
    <w:p>
      <w:pPr>
        <w:spacing w:after="0" w:line="30" w:lineRule="exact"/>
        <w:rPr>
          <w:sz w:val="20"/>
          <w:szCs w:val="20"/>
          <w:color w:val="auto"/>
        </w:rPr>
      </w:pPr>
    </w:p>
    <w:p>
      <w:pPr>
        <w:ind w:right="40"/>
        <w:spacing w:after="0" w:line="253" w:lineRule="auto"/>
        <w:rPr>
          <w:sz w:val="20"/>
          <w:szCs w:val="20"/>
          <w:color w:val="auto"/>
        </w:rPr>
      </w:pPr>
      <w:r>
        <w:rPr>
          <w:rFonts w:ascii="Arial" w:cs="Arial" w:eastAsia="Arial" w:hAnsi="Arial"/>
          <w:sz w:val="19"/>
          <w:szCs w:val="19"/>
          <w:color w:val="auto"/>
        </w:rPr>
        <w:t>Our stock price is likely to continue to be volatile. The stock market in general and the market for biopharmaceutical companies in particular have experienced extreme volatility that has often been unrelated to the operating performance of particular companies. As a result of this volatility, you may not be able to sell your common stock at or above the price at which it was purchased. The market price for our common stock may be influenced by many factors, including:</w:t>
      </w:r>
    </w:p>
    <w:p>
      <w:pPr>
        <w:spacing w:after="0" w:line="85" w:lineRule="exact"/>
        <w:rPr>
          <w:sz w:val="20"/>
          <w:szCs w:val="20"/>
          <w:color w:val="auto"/>
        </w:rPr>
      </w:pPr>
    </w:p>
    <w:p>
      <w:pPr>
        <w:ind w:left="980" w:hanging="491"/>
        <w:spacing w:after="0"/>
        <w:tabs>
          <w:tab w:leader="none" w:pos="980"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success of competitive products or technologies;</w:t>
      </w:r>
    </w:p>
    <w:p>
      <w:pPr>
        <w:spacing w:after="0" w:line="132" w:lineRule="exact"/>
        <w:rPr>
          <w:rFonts w:ascii="Arial" w:cs="Arial" w:eastAsia="Arial" w:hAnsi="Arial"/>
          <w:sz w:val="19"/>
          <w:szCs w:val="19"/>
          <w:color w:val="auto"/>
        </w:rPr>
      </w:pPr>
    </w:p>
    <w:p>
      <w:pPr>
        <w:ind w:left="980" w:hanging="491"/>
        <w:spacing w:after="0"/>
        <w:tabs>
          <w:tab w:leader="none" w:pos="980" w:val="left"/>
        </w:tabs>
        <w:numPr>
          <w:ilvl w:val="0"/>
          <w:numId w:val="62"/>
        </w:numPr>
        <w:rPr>
          <w:rFonts w:ascii="Arial" w:cs="Arial" w:eastAsia="Arial" w:hAnsi="Arial"/>
          <w:sz w:val="19"/>
          <w:szCs w:val="19"/>
          <w:color w:val="auto"/>
        </w:rPr>
      </w:pPr>
      <w:r>
        <w:rPr>
          <w:rFonts w:ascii="Arial" w:cs="Arial" w:eastAsia="Arial" w:hAnsi="Arial"/>
          <w:sz w:val="19"/>
          <w:szCs w:val="19"/>
          <w:color w:val="auto"/>
        </w:rPr>
        <w:t>results of clinical trials of our product candidates or those of our competitors;</w:t>
      </w:r>
    </w:p>
    <w:p>
      <w:pPr>
        <w:spacing w:after="0" w:line="132" w:lineRule="exact"/>
        <w:rPr>
          <w:rFonts w:ascii="Arial" w:cs="Arial" w:eastAsia="Arial" w:hAnsi="Arial"/>
          <w:sz w:val="19"/>
          <w:szCs w:val="19"/>
          <w:color w:val="auto"/>
        </w:rPr>
      </w:pPr>
    </w:p>
    <w:p>
      <w:pPr>
        <w:ind w:left="980" w:right="520" w:hanging="491"/>
        <w:spacing w:after="0" w:line="281" w:lineRule="auto"/>
        <w:tabs>
          <w:tab w:leader="none" w:pos="980" w:val="left"/>
        </w:tabs>
        <w:numPr>
          <w:ilvl w:val="0"/>
          <w:numId w:val="62"/>
        </w:numPr>
        <w:rPr>
          <w:rFonts w:ascii="Arial" w:cs="Arial" w:eastAsia="Arial" w:hAnsi="Arial"/>
          <w:sz w:val="19"/>
          <w:szCs w:val="19"/>
          <w:color w:val="auto"/>
        </w:rPr>
      </w:pPr>
      <w:r>
        <w:rPr>
          <w:rFonts w:ascii="Arial" w:cs="Arial" w:eastAsia="Arial" w:hAnsi="Arial"/>
          <w:sz w:val="19"/>
          <w:szCs w:val="19"/>
          <w:color w:val="auto"/>
        </w:rPr>
        <w:t>commencement or termination of collaboration, licensing or similar arrangements for our development programs;</w:t>
      </w:r>
    </w:p>
    <w:p>
      <w:pPr>
        <w:spacing w:after="0" w:line="58" w:lineRule="exact"/>
        <w:rPr>
          <w:rFonts w:ascii="Arial" w:cs="Arial" w:eastAsia="Arial" w:hAnsi="Arial"/>
          <w:sz w:val="19"/>
          <w:szCs w:val="19"/>
          <w:color w:val="auto"/>
        </w:rPr>
      </w:pPr>
    </w:p>
    <w:p>
      <w:pPr>
        <w:ind w:left="980" w:right="720" w:hanging="491"/>
        <w:spacing w:after="0" w:line="281" w:lineRule="auto"/>
        <w:tabs>
          <w:tab w:leader="none" w:pos="980" w:val="left"/>
        </w:tabs>
        <w:numPr>
          <w:ilvl w:val="0"/>
          <w:numId w:val="62"/>
        </w:numPr>
        <w:rPr>
          <w:rFonts w:ascii="Arial" w:cs="Arial" w:eastAsia="Arial" w:hAnsi="Arial"/>
          <w:sz w:val="19"/>
          <w:szCs w:val="19"/>
          <w:color w:val="auto"/>
        </w:rPr>
      </w:pPr>
      <w:r>
        <w:rPr>
          <w:rFonts w:ascii="Arial" w:cs="Arial" w:eastAsia="Arial" w:hAnsi="Arial"/>
          <w:sz w:val="19"/>
          <w:szCs w:val="19"/>
          <w:color w:val="auto"/>
        </w:rPr>
        <w:t>announcements by our competitors of significant acquisitions, strategic partnerships, joint ventures, collaborations or capital commitments;</w:t>
      </w:r>
    </w:p>
    <w:p>
      <w:pPr>
        <w:spacing w:after="0" w:line="58" w:lineRule="exact"/>
        <w:rPr>
          <w:rFonts w:ascii="Arial" w:cs="Arial" w:eastAsia="Arial" w:hAnsi="Arial"/>
          <w:sz w:val="19"/>
          <w:szCs w:val="19"/>
          <w:color w:val="auto"/>
        </w:rPr>
      </w:pPr>
    </w:p>
    <w:p>
      <w:pPr>
        <w:ind w:left="980" w:hanging="491"/>
        <w:spacing w:after="0"/>
        <w:tabs>
          <w:tab w:leader="none" w:pos="980" w:val="left"/>
        </w:tabs>
        <w:numPr>
          <w:ilvl w:val="0"/>
          <w:numId w:val="62"/>
        </w:numPr>
        <w:rPr>
          <w:rFonts w:ascii="Arial" w:cs="Arial" w:eastAsia="Arial" w:hAnsi="Arial"/>
          <w:sz w:val="19"/>
          <w:szCs w:val="19"/>
          <w:color w:val="auto"/>
        </w:rPr>
      </w:pPr>
      <w:r>
        <w:rPr>
          <w:rFonts w:ascii="Arial" w:cs="Arial" w:eastAsia="Arial" w:hAnsi="Arial"/>
          <w:sz w:val="19"/>
          <w:szCs w:val="19"/>
          <w:color w:val="auto"/>
        </w:rPr>
        <w:t>regulatory or legal developments in the United States and other countries;</w:t>
      </w:r>
    </w:p>
    <w:p>
      <w:pPr>
        <w:spacing w:after="0" w:line="132" w:lineRule="exact"/>
        <w:rPr>
          <w:rFonts w:ascii="Arial" w:cs="Arial" w:eastAsia="Arial" w:hAnsi="Arial"/>
          <w:sz w:val="19"/>
          <w:szCs w:val="19"/>
          <w:color w:val="auto"/>
        </w:rPr>
      </w:pPr>
    </w:p>
    <w:p>
      <w:pPr>
        <w:ind w:left="980" w:hanging="491"/>
        <w:spacing w:after="0"/>
        <w:tabs>
          <w:tab w:leader="none" w:pos="980" w:val="left"/>
        </w:tabs>
        <w:numPr>
          <w:ilvl w:val="0"/>
          <w:numId w:val="62"/>
        </w:numPr>
        <w:rPr>
          <w:rFonts w:ascii="Arial" w:cs="Arial" w:eastAsia="Arial" w:hAnsi="Arial"/>
          <w:sz w:val="19"/>
          <w:szCs w:val="19"/>
          <w:color w:val="auto"/>
        </w:rPr>
      </w:pPr>
      <w:r>
        <w:rPr>
          <w:rFonts w:ascii="Arial" w:cs="Arial" w:eastAsia="Arial" w:hAnsi="Arial"/>
          <w:sz w:val="19"/>
          <w:szCs w:val="19"/>
          <w:color w:val="auto"/>
        </w:rPr>
        <w:t>developments or disputes concerning patent applications, issued patents or other proprietary rights;</w:t>
      </w:r>
    </w:p>
    <w:p>
      <w:pPr>
        <w:spacing w:after="0" w:line="132" w:lineRule="exact"/>
        <w:rPr>
          <w:rFonts w:ascii="Arial" w:cs="Arial" w:eastAsia="Arial" w:hAnsi="Arial"/>
          <w:sz w:val="19"/>
          <w:szCs w:val="19"/>
          <w:color w:val="auto"/>
        </w:rPr>
      </w:pPr>
    </w:p>
    <w:p>
      <w:pPr>
        <w:ind w:left="980" w:hanging="491"/>
        <w:spacing w:after="0"/>
        <w:tabs>
          <w:tab w:leader="none" w:pos="980"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recruitment or departure of key personnel;</w:t>
      </w:r>
    </w:p>
    <w:p>
      <w:pPr>
        <w:spacing w:after="0" w:line="132" w:lineRule="exact"/>
        <w:rPr>
          <w:rFonts w:ascii="Arial" w:cs="Arial" w:eastAsia="Arial" w:hAnsi="Arial"/>
          <w:sz w:val="19"/>
          <w:szCs w:val="19"/>
          <w:color w:val="auto"/>
        </w:rPr>
      </w:pPr>
    </w:p>
    <w:p>
      <w:pPr>
        <w:ind w:left="980" w:hanging="491"/>
        <w:spacing w:after="0"/>
        <w:tabs>
          <w:tab w:leader="none" w:pos="980"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level of expenses related to any of our product candidates or clinical development programs;</w:t>
      </w:r>
    </w:p>
    <w:p>
      <w:pPr>
        <w:spacing w:after="0" w:line="132" w:lineRule="exact"/>
        <w:rPr>
          <w:rFonts w:ascii="Arial" w:cs="Arial" w:eastAsia="Arial" w:hAnsi="Arial"/>
          <w:sz w:val="19"/>
          <w:szCs w:val="19"/>
          <w:color w:val="auto"/>
        </w:rPr>
      </w:pPr>
    </w:p>
    <w:p>
      <w:pPr>
        <w:ind w:left="980" w:right="780" w:hanging="491"/>
        <w:spacing w:after="0" w:line="281" w:lineRule="auto"/>
        <w:tabs>
          <w:tab w:leader="none" w:pos="980"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results of our efforts to discover, develop, acquire or in-license additional product candidates or products;</w:t>
      </w:r>
    </w:p>
    <w:p>
      <w:pPr>
        <w:spacing w:after="0" w:line="58" w:lineRule="exact"/>
        <w:rPr>
          <w:rFonts w:ascii="Arial" w:cs="Arial" w:eastAsia="Arial" w:hAnsi="Arial"/>
          <w:sz w:val="19"/>
          <w:szCs w:val="19"/>
          <w:color w:val="auto"/>
        </w:rPr>
      </w:pPr>
    </w:p>
    <w:p>
      <w:pPr>
        <w:ind w:left="980" w:right="380" w:hanging="491"/>
        <w:spacing w:after="0" w:line="281" w:lineRule="auto"/>
        <w:tabs>
          <w:tab w:leader="none" w:pos="980" w:val="left"/>
        </w:tabs>
        <w:numPr>
          <w:ilvl w:val="0"/>
          <w:numId w:val="62"/>
        </w:numPr>
        <w:rPr>
          <w:rFonts w:ascii="Arial" w:cs="Arial" w:eastAsia="Arial" w:hAnsi="Arial"/>
          <w:sz w:val="19"/>
          <w:szCs w:val="19"/>
          <w:color w:val="auto"/>
        </w:rPr>
      </w:pPr>
      <w:r>
        <w:rPr>
          <w:rFonts w:ascii="Arial" w:cs="Arial" w:eastAsia="Arial" w:hAnsi="Arial"/>
          <w:sz w:val="19"/>
          <w:szCs w:val="19"/>
          <w:color w:val="auto"/>
        </w:rPr>
        <w:t>developments or setbacks related to drugs that are co-administered with any of our product candidates, such as checkpoint inhibitors;</w:t>
      </w:r>
    </w:p>
    <w:p>
      <w:pPr>
        <w:spacing w:after="0" w:line="58" w:lineRule="exact"/>
        <w:rPr>
          <w:rFonts w:ascii="Arial" w:cs="Arial" w:eastAsia="Arial" w:hAnsi="Arial"/>
          <w:sz w:val="19"/>
          <w:szCs w:val="19"/>
          <w:color w:val="auto"/>
        </w:rPr>
      </w:pPr>
    </w:p>
    <w:p>
      <w:pPr>
        <w:ind w:left="980" w:right="1480" w:hanging="491"/>
        <w:spacing w:after="0" w:line="281" w:lineRule="auto"/>
        <w:tabs>
          <w:tab w:leader="none" w:pos="980" w:val="left"/>
        </w:tabs>
        <w:numPr>
          <w:ilvl w:val="0"/>
          <w:numId w:val="62"/>
        </w:numPr>
        <w:rPr>
          <w:rFonts w:ascii="Arial" w:cs="Arial" w:eastAsia="Arial" w:hAnsi="Arial"/>
          <w:sz w:val="19"/>
          <w:szCs w:val="19"/>
          <w:color w:val="auto"/>
        </w:rPr>
      </w:pPr>
      <w:r>
        <w:rPr>
          <w:rFonts w:ascii="Arial" w:cs="Arial" w:eastAsia="Arial" w:hAnsi="Arial"/>
          <w:sz w:val="19"/>
          <w:szCs w:val="19"/>
          <w:color w:val="auto"/>
        </w:rPr>
        <w:t>actual or anticipated changes in estimates as to financial results, development timelines or recommendations by securities analysts;</w:t>
      </w:r>
    </w:p>
    <w:p>
      <w:pPr>
        <w:spacing w:after="0" w:line="58" w:lineRule="exact"/>
        <w:rPr>
          <w:rFonts w:ascii="Arial" w:cs="Arial" w:eastAsia="Arial" w:hAnsi="Arial"/>
          <w:sz w:val="19"/>
          <w:szCs w:val="19"/>
          <w:color w:val="auto"/>
        </w:rPr>
      </w:pPr>
    </w:p>
    <w:p>
      <w:pPr>
        <w:ind w:left="980" w:hanging="491"/>
        <w:spacing w:after="0"/>
        <w:tabs>
          <w:tab w:leader="none" w:pos="980" w:val="left"/>
        </w:tabs>
        <w:numPr>
          <w:ilvl w:val="0"/>
          <w:numId w:val="62"/>
        </w:numPr>
        <w:rPr>
          <w:rFonts w:ascii="Arial" w:cs="Arial" w:eastAsia="Arial" w:hAnsi="Arial"/>
          <w:sz w:val="19"/>
          <w:szCs w:val="19"/>
          <w:color w:val="auto"/>
        </w:rPr>
      </w:pPr>
      <w:r>
        <w:rPr>
          <w:rFonts w:ascii="Arial" w:cs="Arial" w:eastAsia="Arial" w:hAnsi="Arial"/>
          <w:sz w:val="19"/>
          <w:szCs w:val="19"/>
          <w:color w:val="auto"/>
        </w:rPr>
        <w:t>variations in our financial results or those of companies that are perceived to be similar to us;</w:t>
      </w:r>
    </w:p>
    <w:p>
      <w:pPr>
        <w:spacing w:after="0" w:line="132" w:lineRule="exact"/>
        <w:rPr>
          <w:rFonts w:ascii="Arial" w:cs="Arial" w:eastAsia="Arial" w:hAnsi="Arial"/>
          <w:sz w:val="19"/>
          <w:szCs w:val="19"/>
          <w:color w:val="auto"/>
        </w:rPr>
      </w:pPr>
    </w:p>
    <w:p>
      <w:pPr>
        <w:ind w:left="980" w:hanging="491"/>
        <w:spacing w:after="0"/>
        <w:tabs>
          <w:tab w:leader="none" w:pos="980" w:val="left"/>
        </w:tabs>
        <w:numPr>
          <w:ilvl w:val="0"/>
          <w:numId w:val="62"/>
        </w:numPr>
        <w:rPr>
          <w:rFonts w:ascii="Arial" w:cs="Arial" w:eastAsia="Arial" w:hAnsi="Arial"/>
          <w:sz w:val="19"/>
          <w:szCs w:val="19"/>
          <w:color w:val="auto"/>
        </w:rPr>
      </w:pPr>
      <w:r>
        <w:rPr>
          <w:rFonts w:ascii="Arial" w:cs="Arial" w:eastAsia="Arial" w:hAnsi="Arial"/>
          <w:sz w:val="19"/>
          <w:szCs w:val="19"/>
          <w:color w:val="auto"/>
        </w:rPr>
        <w:t>expiration of market stand-off or lock-up agreements;</w:t>
      </w:r>
    </w:p>
    <w:p>
      <w:pPr>
        <w:spacing w:after="0" w:line="132" w:lineRule="exact"/>
        <w:rPr>
          <w:rFonts w:ascii="Arial" w:cs="Arial" w:eastAsia="Arial" w:hAnsi="Arial"/>
          <w:sz w:val="19"/>
          <w:szCs w:val="19"/>
          <w:color w:val="auto"/>
        </w:rPr>
      </w:pPr>
    </w:p>
    <w:p>
      <w:pPr>
        <w:ind w:left="980" w:hanging="491"/>
        <w:spacing w:after="0"/>
        <w:tabs>
          <w:tab w:leader="none" w:pos="980" w:val="left"/>
        </w:tabs>
        <w:numPr>
          <w:ilvl w:val="0"/>
          <w:numId w:val="62"/>
        </w:numPr>
        <w:rPr>
          <w:rFonts w:ascii="Arial" w:cs="Arial" w:eastAsia="Arial" w:hAnsi="Arial"/>
          <w:sz w:val="19"/>
          <w:szCs w:val="19"/>
          <w:color w:val="auto"/>
        </w:rPr>
      </w:pPr>
      <w:r>
        <w:rPr>
          <w:rFonts w:ascii="Arial" w:cs="Arial" w:eastAsia="Arial" w:hAnsi="Arial"/>
          <w:sz w:val="19"/>
          <w:szCs w:val="19"/>
          <w:color w:val="auto"/>
        </w:rPr>
        <w:t>changes in the structure of healthcare payment systems;</w:t>
      </w:r>
    </w:p>
    <w:p>
      <w:pPr>
        <w:spacing w:after="0" w:line="132" w:lineRule="exact"/>
        <w:rPr>
          <w:rFonts w:ascii="Arial" w:cs="Arial" w:eastAsia="Arial" w:hAnsi="Arial"/>
          <w:sz w:val="19"/>
          <w:szCs w:val="19"/>
          <w:color w:val="auto"/>
        </w:rPr>
      </w:pPr>
    </w:p>
    <w:p>
      <w:pPr>
        <w:ind w:left="980" w:hanging="491"/>
        <w:spacing w:after="0"/>
        <w:tabs>
          <w:tab w:leader="none" w:pos="980" w:val="left"/>
        </w:tabs>
        <w:numPr>
          <w:ilvl w:val="0"/>
          <w:numId w:val="62"/>
        </w:numPr>
        <w:rPr>
          <w:rFonts w:ascii="Arial" w:cs="Arial" w:eastAsia="Arial" w:hAnsi="Arial"/>
          <w:sz w:val="19"/>
          <w:szCs w:val="19"/>
          <w:color w:val="auto"/>
        </w:rPr>
      </w:pPr>
      <w:r>
        <w:rPr>
          <w:rFonts w:ascii="Arial" w:cs="Arial" w:eastAsia="Arial" w:hAnsi="Arial"/>
          <w:sz w:val="19"/>
          <w:szCs w:val="19"/>
          <w:color w:val="auto"/>
        </w:rPr>
        <w:t>market conditions in the pharmaceutical and biotechnology sectors;</w:t>
      </w:r>
    </w:p>
    <w:p>
      <w:pPr>
        <w:spacing w:after="0" w:line="132" w:lineRule="exact"/>
        <w:rPr>
          <w:rFonts w:ascii="Arial" w:cs="Arial" w:eastAsia="Arial" w:hAnsi="Arial"/>
          <w:sz w:val="19"/>
          <w:szCs w:val="19"/>
          <w:color w:val="auto"/>
        </w:rPr>
      </w:pPr>
    </w:p>
    <w:p>
      <w:pPr>
        <w:ind w:left="980" w:right="360" w:hanging="491"/>
        <w:spacing w:after="0" w:line="281" w:lineRule="auto"/>
        <w:tabs>
          <w:tab w:leader="none" w:pos="980" w:val="left"/>
        </w:tabs>
        <w:numPr>
          <w:ilvl w:val="0"/>
          <w:numId w:val="62"/>
        </w:numPr>
        <w:rPr>
          <w:rFonts w:ascii="Arial" w:cs="Arial" w:eastAsia="Arial" w:hAnsi="Arial"/>
          <w:sz w:val="19"/>
          <w:szCs w:val="19"/>
          <w:color w:val="auto"/>
        </w:rPr>
      </w:pPr>
      <w:r>
        <w:rPr>
          <w:rFonts w:ascii="Arial" w:cs="Arial" w:eastAsia="Arial" w:hAnsi="Arial"/>
          <w:sz w:val="19"/>
          <w:szCs w:val="19"/>
          <w:color w:val="auto"/>
        </w:rPr>
        <w:t>general economic, industry and market conditions and overall fluctuations in the financial markets in the United States and abroad; and</w:t>
      </w:r>
    </w:p>
    <w:p>
      <w:pPr>
        <w:spacing w:after="0" w:line="58" w:lineRule="exact"/>
        <w:rPr>
          <w:rFonts w:ascii="Arial" w:cs="Arial" w:eastAsia="Arial" w:hAnsi="Arial"/>
          <w:sz w:val="19"/>
          <w:szCs w:val="19"/>
          <w:color w:val="auto"/>
        </w:rPr>
      </w:pPr>
    </w:p>
    <w:p>
      <w:pPr>
        <w:ind w:left="980" w:hanging="491"/>
        <w:spacing w:after="0"/>
        <w:tabs>
          <w:tab w:leader="none" w:pos="980"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other factors described in this “Risk Factors” section.</w:t>
      </w:r>
    </w:p>
    <w:p>
      <w:pPr>
        <w:spacing w:after="0" w:line="124" w:lineRule="exact"/>
        <w:rPr>
          <w:sz w:val="20"/>
          <w:szCs w:val="20"/>
          <w:color w:val="auto"/>
        </w:rPr>
      </w:pPr>
    </w:p>
    <w:p>
      <w:pPr>
        <w:spacing w:after="0" w:line="287" w:lineRule="auto"/>
        <w:rPr>
          <w:sz w:val="20"/>
          <w:szCs w:val="20"/>
          <w:color w:val="auto"/>
        </w:rPr>
      </w:pPr>
      <w:r>
        <w:rPr>
          <w:rFonts w:ascii="Arial" w:cs="Arial" w:eastAsia="Arial" w:hAnsi="Arial"/>
          <w:sz w:val="19"/>
          <w:szCs w:val="19"/>
          <w:b w:val="1"/>
          <w:bCs w:val="1"/>
          <w:i w:val="1"/>
          <w:iCs w:val="1"/>
          <w:color w:val="auto"/>
        </w:rPr>
        <w:t>Our failure to maintain compliance with Nasdaq’s continued listing requirements could result in the delisting of our common stock.</w:t>
      </w:r>
    </w:p>
    <w:p>
      <w:pPr>
        <w:spacing w:after="0" w:line="30" w:lineRule="exact"/>
        <w:rPr>
          <w:sz w:val="20"/>
          <w:szCs w:val="20"/>
          <w:color w:val="auto"/>
        </w:rPr>
      </w:pPr>
    </w:p>
    <w:p>
      <w:pPr>
        <w:spacing w:after="0" w:line="246" w:lineRule="auto"/>
        <w:rPr>
          <w:sz w:val="20"/>
          <w:szCs w:val="20"/>
          <w:color w:val="auto"/>
        </w:rPr>
      </w:pPr>
      <w:r>
        <w:rPr>
          <w:rFonts w:ascii="Arial" w:cs="Arial" w:eastAsia="Arial" w:hAnsi="Arial"/>
          <w:sz w:val="19"/>
          <w:szCs w:val="19"/>
          <w:color w:val="auto"/>
        </w:rPr>
        <w:t>Our common stock is currently listed for trading on The Nasdaq Global Market (Nasdaq). We must satisfy the continued listing requirements of Nasdaq to maintain the listing of our common stock on Nasdaq. On November 15, 2023, we received a letter from the Listing Qualifications Department (the Staff) of The Nasdaq Stock Market LLC notifying us that, for the previous 30 consecutive business days, the closing bid price for our common stock had been below the minimum $1.00 per share required for continued listing on Nasdaq under Nasdaq Listing Rule 5450(a)(1) (the Bid Price Requirement). On December 28, 2023, the Staff notified us that, as of December 28, 2023, we had regained compliance with the Bid Price Requirement and that the matter was closed.</w:t>
      </w:r>
    </w:p>
    <w:p>
      <w:pPr>
        <w:spacing w:after="0" w:line="82" w:lineRule="exact"/>
        <w:rPr>
          <w:sz w:val="20"/>
          <w:szCs w:val="20"/>
          <w:color w:val="auto"/>
        </w:rPr>
      </w:pPr>
    </w:p>
    <w:p>
      <w:pPr>
        <w:ind w:right="20"/>
        <w:spacing w:after="0" w:line="246" w:lineRule="auto"/>
        <w:rPr>
          <w:sz w:val="20"/>
          <w:szCs w:val="20"/>
          <w:color w:val="auto"/>
        </w:rPr>
      </w:pPr>
      <w:r>
        <w:rPr>
          <w:rFonts w:ascii="Arial" w:cs="Arial" w:eastAsia="Arial" w:hAnsi="Arial"/>
          <w:sz w:val="19"/>
          <w:szCs w:val="19"/>
          <w:color w:val="auto"/>
        </w:rPr>
        <w:t>If we are deficient in maintaining the necessary listing requirements, our common stock may be delisted. If our common stock is delisted, an active trading market for our common stock may not be sustained and the market price of our common stock could decline. Delisting of our common stock could adversely affect our ability to raise additional capital through the public or private sale of equity securities, would significantly affect the ability of investors to trade our securities and would negatively affect the value and liquidity of our common stock. Delisting could also have other negative results, including the potential loss of confidence by employees, the loss of institutional investor interest and fewer business development opportunities.</w:t>
      </w: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90</w:t>
      </w:r>
    </w:p>
    <w:p>
      <w:pPr>
        <w:sectPr>
          <w:pgSz w:w="12240" w:h="15840" w:orient="portrait"/>
          <w:cols w:equalWidth="0" w:num="1">
            <w:col w:w="10040"/>
          </w:cols>
          <w:pgMar w:left="1080" w:top="1062" w:right="1120" w:bottom="173" w:gutter="0" w:footer="0" w:header="0"/>
        </w:sectPr>
      </w:pPr>
    </w:p>
    <w:bookmarkStart w:id="94" w:name="page95"/>
    <w:bookmarkEnd w:id="94"/>
    <w:p>
      <w:pPr>
        <w:ind w:right="140"/>
        <w:spacing w:after="0" w:line="255" w:lineRule="auto"/>
        <w:rPr>
          <w:sz w:val="20"/>
          <w:szCs w:val="20"/>
          <w:color w:val="auto"/>
        </w:rPr>
      </w:pPr>
      <w:r>
        <w:rPr>
          <w:rFonts w:ascii="Arial" w:cs="Arial" w:eastAsia="Arial" w:hAnsi="Arial"/>
          <w:sz w:val="19"/>
          <w:szCs w:val="19"/>
          <w:b w:val="1"/>
          <w:bCs w:val="1"/>
          <w:i w:val="1"/>
          <w:iCs w:val="1"/>
          <w:color w:val="auto"/>
        </w:rPr>
        <w:t>Raising additional capital through the sale of a substantial number of shares of our common stock, or the perception that sales of a substantial number of shares of our common stock might occur, may cause dilution to our stockholders, could cause our stock price to decline and could restrict our operations or require us to relinquish rights to our technologies or current or future product candidates.</w:t>
      </w:r>
    </w:p>
    <w:p>
      <w:pPr>
        <w:spacing w:after="0" w:line="61" w:lineRule="exact"/>
        <w:rPr>
          <w:sz w:val="20"/>
          <w:szCs w:val="20"/>
          <w:color w:val="auto"/>
        </w:rPr>
      </w:pPr>
    </w:p>
    <w:p>
      <w:pPr>
        <w:ind w:right="60"/>
        <w:spacing w:after="0" w:line="242" w:lineRule="auto"/>
        <w:rPr>
          <w:sz w:val="20"/>
          <w:szCs w:val="20"/>
          <w:color w:val="auto"/>
        </w:rPr>
      </w:pPr>
      <w:r>
        <w:rPr>
          <w:rFonts w:ascii="Arial" w:cs="Arial" w:eastAsia="Arial" w:hAnsi="Arial"/>
          <w:sz w:val="19"/>
          <w:szCs w:val="19"/>
          <w:color w:val="auto"/>
        </w:rPr>
        <w:t>Until such time, if ever, as we can generate substantial product revenues, we expect to finance our cash needs through a combination of private and public equity offerings, debt financings, collaborations, strategic alliances and marketing, distribution or licensing arrangements. We do not currently have any committed external source of funds. To the extent that we raise additional capital through the sale of common stock or securities convertible or exchangeable into common stock, your ownership interest will be diluted, and the terms of these securities may include liquidation or other preferences that may materially adversely affect your rights as a common stockholder. In August 2022, we filed a registration statement on Form S-3 (as amended, the Shelf) pursuant to which we may issue up to $75.0 million in shares of common stock in sales deemed to be “at-the-market offerings” (the ATM Program) as defined by the Securities Act of 1933, as amended (Securities Act), and up to $200.0 million in shares of our common stock, preferred stock, debt securities, warrants and/or units. As of March 21, 2024, we have sold and issued 109,485 shares of common stock under the ATM Program, with total net proceeds of $0.2 million. Any sale or issuance of securities pursuant to this registration statement or otherwise may result in dilution to our stockholders and may cause our stock price to decline. Due to the SEC’s “baby shelf rules,” which prohibit companies with a public float of less than $75.0 million from issuing securities under a shelf registration statement in excess of one third of such company’s public float in a 12-month period, we are currently only able to issue a limited number of shares which aggregate to no more than one-third of our public float using our Shelf. Although alternative public and private transaction structures may be available, these may require additional time and cost, may impose operational restrictions on us, and may not be available on attractive terms.</w:t>
      </w:r>
    </w:p>
    <w:p>
      <w:pPr>
        <w:spacing w:after="0" w:line="87" w:lineRule="exact"/>
        <w:rPr>
          <w:sz w:val="20"/>
          <w:szCs w:val="20"/>
          <w:color w:val="auto"/>
        </w:rPr>
      </w:pPr>
    </w:p>
    <w:p>
      <w:pPr>
        <w:ind w:right="60"/>
        <w:spacing w:after="0" w:line="246" w:lineRule="auto"/>
        <w:rPr>
          <w:sz w:val="20"/>
          <w:szCs w:val="20"/>
          <w:color w:val="auto"/>
        </w:rPr>
      </w:pPr>
      <w:r>
        <w:rPr>
          <w:rFonts w:ascii="Arial" w:cs="Arial" w:eastAsia="Arial" w:hAnsi="Arial"/>
          <w:sz w:val="19"/>
          <w:szCs w:val="19"/>
          <w:color w:val="auto"/>
        </w:rPr>
        <w:t>Debt financing, if available, would increase our fixed payment obligations and may involve agreements that include covenants limiting or restricting our ability to take specific actions, such as incurring additional debt, acquiring, selling or licensing intellectual property rights, making capital expenditures, declaring dividends, or other operating restrictions that could adversely impact our ability to conduct our business. We could also be required to meet certain milestones in connection with debt financing and the failure to achieve such milestones by certain dates may force us to relinquish rights to some of our technologies or product candidates or otherwise agree to terms unfavorable to us which could have a material adverse effect on our business, operating results and prospects.</w:t>
      </w:r>
    </w:p>
    <w:p>
      <w:pPr>
        <w:spacing w:after="0" w:line="82" w:lineRule="exact"/>
        <w:rPr>
          <w:sz w:val="20"/>
          <w:szCs w:val="20"/>
          <w:color w:val="auto"/>
        </w:rPr>
      </w:pPr>
    </w:p>
    <w:p>
      <w:pPr>
        <w:ind w:right="280"/>
        <w:spacing w:after="0" w:line="246" w:lineRule="auto"/>
        <w:rPr>
          <w:sz w:val="20"/>
          <w:szCs w:val="20"/>
          <w:color w:val="auto"/>
        </w:rPr>
      </w:pPr>
      <w:r>
        <w:rPr>
          <w:rFonts w:ascii="Arial" w:cs="Arial" w:eastAsia="Arial" w:hAnsi="Arial"/>
          <w:sz w:val="19"/>
          <w:szCs w:val="19"/>
          <w:color w:val="auto"/>
        </w:rPr>
        <w:t>If we raise funds through additional collaborations, strategic alliances or marketing, distribution or licensing arrangements with third parties, we may have to relinquish valuable rights to our intellectual property, future revenue streams, research programs or current or future product candidates or to grant licenses on terms that may not be favorable to us. If we are unable to raise additional funds through equity or debt financings when needed, we may be required to delay, scale back or discontinue the development and commercialization of one or more of our product candidates, delay our pursuit of potential in-licenses or acquisitions or grant rights to develop and market current or future product candidates that we would otherwise prefer to develop and market ourselves.</w:t>
      </w:r>
    </w:p>
    <w:p>
      <w:pPr>
        <w:spacing w:after="0" w:line="86" w:lineRule="exact"/>
        <w:rPr>
          <w:sz w:val="20"/>
          <w:szCs w:val="20"/>
          <w:color w:val="auto"/>
        </w:rPr>
      </w:pPr>
    </w:p>
    <w:p>
      <w:pPr>
        <w:ind w:right="60"/>
        <w:spacing w:after="0" w:line="251" w:lineRule="auto"/>
        <w:rPr>
          <w:sz w:val="20"/>
          <w:szCs w:val="20"/>
          <w:color w:val="auto"/>
        </w:rPr>
      </w:pPr>
      <w:r>
        <w:rPr>
          <w:rFonts w:ascii="Arial" w:cs="Arial" w:eastAsia="Arial" w:hAnsi="Arial"/>
          <w:sz w:val="19"/>
          <w:szCs w:val="19"/>
          <w:b w:val="1"/>
          <w:bCs w:val="1"/>
          <w:i w:val="1"/>
          <w:iCs w:val="1"/>
          <w:color w:val="auto"/>
        </w:rPr>
        <w:t>We are an “emerging growth company” as defined in the JOBS Act and a “smaller reporting company” as defined in the Securities Exchange Act of 1934, as amended (the Exchange Act), and will be able to avail ourselves of reduced disclosure requirements applicable to emerging growth companies and smaller reporting companies, which could make our common stock less attractive to investors and adversely affect the market price of our common stock.</w:t>
      </w:r>
    </w:p>
    <w:p>
      <w:pPr>
        <w:spacing w:after="0" w:line="66" w:lineRule="exact"/>
        <w:rPr>
          <w:sz w:val="20"/>
          <w:szCs w:val="20"/>
          <w:color w:val="auto"/>
        </w:rPr>
      </w:pPr>
    </w:p>
    <w:p>
      <w:pPr>
        <w:spacing w:after="0" w:line="245" w:lineRule="auto"/>
        <w:rPr>
          <w:sz w:val="20"/>
          <w:szCs w:val="20"/>
          <w:color w:val="auto"/>
        </w:rPr>
      </w:pPr>
      <w:r>
        <w:rPr>
          <w:rFonts w:ascii="Arial" w:cs="Arial" w:eastAsia="Arial" w:hAnsi="Arial"/>
          <w:sz w:val="19"/>
          <w:szCs w:val="19"/>
          <w:color w:val="auto"/>
        </w:rPr>
        <w:t>We are an “emerging growth company,” as defined in the Jumpstart Our Business Startups Act of 2012 (the JOBS Act). We will remain an emerging growth company until the earlier of (i) the last day of the fiscal year in which we have total annual gross revenues of $1.235 billion or more; (ii) December 26, 2026; (iii) the date on which we have issued more than $1 billion in nonconvertible debt during the previous three years; or (iv) the date on which we are deemed to be a large accelerated filer under the rules of the Securities and Exchange Commission, which means the market value of our common stock that is held by non-affiliates exceeds $700 million as of the prior June 30th.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96" w:lineRule="exact"/>
        <w:rPr>
          <w:sz w:val="20"/>
          <w:szCs w:val="20"/>
          <w:color w:val="auto"/>
        </w:rPr>
      </w:pPr>
    </w:p>
    <w:p>
      <w:pPr>
        <w:ind w:left="980" w:right="700" w:hanging="491"/>
        <w:spacing w:after="0" w:line="281" w:lineRule="auto"/>
        <w:tabs>
          <w:tab w:leader="none" w:pos="980" w:val="left"/>
        </w:tabs>
        <w:numPr>
          <w:ilvl w:val="0"/>
          <w:numId w:val="63"/>
        </w:numPr>
        <w:rPr>
          <w:rFonts w:ascii="Arial" w:cs="Arial" w:eastAsia="Arial" w:hAnsi="Arial"/>
          <w:sz w:val="19"/>
          <w:szCs w:val="19"/>
          <w:color w:val="auto"/>
        </w:rPr>
      </w:pPr>
      <w:r>
        <w:rPr>
          <w:rFonts w:ascii="Arial" w:cs="Arial" w:eastAsia="Arial" w:hAnsi="Arial"/>
          <w:sz w:val="19"/>
          <w:szCs w:val="19"/>
          <w:color w:val="auto"/>
        </w:rPr>
        <w:t>not being required to comply with the auditor attestation requirements of Section 404 of the SOX Act (Section 404);</w:t>
      </w:r>
    </w:p>
    <w:p>
      <w:pPr>
        <w:spacing w:after="0" w:line="58" w:lineRule="exact"/>
        <w:rPr>
          <w:rFonts w:ascii="Arial" w:cs="Arial" w:eastAsia="Arial" w:hAnsi="Arial"/>
          <w:sz w:val="19"/>
          <w:szCs w:val="19"/>
          <w:color w:val="auto"/>
        </w:rPr>
      </w:pPr>
    </w:p>
    <w:p>
      <w:pPr>
        <w:ind w:left="980" w:right="100" w:hanging="491"/>
        <w:spacing w:after="0" w:line="260" w:lineRule="auto"/>
        <w:tabs>
          <w:tab w:leader="none" w:pos="980" w:val="left"/>
        </w:tabs>
        <w:numPr>
          <w:ilvl w:val="0"/>
          <w:numId w:val="63"/>
        </w:numPr>
        <w:rPr>
          <w:rFonts w:ascii="Arial" w:cs="Arial" w:eastAsia="Arial" w:hAnsi="Arial"/>
          <w:sz w:val="19"/>
          <w:szCs w:val="19"/>
          <w:color w:val="auto"/>
        </w:rPr>
      </w:pPr>
      <w:r>
        <w:rPr>
          <w:rFonts w:ascii="Arial" w:cs="Arial" w:eastAsia="Arial" w:hAnsi="Arial"/>
          <w:sz w:val="19"/>
          <w:szCs w:val="19"/>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78" w:lineRule="exact"/>
        <w:rPr>
          <w:rFonts w:ascii="Arial" w:cs="Arial" w:eastAsia="Arial" w:hAnsi="Arial"/>
          <w:sz w:val="19"/>
          <w:szCs w:val="19"/>
          <w:color w:val="auto"/>
        </w:rPr>
      </w:pPr>
    </w:p>
    <w:p>
      <w:pPr>
        <w:ind w:left="980" w:right="280" w:hanging="491"/>
        <w:spacing w:after="0" w:line="260" w:lineRule="auto"/>
        <w:tabs>
          <w:tab w:leader="none" w:pos="980" w:val="left"/>
        </w:tabs>
        <w:numPr>
          <w:ilvl w:val="0"/>
          <w:numId w:val="63"/>
        </w:numPr>
        <w:rPr>
          <w:rFonts w:ascii="Arial" w:cs="Arial" w:eastAsia="Arial" w:hAnsi="Arial"/>
          <w:sz w:val="19"/>
          <w:szCs w:val="19"/>
          <w:color w:val="auto"/>
        </w:rPr>
      </w:pPr>
      <w:r>
        <w:rPr>
          <w:rFonts w:ascii="Arial" w:cs="Arial" w:eastAsia="Arial" w:hAnsi="Arial"/>
          <w:sz w:val="19"/>
          <w:szCs w:val="19"/>
          <w:color w:val="auto"/>
        </w:rPr>
        <w:t>providing only two years of audited financial statements in addition to any required unaudited interim financial statements and a correspondingly reduced “Management’s Discussion and Analysis of Financial Condition and Results of Operations” disclosure;</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91</w:t>
      </w:r>
    </w:p>
    <w:p>
      <w:pPr>
        <w:sectPr>
          <w:pgSz w:w="12240" w:h="15840" w:orient="portrait"/>
          <w:cols w:equalWidth="0" w:num="1">
            <w:col w:w="10080"/>
          </w:cols>
          <w:pgMar w:left="1080" w:top="1066" w:right="1080" w:bottom="173" w:gutter="0" w:footer="0" w:header="0"/>
        </w:sectPr>
      </w:pPr>
    </w:p>
    <w:bookmarkStart w:id="95" w:name="page96"/>
    <w:bookmarkEnd w:id="95"/>
    <w:p>
      <w:pPr>
        <w:ind w:left="980" w:hanging="491"/>
        <w:spacing w:after="0"/>
        <w:tabs>
          <w:tab w:leader="none" w:pos="980" w:val="left"/>
        </w:tabs>
        <w:numPr>
          <w:ilvl w:val="0"/>
          <w:numId w:val="64"/>
        </w:numPr>
        <w:rPr>
          <w:rFonts w:ascii="Arial" w:cs="Arial" w:eastAsia="Arial" w:hAnsi="Arial"/>
          <w:sz w:val="19"/>
          <w:szCs w:val="19"/>
          <w:color w:val="auto"/>
        </w:rPr>
      </w:pPr>
      <w:r>
        <w:rPr>
          <w:rFonts w:ascii="Arial" w:cs="Arial" w:eastAsia="Arial" w:hAnsi="Arial"/>
          <w:sz w:val="19"/>
          <w:szCs w:val="19"/>
          <w:color w:val="auto"/>
        </w:rPr>
        <w:t>reduced disclosure obligations regarding executive compensation; and</w:t>
      </w:r>
    </w:p>
    <w:p>
      <w:pPr>
        <w:spacing w:after="0" w:line="132" w:lineRule="exact"/>
        <w:rPr>
          <w:rFonts w:ascii="Arial" w:cs="Arial" w:eastAsia="Arial" w:hAnsi="Arial"/>
          <w:sz w:val="19"/>
          <w:szCs w:val="19"/>
          <w:color w:val="auto"/>
        </w:rPr>
      </w:pPr>
    </w:p>
    <w:p>
      <w:pPr>
        <w:ind w:left="980" w:right="280" w:hanging="491"/>
        <w:spacing w:after="0" w:line="281" w:lineRule="auto"/>
        <w:tabs>
          <w:tab w:leader="none" w:pos="980" w:val="left"/>
        </w:tabs>
        <w:numPr>
          <w:ilvl w:val="0"/>
          <w:numId w:val="64"/>
        </w:numPr>
        <w:rPr>
          <w:rFonts w:ascii="Arial" w:cs="Arial" w:eastAsia="Arial" w:hAnsi="Arial"/>
          <w:sz w:val="19"/>
          <w:szCs w:val="19"/>
          <w:color w:val="auto"/>
        </w:rPr>
      </w:pPr>
      <w:r>
        <w:rPr>
          <w:rFonts w:ascii="Arial" w:cs="Arial" w:eastAsia="Arial" w:hAnsi="Arial"/>
          <w:sz w:val="19"/>
          <w:szCs w:val="19"/>
          <w:color w:val="auto"/>
        </w:rPr>
        <w:t>exemptions from the requirements of holding a nonbinding advisory vote on executive compensation and stockholder approval of any golden parachute payments not previously approved.</w:t>
      </w:r>
    </w:p>
    <w:p>
      <w:pPr>
        <w:spacing w:after="0" w:line="45" w:lineRule="exact"/>
        <w:rPr>
          <w:sz w:val="20"/>
          <w:szCs w:val="20"/>
          <w:color w:val="auto"/>
        </w:rPr>
      </w:pPr>
    </w:p>
    <w:p>
      <w:pPr>
        <w:ind w:right="80"/>
        <w:spacing w:after="0" w:line="245" w:lineRule="auto"/>
        <w:rPr>
          <w:sz w:val="20"/>
          <w:szCs w:val="20"/>
          <w:color w:val="auto"/>
        </w:rPr>
      </w:pPr>
      <w:r>
        <w:rPr>
          <w:rFonts w:ascii="Arial" w:cs="Arial" w:eastAsia="Arial" w:hAnsi="Arial"/>
          <w:sz w:val="19"/>
          <w:szCs w:val="19"/>
          <w:color w:val="auto"/>
        </w:rPr>
        <w:t>We may choose to take advantage of some, but not all, of the available exemptions. We have taken advantage of reduced reporting burdens in this Annual Report on Form 10-K. In particular, we have provided only two years of audited financial statements and a correspondingly reduced “Management’s Discussion and Analysis of Financial Condition and Results of Operations” disclosure, and we have not included all of the executive compensation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84" w:lineRule="exact"/>
        <w:rPr>
          <w:sz w:val="20"/>
          <w:szCs w:val="20"/>
          <w:color w:val="auto"/>
        </w:rPr>
      </w:pPr>
    </w:p>
    <w:p>
      <w:pPr>
        <w:ind w:right="180"/>
        <w:spacing w:after="0" w:line="250" w:lineRule="auto"/>
        <w:rPr>
          <w:sz w:val="20"/>
          <w:szCs w:val="20"/>
          <w:color w:val="auto"/>
        </w:rPr>
      </w:pPr>
      <w:r>
        <w:rPr>
          <w:rFonts w:ascii="Arial" w:cs="Arial" w:eastAsia="Arial" w:hAnsi="Arial"/>
          <w:sz w:val="19"/>
          <w:szCs w:val="19"/>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use the extended transition period for new or revised accounting standards during the period in which we remain an emerging growth company; however, we may adopt certain new or revised accounting standards early.</w:t>
      </w:r>
    </w:p>
    <w:p>
      <w:pPr>
        <w:spacing w:after="0" w:line="74" w:lineRule="exact"/>
        <w:rPr>
          <w:sz w:val="20"/>
          <w:szCs w:val="20"/>
          <w:color w:val="auto"/>
        </w:rPr>
      </w:pPr>
    </w:p>
    <w:p>
      <w:pPr>
        <w:ind w:right="20"/>
        <w:spacing w:after="0" w:line="246" w:lineRule="auto"/>
        <w:rPr>
          <w:sz w:val="20"/>
          <w:szCs w:val="20"/>
          <w:color w:val="auto"/>
        </w:rPr>
      </w:pPr>
      <w:r>
        <w:rPr>
          <w:rFonts w:ascii="Arial" w:cs="Arial" w:eastAsia="Arial" w:hAnsi="Arial"/>
          <w:sz w:val="19"/>
          <w:szCs w:val="19"/>
          <w:color w:val="auto"/>
        </w:rPr>
        <w:t>We are also a “smaller reporting company” as defined in the Exchange Act. We may continue to be a smaller reporting company even after we no longer qualify an emerging growth company. We may take advantage of certain of the scaled disclosures available to smaller reporting companies until the fiscal year following the determination that our voting and non-voting common stock held by non-affiliates is more than $250 million measured on the last business day of our second fiscal quarter, or our annual revenues are more than $100 million during the most recently completed fiscal year and our voting and non-voting common stock held by non-affiliates is more than $700 million measured on the last business day of our second fiscal quarter.</w:t>
      </w:r>
    </w:p>
    <w:p>
      <w:pPr>
        <w:spacing w:after="0" w:line="82" w:lineRule="exact"/>
        <w:rPr>
          <w:sz w:val="20"/>
          <w:szCs w:val="20"/>
          <w:color w:val="auto"/>
        </w:rPr>
      </w:pPr>
    </w:p>
    <w:p>
      <w:pPr>
        <w:spacing w:after="0" w:line="242" w:lineRule="auto"/>
        <w:rPr>
          <w:sz w:val="20"/>
          <w:szCs w:val="20"/>
          <w:color w:val="auto"/>
        </w:rPr>
      </w:pPr>
      <w:r>
        <w:rPr>
          <w:rFonts w:ascii="Arial" w:cs="Arial" w:eastAsia="Arial" w:hAnsi="Arial"/>
          <w:sz w:val="19"/>
          <w:szCs w:val="19"/>
          <w:color w:val="auto"/>
        </w:rPr>
        <w:t>Although we are still evaluating the JOBS Act, we currently intend to take advantage of some, but not all, of the reduced regulatory and reporting requirements that will be available to us so long as we qualify as an “emerging growth company” and “smaller reporting company.” We have elected to avail ourselves of this exemption and, therefore, we are not subject to the same new or revised accounting standards as other public companies that are not emerging growth companies or smaller reporting company. As a result, changes in rules of U.S. GAAP or their interpretation, the adoption of new guidance or the application of existing guidance to changes in our business could significantly affect our financial position and results of operations. In addition, our independent registered public accounting firm will not be required to provide an attestation report on the effectiveness of our internal control over financial reporting so long as we qualify as an “emerging growth company,” which may increase the risk that material weaknesses or significant deficiencies in our internal control over financial reporting go undetected. Likewise, so long as we qualify as a “smaller reporting company” or an “emerging growth company,” we may elect not to provide you with certain information, including certain financial information and certain information regarding compensation of our executive officers, that we would otherwise have been required to provide in filings we make with the SEC, which may make it more difficult for investors and securities analysts to evaluate our company.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and may decline.</w:t>
      </w:r>
    </w:p>
    <w:p>
      <w:pPr>
        <w:spacing w:after="0" w:line="93" w:lineRule="exact"/>
        <w:rPr>
          <w:sz w:val="20"/>
          <w:szCs w:val="20"/>
          <w:color w:val="auto"/>
        </w:rPr>
      </w:pPr>
    </w:p>
    <w:p>
      <w:pPr>
        <w:ind w:right="680"/>
        <w:spacing w:after="0" w:line="287" w:lineRule="auto"/>
        <w:rPr>
          <w:sz w:val="20"/>
          <w:szCs w:val="20"/>
          <w:color w:val="auto"/>
        </w:rPr>
      </w:pPr>
      <w:r>
        <w:rPr>
          <w:rFonts w:ascii="Arial" w:cs="Arial" w:eastAsia="Arial" w:hAnsi="Arial"/>
          <w:sz w:val="19"/>
          <w:szCs w:val="19"/>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30" w:lineRule="exact"/>
        <w:rPr>
          <w:sz w:val="20"/>
          <w:szCs w:val="20"/>
          <w:color w:val="auto"/>
        </w:rPr>
      </w:pPr>
    </w:p>
    <w:p>
      <w:pPr>
        <w:spacing w:after="0" w:line="242" w:lineRule="auto"/>
        <w:rPr>
          <w:sz w:val="20"/>
          <w:szCs w:val="20"/>
          <w:color w:val="auto"/>
        </w:rPr>
      </w:pPr>
      <w:r>
        <w:rPr>
          <w:rFonts w:ascii="Arial" w:cs="Arial" w:eastAsia="Arial" w:hAnsi="Arial"/>
          <w:sz w:val="19"/>
          <w:szCs w:val="19"/>
          <w:color w:val="auto"/>
        </w:rPr>
        <w:t>As a public company, and particularly after we are no longer an “emerging growth company,” we incur significant legal, accounting and other expenses that we did not incur as a private company. We are subject to the reporting requirements of the Exchange Act, which will require, among other things, that we file with the SEC annual, quarterly and current reports with respect to our business and financial condition. In addition, the SOX Act and rules subsequently implemented by the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Further, in July 2010, the Dodd-Frank Wall Street Reform and Consumer Protection Act (the Dodd-Frank Act), was enacted. There are significant corporate governance and executive compensation related provisions in the Dodd-Frank Act that require the SEC to adopt additional rules and regulations in these areas, such as “say on pay” and proxy access. Emerging growth companies may implement many of these requirements over a longer period and up to five years from the pricing of an initial public offering. We intend to take advantage of these extended transition periods but cannot guarantee that we will not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92</w:t>
      </w:r>
    </w:p>
    <w:p>
      <w:pPr>
        <w:sectPr>
          <w:pgSz w:w="12240" w:h="15840" w:orient="portrait"/>
          <w:cols w:equalWidth="0" w:num="1">
            <w:col w:w="10060"/>
          </w:cols>
          <w:pgMar w:left="1080" w:top="1075" w:right="1100" w:bottom="173" w:gutter="0" w:footer="0" w:header="0"/>
        </w:sectPr>
      </w:pPr>
    </w:p>
    <w:bookmarkStart w:id="96" w:name="page97"/>
    <w:bookmarkEnd w:id="96"/>
    <w:p>
      <w:pPr>
        <w:ind w:right="340"/>
        <w:spacing w:after="0" w:line="281" w:lineRule="auto"/>
        <w:rPr>
          <w:sz w:val="20"/>
          <w:szCs w:val="20"/>
          <w:color w:val="auto"/>
        </w:rPr>
      </w:pPr>
      <w:r>
        <w:rPr>
          <w:rFonts w:ascii="Arial" w:cs="Arial" w:eastAsia="Arial" w:hAnsi="Arial"/>
          <w:sz w:val="19"/>
          <w:szCs w:val="19"/>
          <w:color w:val="auto"/>
        </w:rPr>
        <w:t>which may lead to additional compliance costs and impact the manner in which we operate our business in ways we cannot currently anticipate.</w:t>
      </w:r>
    </w:p>
    <w:p>
      <w:pPr>
        <w:spacing w:after="0" w:line="45" w:lineRule="exact"/>
        <w:rPr>
          <w:sz w:val="20"/>
          <w:szCs w:val="20"/>
          <w:color w:val="auto"/>
        </w:rPr>
      </w:pPr>
    </w:p>
    <w:p>
      <w:pPr>
        <w:spacing w:after="0" w:line="244" w:lineRule="auto"/>
        <w:rPr>
          <w:sz w:val="20"/>
          <w:szCs w:val="20"/>
          <w:color w:val="auto"/>
        </w:rPr>
      </w:pPr>
      <w:r>
        <w:rPr>
          <w:rFonts w:ascii="Arial" w:cs="Arial" w:eastAsia="Arial" w:hAnsi="Arial"/>
          <w:sz w:val="19"/>
          <w:szCs w:val="19"/>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maintain director and officer liability insurance.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Pursuant to Section 404, we are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 In additional, if we are not able to continue to meet these requirements, we may not be able to remain listed on Nasdaq.</w:t>
      </w:r>
    </w:p>
    <w:p>
      <w:pPr>
        <w:spacing w:after="0" w:line="80"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b w:val="1"/>
          <w:bCs w:val="1"/>
          <w:i w:val="1"/>
          <w:iCs w:val="1"/>
          <w:color w:val="auto"/>
        </w:rPr>
        <w:t>Sales of a substantial number of shares of our common stock by our existing stockholders in the public market could cause our stock price to fall.</w:t>
      </w:r>
    </w:p>
    <w:p>
      <w:pPr>
        <w:spacing w:after="0" w:line="30" w:lineRule="exact"/>
        <w:rPr>
          <w:sz w:val="20"/>
          <w:szCs w:val="20"/>
          <w:color w:val="auto"/>
        </w:rPr>
      </w:pPr>
    </w:p>
    <w:p>
      <w:pPr>
        <w:ind w:right="20"/>
        <w:spacing w:after="0" w:line="260" w:lineRule="auto"/>
        <w:rPr>
          <w:sz w:val="20"/>
          <w:szCs w:val="20"/>
          <w:color w:val="auto"/>
        </w:rPr>
      </w:pPr>
      <w:r>
        <w:rPr>
          <w:rFonts w:ascii="Arial" w:cs="Arial" w:eastAsia="Arial" w:hAnsi="Arial"/>
          <w:sz w:val="19"/>
          <w:szCs w:val="19"/>
          <w:color w:val="auto"/>
        </w:rPr>
        <w:t>If our existing stockholders sell, or indicate an intention to sell, substantial amounts of our common stock in the public market, the trading price of our common stock could decline. As of March 21, 2024, we had a total of 29,347,468 shares of common stock outstanding.</w:t>
      </w:r>
    </w:p>
    <w:p>
      <w:pPr>
        <w:spacing w:after="0" w:line="65" w:lineRule="exact"/>
        <w:rPr>
          <w:sz w:val="20"/>
          <w:szCs w:val="20"/>
          <w:color w:val="auto"/>
        </w:rPr>
      </w:pPr>
    </w:p>
    <w:p>
      <w:pPr>
        <w:ind w:right="80"/>
        <w:spacing w:after="0" w:line="250" w:lineRule="auto"/>
        <w:rPr>
          <w:sz w:val="20"/>
          <w:szCs w:val="20"/>
          <w:color w:val="auto"/>
        </w:rPr>
      </w:pPr>
      <w:r>
        <w:rPr>
          <w:rFonts w:ascii="Arial" w:cs="Arial" w:eastAsia="Arial" w:hAnsi="Arial"/>
          <w:sz w:val="19"/>
          <w:szCs w:val="19"/>
          <w:color w:val="auto"/>
        </w:rPr>
        <w:t>In addition, shares of common stock that are reserved for future issuance under our 2021 Plan and our 2021 Employee Stock Purchase Plan will become eligible for sale in the public market to the extent permitted by the provisions of various vesting schedules, Rule 144 and Rule 701 under the Securities Act. If these additional shares of common stock are sold, or if it is perceived that they will be sold, in the public market, the trading price of our common stock could decline.</w:t>
      </w:r>
    </w:p>
    <w:p>
      <w:pPr>
        <w:spacing w:after="0" w:line="74" w:lineRule="exact"/>
        <w:rPr>
          <w:sz w:val="20"/>
          <w:szCs w:val="20"/>
          <w:color w:val="auto"/>
        </w:rPr>
      </w:pPr>
    </w:p>
    <w:p>
      <w:pPr>
        <w:ind w:right="240"/>
        <w:spacing w:after="0" w:line="250" w:lineRule="auto"/>
        <w:rPr>
          <w:sz w:val="20"/>
          <w:szCs w:val="20"/>
          <w:color w:val="auto"/>
        </w:rPr>
      </w:pPr>
      <w:r>
        <w:rPr>
          <w:rFonts w:ascii="Arial" w:cs="Arial" w:eastAsia="Arial" w:hAnsi="Arial"/>
          <w:sz w:val="19"/>
          <w:szCs w:val="19"/>
          <w:color w:val="auto"/>
        </w:rPr>
        <w:t>The holders of 8,884,661 shares of our common stock are entitled to rights with respect to the registration of their shares under the Securities Act. Registration of these shares under the Securities Act would result in such shares becoming freely tradable without restriction under the Securities Act, except for shares held by affiliates, as defined in Rule 144 under the Securities Act. Any sales of securities by these stockholders could have a material adverse effect on the trading price of our common stock.</w:t>
      </w:r>
    </w:p>
    <w:p>
      <w:pPr>
        <w:spacing w:after="0" w:line="78" w:lineRule="exact"/>
        <w:rPr>
          <w:sz w:val="20"/>
          <w:szCs w:val="20"/>
          <w:color w:val="auto"/>
        </w:rPr>
      </w:pPr>
    </w:p>
    <w:p>
      <w:pPr>
        <w:ind w:right="140"/>
        <w:spacing w:after="0" w:line="287" w:lineRule="auto"/>
        <w:rPr>
          <w:sz w:val="20"/>
          <w:szCs w:val="20"/>
          <w:color w:val="auto"/>
        </w:rPr>
      </w:pPr>
      <w:r>
        <w:rPr>
          <w:rFonts w:ascii="Arial" w:cs="Arial" w:eastAsia="Arial" w:hAnsi="Arial"/>
          <w:sz w:val="19"/>
          <w:szCs w:val="19"/>
          <w:b w:val="1"/>
          <w:bCs w:val="1"/>
          <w:i w:val="1"/>
          <w:iCs w:val="1"/>
          <w:color w:val="auto"/>
        </w:rPr>
        <w:t>Because we do not anticipate paying any cash dividends on our capital stock in the foreseeable future, capital appreciation, if any, will be your sole source of gain.</w:t>
      </w:r>
    </w:p>
    <w:p>
      <w:pPr>
        <w:spacing w:after="0" w:line="30" w:lineRule="exact"/>
        <w:rPr>
          <w:sz w:val="20"/>
          <w:szCs w:val="20"/>
          <w:color w:val="auto"/>
        </w:rPr>
      </w:pPr>
    </w:p>
    <w:p>
      <w:pPr>
        <w:ind w:right="240"/>
        <w:spacing w:after="0" w:line="253" w:lineRule="auto"/>
        <w:rPr>
          <w:sz w:val="20"/>
          <w:szCs w:val="20"/>
          <w:color w:val="auto"/>
        </w:rPr>
      </w:pPr>
      <w:r>
        <w:rPr>
          <w:rFonts w:ascii="Arial" w:cs="Arial" w:eastAsia="Arial" w:hAnsi="Arial"/>
          <w:sz w:val="19"/>
          <w:szCs w:val="19"/>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p>
    <w:p>
      <w:pPr>
        <w:spacing w:after="0" w:line="77" w:lineRule="exact"/>
        <w:rPr>
          <w:sz w:val="20"/>
          <w:szCs w:val="20"/>
          <w:color w:val="auto"/>
        </w:rPr>
      </w:pPr>
    </w:p>
    <w:p>
      <w:pPr>
        <w:ind w:right="20"/>
        <w:spacing w:after="0" w:line="263" w:lineRule="auto"/>
        <w:rPr>
          <w:sz w:val="20"/>
          <w:szCs w:val="20"/>
          <w:color w:val="auto"/>
        </w:rPr>
      </w:pPr>
      <w:r>
        <w:rPr>
          <w:rFonts w:ascii="Arial" w:cs="Arial" w:eastAsia="Arial" w:hAnsi="Arial"/>
          <w:sz w:val="19"/>
          <w:szCs w:val="19"/>
          <w:b w:val="1"/>
          <w:bCs w:val="1"/>
          <w:i w:val="1"/>
          <w:iCs w:val="1"/>
          <w:color w:val="auto"/>
        </w:rPr>
        <w:t>Our executive officers, directors, principal stockholders and their affiliates exercise significant influence over our company, which will limit your ability to influence corporate matters and could delay or prevent a change in corporate control.</w:t>
      </w:r>
    </w:p>
    <w:p>
      <w:pPr>
        <w:spacing w:after="0" w:line="53" w:lineRule="exact"/>
        <w:rPr>
          <w:sz w:val="20"/>
          <w:szCs w:val="20"/>
          <w:color w:val="auto"/>
        </w:rPr>
      </w:pPr>
    </w:p>
    <w:p>
      <w:pPr>
        <w:ind w:right="40"/>
        <w:spacing w:after="0" w:line="248" w:lineRule="auto"/>
        <w:rPr>
          <w:sz w:val="20"/>
          <w:szCs w:val="20"/>
          <w:color w:val="auto"/>
        </w:rPr>
      </w:pPr>
      <w:r>
        <w:rPr>
          <w:rFonts w:ascii="Arial" w:cs="Arial" w:eastAsia="Arial" w:hAnsi="Arial"/>
          <w:sz w:val="19"/>
          <w:szCs w:val="19"/>
          <w:color w:val="auto"/>
        </w:rPr>
        <w:t>The existing holdings of our executive officers, directors, principal stockholders and their affiliates represent beneficial ownership, in the aggregate, of approximately 60.6% of our outstanding common stock with Estuardo Aguilar-Cordova and Laura Aguilar (together, both directly and indirectly) beneficially owning approximately 21.1% of our outstanding common stock, and with entities and persons affiliated with PBM Capital Group, LLC (PBM Capital), beneficially owning approximately 29.1% of our outstanding common stock. As a result, these stockholders, if they act together, will be able to influence our management and affairs and the outcome of matters submitted to our stockholders for approval,</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93</w:t>
      </w:r>
    </w:p>
    <w:p>
      <w:pPr>
        <w:sectPr>
          <w:pgSz w:w="12240" w:h="15840" w:orient="portrait"/>
          <w:cols w:equalWidth="0" w:num="1">
            <w:col w:w="10080"/>
          </w:cols>
          <w:pgMar w:left="1080" w:top="1062" w:right="1080" w:bottom="173" w:gutter="0" w:footer="0" w:header="0"/>
        </w:sectPr>
      </w:pPr>
    </w:p>
    <w:bookmarkStart w:id="97" w:name="page98"/>
    <w:bookmarkEnd w:id="97"/>
    <w:p>
      <w:pPr>
        <w:ind w:right="20"/>
        <w:spacing w:after="0" w:line="260" w:lineRule="auto"/>
        <w:rPr>
          <w:sz w:val="20"/>
          <w:szCs w:val="20"/>
          <w:color w:val="auto"/>
        </w:rPr>
      </w:pPr>
      <w:r>
        <w:rPr>
          <w:rFonts w:ascii="Arial" w:cs="Arial" w:eastAsia="Arial" w:hAnsi="Arial"/>
          <w:sz w:val="19"/>
          <w:szCs w:val="19"/>
          <w:color w:val="auto"/>
        </w:rPr>
        <w:t>including the election of directors and any merger, consolidation or sale of all or substantially all of our assets. The concentration of voting power among these stockholders may have an adverse effect on the price of our common stock. In addition, this concentration of ownership might adversely affect the market price of our common stock by:</w:t>
      </w:r>
    </w:p>
    <w:p>
      <w:pPr>
        <w:spacing w:after="0" w:line="78" w:lineRule="exact"/>
        <w:rPr>
          <w:sz w:val="20"/>
          <w:szCs w:val="20"/>
          <w:color w:val="auto"/>
        </w:rPr>
      </w:pPr>
    </w:p>
    <w:p>
      <w:pPr>
        <w:ind w:left="980" w:hanging="491"/>
        <w:spacing w:after="0"/>
        <w:tabs>
          <w:tab w:leader="none" w:pos="980" w:val="left"/>
        </w:tabs>
        <w:numPr>
          <w:ilvl w:val="0"/>
          <w:numId w:val="65"/>
        </w:numPr>
        <w:rPr>
          <w:rFonts w:ascii="Arial" w:cs="Arial" w:eastAsia="Arial" w:hAnsi="Arial"/>
          <w:sz w:val="19"/>
          <w:szCs w:val="19"/>
          <w:color w:val="auto"/>
        </w:rPr>
      </w:pPr>
      <w:r>
        <w:rPr>
          <w:rFonts w:ascii="Arial" w:cs="Arial" w:eastAsia="Arial" w:hAnsi="Arial"/>
          <w:sz w:val="19"/>
          <w:szCs w:val="19"/>
          <w:color w:val="auto"/>
        </w:rPr>
        <w:t>delaying, deferring or preventing a change of control of us;</w:t>
      </w:r>
    </w:p>
    <w:p>
      <w:pPr>
        <w:spacing w:after="0" w:line="132" w:lineRule="exact"/>
        <w:rPr>
          <w:rFonts w:ascii="Arial" w:cs="Arial" w:eastAsia="Arial" w:hAnsi="Arial"/>
          <w:sz w:val="19"/>
          <w:szCs w:val="19"/>
          <w:color w:val="auto"/>
        </w:rPr>
      </w:pPr>
    </w:p>
    <w:p>
      <w:pPr>
        <w:ind w:left="980" w:hanging="491"/>
        <w:spacing w:after="0"/>
        <w:tabs>
          <w:tab w:leader="none" w:pos="980" w:val="left"/>
        </w:tabs>
        <w:numPr>
          <w:ilvl w:val="0"/>
          <w:numId w:val="65"/>
        </w:numPr>
        <w:rPr>
          <w:rFonts w:ascii="Arial" w:cs="Arial" w:eastAsia="Arial" w:hAnsi="Arial"/>
          <w:sz w:val="19"/>
          <w:szCs w:val="19"/>
          <w:color w:val="auto"/>
        </w:rPr>
      </w:pPr>
      <w:r>
        <w:rPr>
          <w:rFonts w:ascii="Arial" w:cs="Arial" w:eastAsia="Arial" w:hAnsi="Arial"/>
          <w:sz w:val="19"/>
          <w:szCs w:val="19"/>
          <w:color w:val="auto"/>
        </w:rPr>
        <w:t>impeding a merger, consolidation, takeover or other business combination involving us; or</w:t>
      </w:r>
    </w:p>
    <w:p>
      <w:pPr>
        <w:spacing w:after="0" w:line="132" w:lineRule="exact"/>
        <w:rPr>
          <w:rFonts w:ascii="Arial" w:cs="Arial" w:eastAsia="Arial" w:hAnsi="Arial"/>
          <w:sz w:val="19"/>
          <w:szCs w:val="19"/>
          <w:color w:val="auto"/>
        </w:rPr>
      </w:pPr>
    </w:p>
    <w:p>
      <w:pPr>
        <w:ind w:left="980" w:hanging="491"/>
        <w:spacing w:after="0"/>
        <w:tabs>
          <w:tab w:leader="none" w:pos="980" w:val="left"/>
        </w:tabs>
        <w:numPr>
          <w:ilvl w:val="0"/>
          <w:numId w:val="65"/>
        </w:numPr>
        <w:rPr>
          <w:rFonts w:ascii="Arial" w:cs="Arial" w:eastAsia="Arial" w:hAnsi="Arial"/>
          <w:sz w:val="19"/>
          <w:szCs w:val="19"/>
          <w:color w:val="auto"/>
        </w:rPr>
      </w:pPr>
      <w:r>
        <w:rPr>
          <w:rFonts w:ascii="Arial" w:cs="Arial" w:eastAsia="Arial" w:hAnsi="Arial"/>
          <w:sz w:val="19"/>
          <w:szCs w:val="19"/>
          <w:color w:val="auto"/>
        </w:rPr>
        <w:t>discouraging a potential acquirer from making a tender offer or otherwise attempting to obtain control of us.</w:t>
      </w:r>
    </w:p>
    <w:p>
      <w:pPr>
        <w:spacing w:after="0" w:line="124" w:lineRule="exact"/>
        <w:rPr>
          <w:sz w:val="20"/>
          <w:szCs w:val="20"/>
          <w:color w:val="auto"/>
        </w:rPr>
      </w:pPr>
    </w:p>
    <w:p>
      <w:pPr>
        <w:ind w:right="180"/>
        <w:spacing w:after="0" w:line="263" w:lineRule="auto"/>
        <w:rPr>
          <w:sz w:val="20"/>
          <w:szCs w:val="20"/>
          <w:color w:val="auto"/>
        </w:rPr>
      </w:pPr>
      <w:r>
        <w:rPr>
          <w:rFonts w:ascii="Arial" w:cs="Arial" w:eastAsia="Arial" w:hAnsi="Arial"/>
          <w:sz w:val="19"/>
          <w:szCs w:val="19"/>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53" w:lineRule="exact"/>
        <w:rPr>
          <w:sz w:val="20"/>
          <w:szCs w:val="20"/>
          <w:color w:val="auto"/>
        </w:rPr>
      </w:pPr>
    </w:p>
    <w:p>
      <w:pPr>
        <w:ind w:right="180"/>
        <w:spacing w:after="0" w:line="260" w:lineRule="auto"/>
        <w:rPr>
          <w:sz w:val="20"/>
          <w:szCs w:val="20"/>
          <w:color w:val="auto"/>
        </w:rPr>
      </w:pPr>
      <w:r>
        <w:rPr>
          <w:rFonts w:ascii="Arial" w:cs="Arial" w:eastAsia="Arial" w:hAnsi="Arial"/>
          <w:sz w:val="19"/>
          <w:szCs w:val="19"/>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spacing w:after="0" w:line="78" w:lineRule="exact"/>
        <w:rPr>
          <w:sz w:val="20"/>
          <w:szCs w:val="20"/>
          <w:color w:val="auto"/>
        </w:rPr>
      </w:pPr>
    </w:p>
    <w:p>
      <w:pPr>
        <w:ind w:left="980" w:right="840" w:hanging="491"/>
        <w:spacing w:after="0" w:line="281" w:lineRule="auto"/>
        <w:tabs>
          <w:tab w:leader="none" w:pos="980" w:val="left"/>
        </w:tabs>
        <w:numPr>
          <w:ilvl w:val="0"/>
          <w:numId w:val="66"/>
        </w:numPr>
        <w:rPr>
          <w:rFonts w:ascii="Arial" w:cs="Arial" w:eastAsia="Arial" w:hAnsi="Arial"/>
          <w:sz w:val="19"/>
          <w:szCs w:val="19"/>
          <w:color w:val="auto"/>
        </w:rPr>
      </w:pPr>
      <w:r>
        <w:rPr>
          <w:rFonts w:ascii="Arial" w:cs="Arial" w:eastAsia="Arial" w:hAnsi="Arial"/>
          <w:sz w:val="19"/>
          <w:szCs w:val="19"/>
          <w:color w:val="auto"/>
        </w:rPr>
        <w:t>a board of directors divided into three classes serving staggered three-year terms, such that not all members of the board will be elected at one time;</w:t>
      </w:r>
    </w:p>
    <w:p>
      <w:pPr>
        <w:spacing w:after="0" w:line="58" w:lineRule="exact"/>
        <w:rPr>
          <w:rFonts w:ascii="Arial" w:cs="Arial" w:eastAsia="Arial" w:hAnsi="Arial"/>
          <w:sz w:val="19"/>
          <w:szCs w:val="19"/>
          <w:color w:val="auto"/>
        </w:rPr>
      </w:pPr>
    </w:p>
    <w:p>
      <w:pPr>
        <w:ind w:left="980" w:right="300" w:hanging="491"/>
        <w:spacing w:after="0" w:line="281" w:lineRule="auto"/>
        <w:tabs>
          <w:tab w:leader="none" w:pos="980" w:val="left"/>
        </w:tabs>
        <w:numPr>
          <w:ilvl w:val="0"/>
          <w:numId w:val="66"/>
        </w:numPr>
        <w:rPr>
          <w:rFonts w:ascii="Arial" w:cs="Arial" w:eastAsia="Arial" w:hAnsi="Arial"/>
          <w:sz w:val="19"/>
          <w:szCs w:val="19"/>
          <w:color w:val="auto"/>
        </w:rPr>
      </w:pPr>
      <w:r>
        <w:rPr>
          <w:rFonts w:ascii="Arial" w:cs="Arial" w:eastAsia="Arial" w:hAnsi="Arial"/>
          <w:sz w:val="19"/>
          <w:szCs w:val="19"/>
          <w:color w:val="auto"/>
        </w:rPr>
        <w:t>a prohibition on stockholder action through written consent, which requires that all stockholder actions be taken at a meeting of our stockholders;</w:t>
      </w:r>
    </w:p>
    <w:p>
      <w:pPr>
        <w:spacing w:after="0" w:line="58" w:lineRule="exact"/>
        <w:rPr>
          <w:rFonts w:ascii="Arial" w:cs="Arial" w:eastAsia="Arial" w:hAnsi="Arial"/>
          <w:sz w:val="19"/>
          <w:szCs w:val="19"/>
          <w:color w:val="auto"/>
        </w:rPr>
      </w:pPr>
    </w:p>
    <w:p>
      <w:pPr>
        <w:ind w:left="980" w:right="100" w:hanging="491"/>
        <w:spacing w:after="0" w:line="281" w:lineRule="auto"/>
        <w:tabs>
          <w:tab w:leader="none" w:pos="980" w:val="left"/>
        </w:tabs>
        <w:numPr>
          <w:ilvl w:val="0"/>
          <w:numId w:val="66"/>
        </w:numPr>
        <w:rPr>
          <w:rFonts w:ascii="Arial" w:cs="Arial" w:eastAsia="Arial" w:hAnsi="Arial"/>
          <w:sz w:val="19"/>
          <w:szCs w:val="19"/>
          <w:color w:val="auto"/>
        </w:rPr>
      </w:pPr>
      <w:r>
        <w:rPr>
          <w:rFonts w:ascii="Arial" w:cs="Arial" w:eastAsia="Arial" w:hAnsi="Arial"/>
          <w:sz w:val="19"/>
          <w:szCs w:val="19"/>
          <w:color w:val="auto"/>
        </w:rPr>
        <w:t>a requirement that special meetings of stockholders be called only by the board of directors acting pursuant to a resolution approved by the affirmative vote of a majority of the directors then in office;</w:t>
      </w:r>
    </w:p>
    <w:p>
      <w:pPr>
        <w:spacing w:after="0" w:line="58" w:lineRule="exact"/>
        <w:rPr>
          <w:rFonts w:ascii="Arial" w:cs="Arial" w:eastAsia="Arial" w:hAnsi="Arial"/>
          <w:sz w:val="19"/>
          <w:szCs w:val="19"/>
          <w:color w:val="auto"/>
        </w:rPr>
      </w:pPr>
    </w:p>
    <w:p>
      <w:pPr>
        <w:ind w:left="980" w:right="760" w:hanging="491"/>
        <w:spacing w:after="0" w:line="281" w:lineRule="auto"/>
        <w:tabs>
          <w:tab w:leader="none" w:pos="980" w:val="left"/>
        </w:tabs>
        <w:numPr>
          <w:ilvl w:val="0"/>
          <w:numId w:val="66"/>
        </w:numPr>
        <w:rPr>
          <w:rFonts w:ascii="Arial" w:cs="Arial" w:eastAsia="Arial" w:hAnsi="Arial"/>
          <w:sz w:val="19"/>
          <w:szCs w:val="19"/>
          <w:color w:val="auto"/>
        </w:rPr>
      </w:pPr>
      <w:r>
        <w:rPr>
          <w:rFonts w:ascii="Arial" w:cs="Arial" w:eastAsia="Arial" w:hAnsi="Arial"/>
          <w:sz w:val="19"/>
          <w:szCs w:val="19"/>
          <w:color w:val="auto"/>
        </w:rPr>
        <w:t>advance notice requirements for stockholder proposals and nominations for election to our board of directors;</w:t>
      </w:r>
    </w:p>
    <w:p>
      <w:pPr>
        <w:spacing w:after="0" w:line="58" w:lineRule="exact"/>
        <w:rPr>
          <w:rFonts w:ascii="Arial" w:cs="Arial" w:eastAsia="Arial" w:hAnsi="Arial"/>
          <w:sz w:val="19"/>
          <w:szCs w:val="19"/>
          <w:color w:val="auto"/>
        </w:rPr>
      </w:pPr>
    </w:p>
    <w:p>
      <w:pPr>
        <w:ind w:left="980" w:right="180" w:hanging="491"/>
        <w:spacing w:after="0" w:line="260" w:lineRule="auto"/>
        <w:tabs>
          <w:tab w:leader="none" w:pos="980" w:val="left"/>
        </w:tabs>
        <w:numPr>
          <w:ilvl w:val="0"/>
          <w:numId w:val="66"/>
        </w:numPr>
        <w:rPr>
          <w:rFonts w:ascii="Arial" w:cs="Arial" w:eastAsia="Arial" w:hAnsi="Arial"/>
          <w:sz w:val="19"/>
          <w:szCs w:val="19"/>
          <w:color w:val="auto"/>
        </w:rPr>
      </w:pPr>
      <w:r>
        <w:rPr>
          <w:rFonts w:ascii="Arial" w:cs="Arial" w:eastAsia="Arial" w:hAnsi="Arial"/>
          <w:sz w:val="19"/>
          <w:szCs w:val="19"/>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78" w:lineRule="exact"/>
        <w:rPr>
          <w:rFonts w:ascii="Arial" w:cs="Arial" w:eastAsia="Arial" w:hAnsi="Arial"/>
          <w:sz w:val="19"/>
          <w:szCs w:val="19"/>
          <w:color w:val="auto"/>
        </w:rPr>
      </w:pPr>
    </w:p>
    <w:p>
      <w:pPr>
        <w:ind w:left="980" w:right="160" w:hanging="491"/>
        <w:spacing w:after="0" w:line="281" w:lineRule="auto"/>
        <w:tabs>
          <w:tab w:leader="none" w:pos="980" w:val="left"/>
        </w:tabs>
        <w:numPr>
          <w:ilvl w:val="0"/>
          <w:numId w:val="66"/>
        </w:numPr>
        <w:rPr>
          <w:rFonts w:ascii="Arial" w:cs="Arial" w:eastAsia="Arial" w:hAnsi="Arial"/>
          <w:sz w:val="19"/>
          <w:szCs w:val="19"/>
          <w:color w:val="auto"/>
        </w:rPr>
      </w:pPr>
      <w:r>
        <w:rPr>
          <w:rFonts w:ascii="Arial" w:cs="Arial" w:eastAsia="Arial" w:hAnsi="Arial"/>
          <w:sz w:val="19"/>
          <w:szCs w:val="19"/>
          <w:color w:val="auto"/>
        </w:rPr>
        <w:t>a requirement of approval of not less than two-thirds of all outstanding shares of our voting stock to amend any bylaws by stockholder action or to amend specific provisions of our certificate of incorporation; and</w:t>
      </w:r>
    </w:p>
    <w:p>
      <w:pPr>
        <w:spacing w:after="0" w:line="58" w:lineRule="exact"/>
        <w:rPr>
          <w:rFonts w:ascii="Arial" w:cs="Arial" w:eastAsia="Arial" w:hAnsi="Arial"/>
          <w:sz w:val="19"/>
          <w:szCs w:val="19"/>
          <w:color w:val="auto"/>
        </w:rPr>
      </w:pPr>
    </w:p>
    <w:p>
      <w:pPr>
        <w:ind w:left="980" w:right="80" w:hanging="491"/>
        <w:spacing w:after="0" w:line="260" w:lineRule="auto"/>
        <w:tabs>
          <w:tab w:leader="none" w:pos="980" w:val="left"/>
        </w:tabs>
        <w:numPr>
          <w:ilvl w:val="0"/>
          <w:numId w:val="66"/>
        </w:numPr>
        <w:rPr>
          <w:rFonts w:ascii="Arial" w:cs="Arial" w:eastAsia="Arial" w:hAnsi="Arial"/>
          <w:sz w:val="19"/>
          <w:szCs w:val="19"/>
          <w:color w:val="auto"/>
        </w:rPr>
      </w:pPr>
      <w:r>
        <w:rPr>
          <w:rFonts w:ascii="Arial" w:cs="Arial" w:eastAsia="Arial" w:hAnsi="Arial"/>
          <w:sz w:val="19"/>
          <w:szCs w:val="19"/>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65" w:lineRule="exact"/>
        <w:rPr>
          <w:sz w:val="20"/>
          <w:szCs w:val="20"/>
          <w:color w:val="auto"/>
        </w:rPr>
      </w:pPr>
    </w:p>
    <w:p>
      <w:pPr>
        <w:ind w:right="40"/>
        <w:spacing w:after="0" w:line="245" w:lineRule="auto"/>
        <w:rPr>
          <w:sz w:val="20"/>
          <w:szCs w:val="20"/>
          <w:color w:val="auto"/>
        </w:rPr>
      </w:pPr>
      <w:r>
        <w:rPr>
          <w:rFonts w:ascii="Arial" w:cs="Arial" w:eastAsia="Arial" w:hAnsi="Arial"/>
          <w:sz w:val="19"/>
          <w:szCs w:val="19"/>
          <w:color w:val="auto"/>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amended and restated certificate of incorporation and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83" w:lineRule="exact"/>
        <w:rPr>
          <w:sz w:val="20"/>
          <w:szCs w:val="20"/>
          <w:color w:val="auto"/>
        </w:rPr>
      </w:pPr>
    </w:p>
    <w:p>
      <w:pPr>
        <w:ind w:right="280"/>
        <w:spacing w:after="0" w:line="263" w:lineRule="auto"/>
        <w:rPr>
          <w:sz w:val="20"/>
          <w:szCs w:val="20"/>
          <w:color w:val="auto"/>
        </w:rPr>
      </w:pPr>
      <w:r>
        <w:rPr>
          <w:rFonts w:ascii="Arial" w:cs="Arial" w:eastAsia="Arial" w:hAnsi="Arial"/>
          <w:sz w:val="19"/>
          <w:szCs w:val="19"/>
          <w:b w:val="1"/>
          <w:bCs w:val="1"/>
          <w:i w:val="1"/>
          <w:iCs w:val="1"/>
          <w:color w:val="auto"/>
        </w:rPr>
        <w:t>Our bylaws designate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53"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Our bylaws provide that, unless we consent in writing to an alternative forum, the Court of Chancery of the State of Delaware will be the sole and exclusive forum for any state law claim for (i) any derivative action or proceeding brought on our behalf, (ii) any action asserting a claim of breach of fiduciary duty owed by any of our directors, officers, and employees to us or our stockholders, (iii) any action asserting a claim arising pursuant to any provision of the Delaware General Corporation Law, our amended and restated certificate of incorporation or our amended and restated bylaws or</w:t>
      </w:r>
    </w:p>
    <w:p>
      <w:pPr>
        <w:spacing w:after="0" w:line="4" w:lineRule="exact"/>
        <w:rPr>
          <w:sz w:val="20"/>
          <w:szCs w:val="20"/>
          <w:color w:val="auto"/>
        </w:rPr>
      </w:pPr>
    </w:p>
    <w:p>
      <w:pPr>
        <w:spacing w:after="0" w:line="242" w:lineRule="auto"/>
        <w:tabs>
          <w:tab w:leader="none" w:pos="317" w:val="left"/>
        </w:tabs>
        <w:numPr>
          <w:ilvl w:val="0"/>
          <w:numId w:val="67"/>
        </w:numPr>
        <w:rPr>
          <w:rFonts w:ascii="Arial" w:cs="Arial" w:eastAsia="Arial" w:hAnsi="Arial"/>
          <w:sz w:val="19"/>
          <w:szCs w:val="19"/>
          <w:color w:val="auto"/>
        </w:rPr>
      </w:pPr>
      <w:r>
        <w:rPr>
          <w:rFonts w:ascii="Arial" w:cs="Arial" w:eastAsia="Arial" w:hAnsi="Arial"/>
          <w:sz w:val="19"/>
          <w:szCs w:val="19"/>
          <w:color w:val="auto"/>
        </w:rPr>
        <w:t>any action asserting a claim that is governed by the internal affairs doctrine, in each case subject to the Court of Chancery having personal jurisdiction over the indispensable parties named as defendants therein, or the Delaware Forum Provision. The Delaware Forum Provision does not apply to any causes of action arising under the Securities Act or the Exchange Act. Our amended and restated bylaws further provide that, unless we consent in writing to the selection of an alternative forum, the United States District Court for the District of Massachusetts shall be the sole and exclusive forum for resolving any complaint asserting a cause of action arising under the Securities Act, or the Federal Forum Provision, as our principal office is located in Needham, Massachusetts. In addition, our amended and restated bylaws provide that any person or entity purchasing or otherwise acquiring any interest in shares of our common stock</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94</w:t>
      </w:r>
    </w:p>
    <w:p>
      <w:pPr>
        <w:sectPr>
          <w:pgSz w:w="12240" w:h="15840" w:orient="portrait"/>
          <w:cols w:equalWidth="0" w:num="1">
            <w:col w:w="10080"/>
          </w:cols>
          <w:pgMar w:left="1080" w:top="1062" w:right="1080" w:bottom="173" w:gutter="0" w:footer="0" w:header="0"/>
        </w:sectPr>
      </w:pPr>
    </w:p>
    <w:bookmarkStart w:id="98" w:name="page99"/>
    <w:bookmarkEnd w:id="98"/>
    <w:p>
      <w:pPr>
        <w:jc w:val="both"/>
        <w:ind w:right="340"/>
        <w:spacing w:after="0" w:line="260" w:lineRule="auto"/>
        <w:rPr>
          <w:sz w:val="20"/>
          <w:szCs w:val="20"/>
          <w:color w:val="auto"/>
        </w:rPr>
      </w:pPr>
      <w:r>
        <w:rPr>
          <w:rFonts w:ascii="Arial" w:cs="Arial" w:eastAsia="Arial" w:hAnsi="Arial"/>
          <w:sz w:val="19"/>
          <w:szCs w:val="19"/>
          <w:color w:val="auto"/>
        </w:rPr>
        <w:t>is deemed to have notice of and consented to the foregoing provisions; provided, however, that stockholders cannot and will not be deemed to have waived our compliance with the federal securities laws and the rules and regulations thereunder.</w:t>
      </w:r>
    </w:p>
    <w:p>
      <w:pPr>
        <w:spacing w:after="0" w:line="65" w:lineRule="exact"/>
        <w:rPr>
          <w:sz w:val="20"/>
          <w:szCs w:val="20"/>
          <w:color w:val="auto"/>
        </w:rPr>
      </w:pPr>
    </w:p>
    <w:p>
      <w:pPr>
        <w:spacing w:after="0" w:line="242" w:lineRule="auto"/>
        <w:rPr>
          <w:sz w:val="20"/>
          <w:szCs w:val="20"/>
          <w:color w:val="auto"/>
        </w:rPr>
      </w:pPr>
      <w:r>
        <w:rPr>
          <w:rFonts w:ascii="Arial" w:cs="Arial" w:eastAsia="Arial" w:hAnsi="Arial"/>
          <w:sz w:val="19"/>
          <w:szCs w:val="19"/>
          <w:color w:val="auto"/>
        </w:rPr>
        <w:t>The Delaware Forum Provision and the Federal Forum Provision in our amended and restated bylaws may impose additional litigation costs on stockholders in pursuing any such claims, particularly if the stockholders do not reside in or near the State of Delaware or the Commonwealth of Massachusetts. Additionally, the forum selection clauses in our amended and restated bylaws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were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97" w:lineRule="exact"/>
        <w:rPr>
          <w:sz w:val="20"/>
          <w:szCs w:val="20"/>
          <w:color w:val="auto"/>
        </w:rPr>
      </w:pPr>
    </w:p>
    <w:p>
      <w:pPr>
        <w:ind w:right="840"/>
        <w:spacing w:after="0" w:line="287" w:lineRule="auto"/>
        <w:rPr>
          <w:sz w:val="20"/>
          <w:szCs w:val="20"/>
          <w:color w:val="auto"/>
        </w:rPr>
      </w:pPr>
      <w:r>
        <w:rPr>
          <w:rFonts w:ascii="Arial" w:cs="Arial" w:eastAsia="Arial" w:hAnsi="Arial"/>
          <w:sz w:val="19"/>
          <w:szCs w:val="19"/>
          <w:b w:val="1"/>
          <w:bCs w:val="1"/>
          <w:i w:val="1"/>
          <w:iCs w:val="1"/>
          <w:color w:val="auto"/>
        </w:rPr>
        <w:t>If securities analysts do not publish research or reports about our business or if they publish negative evaluations of our stock, the price of our stock could decline.</w:t>
      </w:r>
    </w:p>
    <w:p>
      <w:pPr>
        <w:spacing w:after="0" w:line="30" w:lineRule="exact"/>
        <w:rPr>
          <w:sz w:val="20"/>
          <w:szCs w:val="20"/>
          <w:color w:val="auto"/>
        </w:rPr>
      </w:pPr>
    </w:p>
    <w:p>
      <w:pPr>
        <w:spacing w:after="0" w:line="248" w:lineRule="auto"/>
        <w:rPr>
          <w:sz w:val="20"/>
          <w:szCs w:val="20"/>
          <w:color w:val="auto"/>
        </w:rPr>
      </w:pPr>
      <w:r>
        <w:rPr>
          <w:rFonts w:ascii="Arial" w:cs="Arial" w:eastAsia="Arial" w:hAnsi="Arial"/>
          <w:sz w:val="19"/>
          <w:szCs w:val="19"/>
          <w:color w:val="auto"/>
        </w:rPr>
        <w:t>The trading market for our common stock relies in part on the research and reports that industry or financial analysts publish about us or our business. We may never obtain research coverage by industry or financial analysts. If no or few analysts commence coverage of us, the trading price of our stock would likely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8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may be subject to securities litigation, which is expensive and could divert management's attention.</w:t>
      </w:r>
    </w:p>
    <w:p>
      <w:pPr>
        <w:spacing w:after="0" w:line="116" w:lineRule="exact"/>
        <w:rPr>
          <w:sz w:val="20"/>
          <w:szCs w:val="20"/>
          <w:color w:val="auto"/>
        </w:rPr>
      </w:pPr>
    </w:p>
    <w:p>
      <w:pPr>
        <w:ind w:right="40"/>
        <w:spacing w:after="0" w:line="245" w:lineRule="auto"/>
        <w:rPr>
          <w:sz w:val="20"/>
          <w:szCs w:val="20"/>
          <w:color w:val="auto"/>
        </w:rPr>
      </w:pPr>
      <w:r>
        <w:rPr>
          <w:rFonts w:ascii="Arial" w:cs="Arial" w:eastAsia="Arial" w:hAnsi="Arial"/>
          <w:sz w:val="19"/>
          <w:szCs w:val="19"/>
          <w:color w:val="auto"/>
        </w:rPr>
        <w:t>The market price of our common stock may be volatile. The stock market in general, and Nasdaq and biopharmaceutical companies in particular, have experienced extreme price and volume fluctuations that have often been unrelated or disproportionate to the operating performance of these companies. In particular, the trading prices for pharmaceutical, biopharmaceutical and biotechnology companies were highly volatile as a result of the COVID-19 pandemic and may be volatile as a result of a similar public health crisis in the future.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88" w:lineRule="exact"/>
        <w:rPr>
          <w:sz w:val="20"/>
          <w:szCs w:val="20"/>
          <w:color w:val="auto"/>
        </w:rPr>
      </w:pPr>
    </w:p>
    <w:p>
      <w:pPr>
        <w:ind w:right="380"/>
        <w:spacing w:after="0" w:line="317" w:lineRule="auto"/>
        <w:rPr>
          <w:sz w:val="20"/>
          <w:szCs w:val="20"/>
          <w:color w:val="auto"/>
        </w:rPr>
      </w:pPr>
      <w:r>
        <w:rPr>
          <w:rFonts w:ascii="Arial" w:cs="Arial" w:eastAsia="Arial" w:hAnsi="Arial"/>
          <w:sz w:val="18"/>
          <w:szCs w:val="18"/>
          <w:b w:val="1"/>
          <w:bCs w:val="1"/>
          <w:i w:val="1"/>
          <w:iCs w:val="1"/>
          <w:color w:val="auto"/>
        </w:rPr>
        <w:t>The number of shares of our common stock outstanding may increase substantially as a result of our November 2018 issuance of warrants to purchase up to an aggregate of 7,344,968 shares of common stock.</w:t>
      </w:r>
    </w:p>
    <w:p>
      <w:pPr>
        <w:spacing w:after="0" w:line="6" w:lineRule="exact"/>
        <w:rPr>
          <w:sz w:val="20"/>
          <w:szCs w:val="20"/>
          <w:color w:val="auto"/>
        </w:rPr>
      </w:pPr>
    </w:p>
    <w:p>
      <w:pPr>
        <w:ind w:right="40"/>
        <w:spacing w:after="0" w:line="253" w:lineRule="auto"/>
        <w:rPr>
          <w:sz w:val="20"/>
          <w:szCs w:val="20"/>
          <w:color w:val="auto"/>
        </w:rPr>
      </w:pPr>
      <w:r>
        <w:rPr>
          <w:rFonts w:ascii="Arial" w:cs="Arial" w:eastAsia="Arial" w:hAnsi="Arial"/>
          <w:sz w:val="19"/>
          <w:szCs w:val="19"/>
          <w:color w:val="auto"/>
        </w:rPr>
        <w:t>In connection with the November 13, 2018 issuance of Series B convertible preferred stock (the Series B Preferred), we issued to the purchaser of the Series B Preferred, warrants to purchase 3,672,484 shares of common stock for $6.81 per share (the Series B Warrants) which were and remain fully exercisable upon issuance. The Series B Warrants contain provisions allowing cashless exercise.</w:t>
      </w:r>
    </w:p>
    <w:p>
      <w:pPr>
        <w:spacing w:after="0" w:line="73" w:lineRule="exact"/>
        <w:rPr>
          <w:sz w:val="20"/>
          <w:szCs w:val="20"/>
          <w:color w:val="auto"/>
        </w:rPr>
      </w:pPr>
    </w:p>
    <w:p>
      <w:pPr>
        <w:ind w:right="120"/>
        <w:spacing w:after="0" w:line="260" w:lineRule="auto"/>
        <w:rPr>
          <w:sz w:val="20"/>
          <w:szCs w:val="20"/>
          <w:color w:val="auto"/>
        </w:rPr>
      </w:pPr>
      <w:r>
        <w:rPr>
          <w:rFonts w:ascii="Arial" w:cs="Arial" w:eastAsia="Arial" w:hAnsi="Arial"/>
          <w:sz w:val="19"/>
          <w:szCs w:val="19"/>
          <w:color w:val="auto"/>
        </w:rPr>
        <w:t>In addition, we issued to the same stockholder additional five-year warrants for the purchase of 3,672,484 shares of common stock for $6.81 per share (the Conditional Series B Warrants), which become exercisable in the event that we complete a future financing that meets certain financial milestones or achieves certain share prices as follows:</w:t>
      </w:r>
    </w:p>
    <w:p>
      <w:pPr>
        <w:spacing w:after="0" w:line="78" w:lineRule="exact"/>
        <w:rPr>
          <w:sz w:val="20"/>
          <w:szCs w:val="20"/>
          <w:color w:val="auto"/>
        </w:rPr>
      </w:pPr>
    </w:p>
    <w:p>
      <w:pPr>
        <w:ind w:left="980" w:right="400" w:hanging="491"/>
        <w:spacing w:after="0" w:line="260" w:lineRule="auto"/>
        <w:tabs>
          <w:tab w:leader="none" w:pos="980" w:val="left"/>
        </w:tabs>
        <w:numPr>
          <w:ilvl w:val="0"/>
          <w:numId w:val="68"/>
        </w:numPr>
        <w:rPr>
          <w:rFonts w:ascii="Arial" w:cs="Arial" w:eastAsia="Arial" w:hAnsi="Arial"/>
          <w:sz w:val="19"/>
          <w:szCs w:val="19"/>
          <w:color w:val="auto"/>
        </w:rPr>
      </w:pPr>
      <w:r>
        <w:rPr>
          <w:rFonts w:ascii="Arial" w:cs="Arial" w:eastAsia="Arial" w:hAnsi="Arial"/>
          <w:sz w:val="19"/>
          <w:szCs w:val="19"/>
          <w:color w:val="auto"/>
        </w:rPr>
        <w:t>918,121 shares vest upon (1) a financing event effected through the sale of our equity securities to third parties resulting in at least $20,000,000 in gross proceeds with a per share price of $12.47, or (2) an average market price (determined over a consecutive 10-day period) of $12.47 per share;</w:t>
      </w:r>
    </w:p>
    <w:p>
      <w:pPr>
        <w:spacing w:after="0" w:line="78" w:lineRule="exact"/>
        <w:rPr>
          <w:rFonts w:ascii="Arial" w:cs="Arial" w:eastAsia="Arial" w:hAnsi="Arial"/>
          <w:sz w:val="19"/>
          <w:szCs w:val="19"/>
          <w:color w:val="auto"/>
        </w:rPr>
      </w:pPr>
    </w:p>
    <w:p>
      <w:pPr>
        <w:ind w:left="980" w:right="480" w:hanging="491"/>
        <w:spacing w:after="0" w:line="281" w:lineRule="auto"/>
        <w:tabs>
          <w:tab w:leader="none" w:pos="980" w:val="left"/>
        </w:tabs>
        <w:numPr>
          <w:ilvl w:val="0"/>
          <w:numId w:val="68"/>
        </w:numPr>
        <w:rPr>
          <w:rFonts w:ascii="Arial" w:cs="Arial" w:eastAsia="Arial" w:hAnsi="Arial"/>
          <w:sz w:val="19"/>
          <w:szCs w:val="19"/>
          <w:color w:val="auto"/>
        </w:rPr>
      </w:pPr>
      <w:r>
        <w:rPr>
          <w:rFonts w:ascii="Arial" w:cs="Arial" w:eastAsia="Arial" w:hAnsi="Arial"/>
          <w:sz w:val="19"/>
          <w:szCs w:val="19"/>
          <w:color w:val="auto"/>
        </w:rPr>
        <w:t>an additional 918,121 shares vest upon (1) a financing event with a price per share of $13.20, or (2) an average market price (determined over a consecutive 10-day period) of, $13.20 per share;</w:t>
      </w:r>
    </w:p>
    <w:p>
      <w:pPr>
        <w:spacing w:after="0" w:line="58" w:lineRule="exact"/>
        <w:rPr>
          <w:rFonts w:ascii="Arial" w:cs="Arial" w:eastAsia="Arial" w:hAnsi="Arial"/>
          <w:sz w:val="19"/>
          <w:szCs w:val="19"/>
          <w:color w:val="auto"/>
        </w:rPr>
      </w:pPr>
    </w:p>
    <w:p>
      <w:pPr>
        <w:ind w:left="980" w:right="480" w:hanging="491"/>
        <w:spacing w:after="0" w:line="281" w:lineRule="auto"/>
        <w:tabs>
          <w:tab w:leader="none" w:pos="980" w:val="left"/>
        </w:tabs>
        <w:numPr>
          <w:ilvl w:val="0"/>
          <w:numId w:val="68"/>
        </w:numPr>
        <w:rPr>
          <w:rFonts w:ascii="Arial" w:cs="Arial" w:eastAsia="Arial" w:hAnsi="Arial"/>
          <w:sz w:val="19"/>
          <w:szCs w:val="19"/>
          <w:color w:val="auto"/>
        </w:rPr>
      </w:pPr>
      <w:r>
        <w:rPr>
          <w:rFonts w:ascii="Arial" w:cs="Arial" w:eastAsia="Arial" w:hAnsi="Arial"/>
          <w:sz w:val="19"/>
          <w:szCs w:val="19"/>
          <w:color w:val="auto"/>
        </w:rPr>
        <w:t>an additional 918,121 shares vest upon (1) a financing event with a per share price of $13.94, or (2) an average market price (determined over a consecutive 10-day period) of, $13.94 per share; and</w:t>
      </w:r>
    </w:p>
    <w:p>
      <w:pPr>
        <w:spacing w:after="0" w:line="58" w:lineRule="exact"/>
        <w:rPr>
          <w:rFonts w:ascii="Arial" w:cs="Arial" w:eastAsia="Arial" w:hAnsi="Arial"/>
          <w:sz w:val="19"/>
          <w:szCs w:val="19"/>
          <w:color w:val="auto"/>
        </w:rPr>
      </w:pPr>
    </w:p>
    <w:p>
      <w:pPr>
        <w:ind w:left="980" w:right="480" w:hanging="491"/>
        <w:spacing w:after="0" w:line="281" w:lineRule="auto"/>
        <w:tabs>
          <w:tab w:leader="none" w:pos="980" w:val="left"/>
        </w:tabs>
        <w:numPr>
          <w:ilvl w:val="0"/>
          <w:numId w:val="68"/>
        </w:numPr>
        <w:rPr>
          <w:rFonts w:ascii="Arial" w:cs="Arial" w:eastAsia="Arial" w:hAnsi="Arial"/>
          <w:sz w:val="19"/>
          <w:szCs w:val="19"/>
          <w:color w:val="auto"/>
        </w:rPr>
      </w:pPr>
      <w:r>
        <w:rPr>
          <w:rFonts w:ascii="Arial" w:cs="Arial" w:eastAsia="Arial" w:hAnsi="Arial"/>
          <w:sz w:val="19"/>
          <w:szCs w:val="19"/>
          <w:color w:val="auto"/>
        </w:rPr>
        <w:t>an additional 918,121 shares vest upon (1) a financing event with a per share price of $14.68, or (2) an average market price (determined over a consecutive 10-day period) of, $14.68 per share.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95</w:t>
      </w:r>
    </w:p>
    <w:p>
      <w:pPr>
        <w:sectPr>
          <w:pgSz w:w="12240" w:h="15840" w:orient="portrait"/>
          <w:cols w:equalWidth="0" w:num="1">
            <w:col w:w="10080"/>
          </w:cols>
          <w:pgMar w:left="1080" w:top="1062" w:right="1080" w:bottom="173" w:gutter="0" w:footer="0" w:header="0"/>
        </w:sectPr>
      </w:pPr>
    </w:p>
    <w:bookmarkStart w:id="99" w:name="page100"/>
    <w:bookmarkEnd w:id="99"/>
    <w:p>
      <w:pPr>
        <w:ind w:right="160"/>
        <w:spacing w:after="0" w:line="264" w:lineRule="auto"/>
        <w:rPr>
          <w:sz w:val="20"/>
          <w:szCs w:val="20"/>
          <w:color w:val="auto"/>
        </w:rPr>
      </w:pPr>
      <w:r>
        <w:rPr>
          <w:rFonts w:ascii="Arial" w:cs="Arial" w:eastAsia="Arial" w:hAnsi="Arial"/>
          <w:sz w:val="18"/>
          <w:szCs w:val="18"/>
          <w:color w:val="auto"/>
        </w:rPr>
        <w:t>On June 24, 2021, our board of directors approved, and on July 14, 2021, our stockholders approved, effective upon the closing of the IPO, an amendment to the terms of the Series B Warrants and the Conditional Series B Warrants to extend the expiration date from November 2023 to November 2025. In addition, the exercise period for the Conditional Series B Warrants was amended such that in the event the future financing milestones or certain share price targets described above are achieved, the Conditional Series B Warrants can only be exercised in conjunction with the sale of the company, on a cash or cashless exercise basis, or otherwise in November 2025 through a cashless exercise.</w:t>
      </w:r>
    </w:p>
    <w:p>
      <w:pPr>
        <w:spacing w:after="0" w:line="65" w:lineRule="exact"/>
        <w:rPr>
          <w:sz w:val="20"/>
          <w:szCs w:val="20"/>
          <w:color w:val="auto"/>
        </w:rPr>
      </w:pPr>
    </w:p>
    <w:p>
      <w:pPr>
        <w:ind w:right="20"/>
        <w:spacing w:after="0" w:line="246" w:lineRule="auto"/>
        <w:rPr>
          <w:sz w:val="20"/>
          <w:szCs w:val="20"/>
          <w:color w:val="auto"/>
        </w:rPr>
      </w:pPr>
      <w:r>
        <w:rPr>
          <w:rFonts w:ascii="Arial" w:cs="Arial" w:eastAsia="Arial" w:hAnsi="Arial"/>
          <w:sz w:val="19"/>
          <w:szCs w:val="19"/>
          <w:color w:val="auto"/>
        </w:rPr>
        <w:t>We recorded the Series B Warrants as a component of stockholder’s equity at the time of issuance at their estimated fair value of $2.1 million and recorded the Conditional Series B Warrants as a liability on the consolidated balance sheet because the number of shares used to calculate the settlement is not a fixed number of shares. The Conditional Series B Warrants are remeasured to their fair value at each reporting date with changes in the fair value recognized as a component of other income (expense), net in the consolidated statements of operations. We will continue to recognize changes in the fair value of the Conditional Series B Warrants until each Conditional Series B Warrant is exercised, expires or qualifies for equity classification.</w:t>
      </w:r>
    </w:p>
    <w:p>
      <w:pPr>
        <w:spacing w:after="0" w:line="82" w:lineRule="exact"/>
        <w:rPr>
          <w:sz w:val="20"/>
          <w:szCs w:val="20"/>
          <w:color w:val="auto"/>
        </w:rPr>
      </w:pPr>
    </w:p>
    <w:p>
      <w:pPr>
        <w:ind w:right="20"/>
        <w:spacing w:after="0" w:line="250" w:lineRule="auto"/>
        <w:rPr>
          <w:sz w:val="20"/>
          <w:szCs w:val="20"/>
          <w:color w:val="auto"/>
        </w:rPr>
      </w:pPr>
      <w:r>
        <w:rPr>
          <w:rFonts w:ascii="Arial" w:cs="Arial" w:eastAsia="Arial" w:hAnsi="Arial"/>
          <w:sz w:val="19"/>
          <w:szCs w:val="19"/>
          <w:color w:val="auto"/>
        </w:rPr>
        <w:t>The exercise of these warrants in full, assuming vesting in full of the Conditional Series B Warrants and no net exercise, would result in an additional 7,344,968 shares of common stock outstanding, resulting in substantial dilution to stockholders who hold our common stock. In addition, if the holders of these warrants, including PBM Capital, were to exercise such warrants in full, these holders could then have significant influence over the outcome of any stockholder vote, including the election of directors and the approval of mergers or other business combination transactions.</w:t>
      </w:r>
    </w:p>
    <w:p>
      <w:pPr>
        <w:spacing w:after="0" w:line="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1B. Unresolved Staff Comments.</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color w:val="auto"/>
        </w:rPr>
        <w:t>None.</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1C. Cybersecurity.</w:t>
      </w:r>
    </w:p>
    <w:p>
      <w:pPr>
        <w:spacing w:after="0" w:line="34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Cybersecurity Risk Management and Strategy</w:t>
      </w:r>
    </w:p>
    <w:p>
      <w:pPr>
        <w:spacing w:after="0" w:line="214"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Candel has implemented cybersecurity risk management processes that are informed by industry standards in accordance with the scale of our business. Our cybersecurity risk management processes are designed to assess, identify and mitigate risks from current and emerging cybersecurity threats.</w:t>
      </w:r>
    </w:p>
    <w:p>
      <w:pPr>
        <w:spacing w:after="0" w:line="164"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We use various tools and processes to accomplish these objectives, including policies and procedures, risk assessments, and testing. Further, we require our employees to participate in cybersecurity risk awareness trainings and phishing exercises.</w:t>
      </w:r>
    </w:p>
    <w:p>
      <w:pPr>
        <w:spacing w:after="0" w:line="164"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Our cybersecurity risk management processes are supported by third-party service providers, including a managed services provider that assists the Company with, among other things, threat monitoring and cybersecurity incident response and escalation services. We rely on a third-party service provider to assist us with our cybersecurity practices, including for vulnerability assessments, penetration testing, and managing IT environments. Our process for onboarding new vendors with access to critical systems or data includes vendor questionnaires, contractual obligations, and if deemed appropriate, review of vendor audit reports.</w:t>
      </w:r>
    </w:p>
    <w:p>
      <w:pPr>
        <w:spacing w:after="0" w:line="175"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Our incident management processes include reporting to senior management, including the Chief Financial Officer (CFO), Vice President of Regulatory and Quality Assurance, Chief Executive Officer, and GxP Systems Director, and, where appropriate, to the board of directors. To date, we have not identified any cybersecurity incidents or threats that have materially affected us or are reasonably likely to materially affect us, including our business strategy, results of operations, or financial condition. However, like other companies in our industry, we and our third-party vendors have from time-to-time experienced threats that could affect our information or systems. For more information, please refer to Item 1A, “Risk Factors,” in this annual report on Form 10-K.</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Cybersecurity Governance</w:t>
      </w:r>
    </w:p>
    <w:p>
      <w:pPr>
        <w:spacing w:after="0" w:line="214"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board of directors has delegated oversight of the Company’s cybersecurity risk management program to the Audit Committee, including responsibilities for reviewing and discussing cybersecurity risks, implementing risk management programs, controls and procedures, and performing high level reviews of the threat landscape.</w:t>
      </w:r>
    </w:p>
    <w:p>
      <w:pPr>
        <w:spacing w:after="0" w:line="164"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Our Senior Director, Information Technology (Senior Director, IT) is responsible for the strategic leadership and day-to-day management of our cybersecurity risk management program. The individual occupying this role has over thirty years of experience with information technology management and over five years of cybersecurity risk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96</w:t>
      </w:r>
    </w:p>
    <w:p>
      <w:pPr>
        <w:sectPr>
          <w:pgSz w:w="12240" w:h="15840" w:orient="portrait"/>
          <w:cols w:equalWidth="0" w:num="1">
            <w:col w:w="10080"/>
          </w:cols>
          <w:pgMar w:left="1080" w:top="1062" w:right="1080" w:bottom="173" w:gutter="0" w:footer="0" w:header="0"/>
        </w:sectPr>
      </w:pPr>
    </w:p>
    <w:bookmarkStart w:id="100" w:name="page101"/>
    <w:bookmarkEnd w:id="100"/>
    <w:p>
      <w:pPr>
        <w:jc w:val="both"/>
        <w:spacing w:after="0" w:line="250" w:lineRule="auto"/>
        <w:rPr>
          <w:sz w:val="20"/>
          <w:szCs w:val="20"/>
          <w:color w:val="auto"/>
        </w:rPr>
      </w:pPr>
      <w:r>
        <w:rPr>
          <w:rFonts w:ascii="Arial" w:cs="Arial" w:eastAsia="Arial" w:hAnsi="Arial"/>
          <w:sz w:val="19"/>
          <w:szCs w:val="19"/>
          <w:color w:val="auto"/>
        </w:rPr>
        <w:t>Our Senior Director, IT engages in regular meetings with our third-party managed IT service provider and the Director, IT to review and assess our cybersecurity risk management processes. The Senior Director, IT reports such findings to our CFO who annually presents updates on cybersecurity risks, mitigation strategies, and, if necessary, incident response activities to our Audit Committee. Further, our Audit Committee updates the full board on matters relating to cybersecurity risk management, as necessary.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2. Properties.</w:t>
      </w:r>
    </w:p>
    <w:p>
      <w:pPr>
        <w:spacing w:after="0" w:line="124" w:lineRule="exact"/>
        <w:rPr>
          <w:sz w:val="20"/>
          <w:szCs w:val="20"/>
          <w:color w:val="auto"/>
        </w:rPr>
      </w:pPr>
    </w:p>
    <w:p>
      <w:pPr>
        <w:ind w:right="140"/>
        <w:spacing w:after="0" w:line="260" w:lineRule="auto"/>
        <w:rPr>
          <w:sz w:val="20"/>
          <w:szCs w:val="20"/>
          <w:color w:val="auto"/>
        </w:rPr>
      </w:pPr>
      <w:r>
        <w:rPr>
          <w:rFonts w:ascii="Arial" w:cs="Arial" w:eastAsia="Arial" w:hAnsi="Arial"/>
          <w:sz w:val="19"/>
          <w:szCs w:val="19"/>
          <w:color w:val="auto"/>
        </w:rPr>
        <w:t>Our principal office is located at 117 Kendrick St, Suite 450, Needham, Massachusetts 02494, where we lease approximately 15,000 square feet of office and laboratory space. We lease this space under a lease that terminates on August 31, 2026.</w:t>
      </w:r>
    </w:p>
    <w:p>
      <w:pPr>
        <w:spacing w:after="0" w:line="6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3. Legal Proceedings.</w:t>
      </w:r>
    </w:p>
    <w:p>
      <w:pPr>
        <w:spacing w:after="0" w:line="51" w:lineRule="exact"/>
        <w:rPr>
          <w:sz w:val="20"/>
          <w:szCs w:val="20"/>
          <w:color w:val="auto"/>
        </w:rPr>
      </w:pPr>
    </w:p>
    <w:p>
      <w:pPr>
        <w:spacing w:after="0"/>
        <w:rPr>
          <w:sz w:val="20"/>
          <w:szCs w:val="20"/>
          <w:color w:val="auto"/>
        </w:rPr>
      </w:pPr>
      <w:r>
        <w:rPr>
          <w:rFonts w:ascii="Arial" w:cs="Arial" w:eastAsia="Arial" w:hAnsi="Arial"/>
          <w:sz w:val="19"/>
          <w:szCs w:val="19"/>
          <w:color w:val="auto"/>
        </w:rPr>
        <w:t>From time to time, we may become involved in litigation or other legal proceedings.</w:t>
      </w:r>
    </w:p>
    <w:p>
      <w:pPr>
        <w:spacing w:after="0" w:line="113" w:lineRule="exact"/>
        <w:rPr>
          <w:sz w:val="20"/>
          <w:szCs w:val="20"/>
          <w:color w:val="auto"/>
        </w:rPr>
      </w:pPr>
    </w:p>
    <w:p>
      <w:pPr>
        <w:ind w:right="40"/>
        <w:spacing w:after="0" w:line="253" w:lineRule="auto"/>
        <w:rPr>
          <w:sz w:val="20"/>
          <w:szCs w:val="20"/>
          <w:color w:val="auto"/>
        </w:rPr>
      </w:pPr>
      <w:r>
        <w:rPr>
          <w:rFonts w:ascii="Arial" w:cs="Arial" w:eastAsia="Arial" w:hAnsi="Arial"/>
          <w:sz w:val="19"/>
          <w:szCs w:val="19"/>
          <w:color w:val="auto"/>
        </w:rPr>
        <w:t>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6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4. Mine Safety Disclosures.</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97</w:t>
      </w:r>
    </w:p>
    <w:p>
      <w:pPr>
        <w:sectPr>
          <w:pgSz w:w="12240" w:h="15840" w:orient="portrait"/>
          <w:cols w:equalWidth="0" w:num="1">
            <w:col w:w="10080"/>
          </w:cols>
          <w:pgMar w:left="1080" w:top="1062" w:right="1080" w:bottom="173" w:gutter="0" w:footer="0" w:header="0"/>
        </w:sectPr>
      </w:pPr>
    </w:p>
    <w:bookmarkStart w:id="101" w:name="page102"/>
    <w:bookmarkEnd w:id="101"/>
    <w:p>
      <w:pPr>
        <w:jc w:val="center"/>
        <w:spacing w:after="0"/>
        <w:rPr>
          <w:sz w:val="20"/>
          <w:szCs w:val="20"/>
          <w:color w:val="auto"/>
        </w:rPr>
      </w:pPr>
      <w:r>
        <w:rPr>
          <w:rFonts w:ascii="Arial" w:cs="Arial" w:eastAsia="Arial" w:hAnsi="Arial"/>
          <w:sz w:val="19"/>
          <w:szCs w:val="19"/>
          <w:b w:val="1"/>
          <w:bCs w:val="1"/>
          <w:color w:val="auto"/>
        </w:rPr>
        <w:t>PART II</w:t>
      </w:r>
    </w:p>
    <w:p>
      <w:pPr>
        <w:spacing w:after="0" w:line="120" w:lineRule="exact"/>
        <w:rPr>
          <w:sz w:val="20"/>
          <w:szCs w:val="20"/>
          <w:color w:val="auto"/>
        </w:rPr>
      </w:pPr>
    </w:p>
    <w:p>
      <w:pPr>
        <w:ind w:right="300"/>
        <w:spacing w:after="0" w:line="296" w:lineRule="auto"/>
        <w:rPr>
          <w:sz w:val="20"/>
          <w:szCs w:val="20"/>
          <w:color w:val="auto"/>
        </w:rPr>
      </w:pPr>
      <w:r>
        <w:rPr>
          <w:rFonts w:ascii="Arial" w:cs="Arial" w:eastAsia="Arial" w:hAnsi="Arial"/>
          <w:sz w:val="19"/>
          <w:szCs w:val="19"/>
          <w:b w:val="1"/>
          <w:bCs w:val="1"/>
          <w:color w:val="auto"/>
        </w:rPr>
        <w:t>Item 5. Market for Registrant’s Common Equity, Related Stockholder Matters and Issuer Purchases of Equity Securities.</w:t>
      </w:r>
    </w:p>
    <w:p>
      <w:pPr>
        <w:spacing w:after="0" w:line="1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Market Information</w:t>
      </w:r>
    </w:p>
    <w:p>
      <w:pPr>
        <w:spacing w:after="0" w:line="124" w:lineRule="exact"/>
        <w:rPr>
          <w:sz w:val="20"/>
          <w:szCs w:val="20"/>
          <w:color w:val="auto"/>
        </w:rPr>
      </w:pPr>
    </w:p>
    <w:p>
      <w:pPr>
        <w:spacing w:after="0" w:line="281" w:lineRule="auto"/>
        <w:rPr>
          <w:sz w:val="20"/>
          <w:szCs w:val="20"/>
          <w:color w:val="auto"/>
        </w:rPr>
      </w:pPr>
      <w:r>
        <w:rPr>
          <w:rFonts w:ascii="Arial" w:cs="Arial" w:eastAsia="Arial" w:hAnsi="Arial"/>
          <w:sz w:val="19"/>
          <w:szCs w:val="19"/>
          <w:color w:val="auto"/>
        </w:rPr>
        <w:t>Our common stock is traded under the symbol “CADL” on the Nasdaq Global Market and has been publicly traded since July 27, 2021. Prior to this time, there was no public market for our common stock.</w:t>
      </w:r>
    </w:p>
    <w:p>
      <w:pPr>
        <w:spacing w:after="0" w:line="45" w:lineRule="exact"/>
        <w:rPr>
          <w:sz w:val="20"/>
          <w:szCs w:val="20"/>
          <w:color w:val="auto"/>
        </w:rPr>
      </w:pPr>
    </w:p>
    <w:p>
      <w:pPr>
        <w:ind w:right="380"/>
        <w:spacing w:after="0" w:line="253" w:lineRule="auto"/>
        <w:rPr>
          <w:sz w:val="20"/>
          <w:szCs w:val="20"/>
          <w:color w:val="auto"/>
        </w:rPr>
      </w:pPr>
      <w:r>
        <w:rPr>
          <w:rFonts w:ascii="Arial" w:cs="Arial" w:eastAsia="Arial" w:hAnsi="Arial"/>
          <w:sz w:val="19"/>
          <w:szCs w:val="19"/>
          <w:color w:val="auto"/>
        </w:rPr>
        <w:t>On March 21, 2024, there were approximately 118 registered holders of record of our common stock. The actual number of stockholders is greater than this number of record holders, and includes stockholders who are beneficial owners, but whose shares are held in street name by brokers and other nominees. The number of holders of record also does not include stockholders whose shares may be held in trust by other entities.</w:t>
      </w:r>
    </w:p>
    <w:p>
      <w:pPr>
        <w:spacing w:after="0" w:line="6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Dividend Policy</w:t>
      </w:r>
    </w:p>
    <w:p>
      <w:pPr>
        <w:spacing w:after="0" w:line="124" w:lineRule="exact"/>
        <w:rPr>
          <w:sz w:val="20"/>
          <w:szCs w:val="20"/>
          <w:color w:val="auto"/>
        </w:rPr>
      </w:pPr>
    </w:p>
    <w:p>
      <w:pPr>
        <w:jc w:val="both"/>
        <w:ind w:right="40"/>
        <w:spacing w:after="0" w:line="272" w:lineRule="auto"/>
        <w:rPr>
          <w:sz w:val="20"/>
          <w:szCs w:val="20"/>
          <w:color w:val="auto"/>
        </w:rPr>
      </w:pPr>
      <w:r>
        <w:rPr>
          <w:rFonts w:ascii="Arial" w:cs="Arial" w:eastAsia="Arial" w:hAnsi="Arial"/>
          <w:sz w:val="18"/>
          <w:szCs w:val="18"/>
          <w:color w:val="auto"/>
        </w:rPr>
        <w:t>We have never declared or paid any dividends on our capital stock. We currently intend to retain all available funds and any future earnings, if any, to fund the development and expansion of our business and we do not anticipate paying any cash dividends in the foreseeable future. Any future determination to pay dividends will be made at the discretion of our board of directors. Investors should not purchase our common stock with the expectation of receiving cash dividends.</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Unregistered Sales of Equity Securities and Use of Proceeds</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Recent Sales of Unregistered Equity Securities</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color w:val="auto"/>
        </w:rPr>
        <w:t>None.</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Use of Proceeds</w:t>
      </w:r>
    </w:p>
    <w:p>
      <w:pPr>
        <w:spacing w:after="0" w:line="116" w:lineRule="exact"/>
        <w:rPr>
          <w:sz w:val="20"/>
          <w:szCs w:val="20"/>
          <w:color w:val="auto"/>
        </w:rPr>
      </w:pPr>
    </w:p>
    <w:p>
      <w:pPr>
        <w:ind w:right="80"/>
        <w:spacing w:after="0" w:line="250" w:lineRule="auto"/>
        <w:rPr>
          <w:sz w:val="20"/>
          <w:szCs w:val="20"/>
          <w:color w:val="auto"/>
        </w:rPr>
      </w:pPr>
      <w:r>
        <w:rPr>
          <w:rFonts w:ascii="Arial" w:cs="Arial" w:eastAsia="Arial" w:hAnsi="Arial"/>
          <w:sz w:val="19"/>
          <w:szCs w:val="19"/>
          <w:color w:val="auto"/>
        </w:rPr>
        <w:t>The offer and sale of all the shares of our common stock in our initial public offering were registered under the Securities Act pursuant to a registration statement on Form S-1 (Reg. No. 333-257444), as amended, which was declared effective by the SEC on July 26, 2021. There has been no material change in the expected use of the net proceeds from our Annual Report on Form 10-K for the year ended December 31, 2022 as filed with the SEC on March 30, 2023.</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Purchases of Equity Securities by the Issuer and Affiliated Purchasers</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color w:val="auto"/>
        </w:rPr>
        <w:t>None.</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 [Reserved].</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98</w:t>
      </w:r>
    </w:p>
    <w:p>
      <w:pPr>
        <w:sectPr>
          <w:pgSz w:w="12240" w:h="15840" w:orient="portrait"/>
          <w:cols w:equalWidth="0" w:num="1">
            <w:col w:w="10080"/>
          </w:cols>
          <w:pgMar w:left="1080" w:top="1058" w:right="1080" w:bottom="173" w:gutter="0" w:footer="0" w:header="0"/>
        </w:sectPr>
      </w:pPr>
    </w:p>
    <w:bookmarkStart w:id="102" w:name="page103"/>
    <w:bookmarkEnd w:id="102"/>
    <w:p>
      <w:pPr>
        <w:spacing w:after="0"/>
        <w:rPr>
          <w:sz w:val="20"/>
          <w:szCs w:val="20"/>
          <w:color w:val="auto"/>
        </w:rPr>
      </w:pPr>
      <w:r>
        <w:rPr>
          <w:rFonts w:ascii="Arial" w:cs="Arial" w:eastAsia="Arial" w:hAnsi="Arial"/>
          <w:sz w:val="19"/>
          <w:szCs w:val="19"/>
          <w:b w:val="1"/>
          <w:bCs w:val="1"/>
          <w:color w:val="auto"/>
        </w:rPr>
        <w:t>Item 7. Management’s Discussion and Analysis of Financial Condition and Results of Operations.</w:t>
      </w:r>
    </w:p>
    <w:p>
      <w:pPr>
        <w:spacing w:after="0" w:line="124" w:lineRule="exact"/>
        <w:rPr>
          <w:sz w:val="20"/>
          <w:szCs w:val="20"/>
          <w:color w:val="auto"/>
        </w:rPr>
      </w:pPr>
    </w:p>
    <w:p>
      <w:pPr>
        <w:ind w:right="60"/>
        <w:spacing w:after="0" w:line="248" w:lineRule="auto"/>
        <w:rPr>
          <w:sz w:val="20"/>
          <w:szCs w:val="20"/>
          <w:color w:val="auto"/>
        </w:rPr>
      </w:pPr>
      <w:r>
        <w:rPr>
          <w:rFonts w:ascii="Arial" w:cs="Arial" w:eastAsia="Arial" w:hAnsi="Arial"/>
          <w:sz w:val="19"/>
          <w:szCs w:val="19"/>
          <w:color w:val="auto"/>
        </w:rPr>
        <w:t>You should read the following discussion and analysis of our financial condition and results of operations together with our consolidated financial statements and the related notes and other financial information included elsewhere in this Annual Report on Form 10-K. Some of the information contained in this discussion and analysis contains forward-looking statements that involve risks and uncertainties. You should review the section titled “Risk factors” in this Annual Report on Form 10-K for a discussion of important factors that could cause actual results to differ materially from the results described below.</w:t>
      </w:r>
    </w:p>
    <w:p>
      <w:pPr>
        <w:spacing w:after="0" w:line="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Overview</w:t>
      </w:r>
    </w:p>
    <w:p>
      <w:pPr>
        <w:spacing w:after="0" w:line="124" w:lineRule="exact"/>
        <w:rPr>
          <w:sz w:val="20"/>
          <w:szCs w:val="20"/>
          <w:color w:val="auto"/>
        </w:rPr>
      </w:pPr>
    </w:p>
    <w:p>
      <w:pPr>
        <w:spacing w:after="0" w:line="243" w:lineRule="auto"/>
        <w:rPr>
          <w:sz w:val="20"/>
          <w:szCs w:val="20"/>
          <w:color w:val="auto"/>
        </w:rPr>
      </w:pPr>
      <w:r>
        <w:rPr>
          <w:rFonts w:ascii="Arial" w:cs="Arial" w:eastAsia="Arial" w:hAnsi="Arial"/>
          <w:sz w:val="19"/>
          <w:szCs w:val="19"/>
          <w:color w:val="auto"/>
        </w:rPr>
        <w:t>We are a clinical stage biopharmaceutical company focused on developing off-the-shelf viral immunotherapies that elicit an individualized, systemic anti-tumor immune response to help patients fight cancer. Our engineered viruses are designed to induce a systemic anti-tumor response due to immunogenic cell death through direct viral-mediated cytotoxicity in cancer cells, thus releasing tumor neo-antigens and creating a pro-inflammatory microenvironment at the site of injection. This is intended to lead to in-situ vaccination against the injected tumor and uninjected distant metastases. Our viral immunotherapy approach utilizes intratumoral administration of genetically engineered viruses to induce tumor cell death and elicit a systemic anti-tumor response. Local delivery enables us to achieve these effects while aiming to minimize systemic toxicity. The immune cells induced by these viral immunotherapies are believed to target patients’ specific tumor antigens, potentially improving responses in immunologically “hot” tumors while at the same time infiltrating the tumor microenvironment, transforming non-inflamed “cold” tumors with limited immune response into “hot” tumors. While our product candidates are administered directly into the tumor, we have observed systemic immune response in our preclinical studies and clinical trials that may indicate the potential of our product candidates to induce systemic immune response against distal, uninjected tumors, also known as an “abscopal” effect.</w:t>
      </w:r>
    </w:p>
    <w:p>
      <w:pPr>
        <w:spacing w:after="0" w:line="223" w:lineRule="exact"/>
        <w:rPr>
          <w:sz w:val="20"/>
          <w:szCs w:val="20"/>
          <w:color w:val="auto"/>
        </w:rPr>
      </w:pPr>
    </w:p>
    <w:p>
      <w:pPr>
        <w:ind w:right="140"/>
        <w:spacing w:after="0" w:line="250" w:lineRule="auto"/>
        <w:rPr>
          <w:sz w:val="20"/>
          <w:szCs w:val="20"/>
          <w:color w:val="auto"/>
        </w:rPr>
      </w:pPr>
      <w:r>
        <w:rPr>
          <w:rFonts w:ascii="Arial" w:cs="Arial" w:eastAsia="Arial" w:hAnsi="Arial"/>
          <w:sz w:val="19"/>
          <w:szCs w:val="19"/>
          <w:color w:val="auto"/>
        </w:rPr>
        <w:t>We believe viral immunotherapy is among the most promising cancer treatment modalities today. Our goal is to further improve patient outcomes through viral immunotherapies by selecting the optimal vector, specific transgenes and clinical indications for each tumor type while optimizing product candidate attributes, such as high-titer formulation, intratumoral administration to induce systemic anti-tumor immunity, and storage conditions that could potentially lower logistical barriers for patients and clinicians.</w:t>
      </w:r>
    </w:p>
    <w:p>
      <w:pPr>
        <w:spacing w:after="0" w:line="74" w:lineRule="exact"/>
        <w:rPr>
          <w:sz w:val="20"/>
          <w:szCs w:val="20"/>
          <w:color w:val="auto"/>
        </w:rPr>
      </w:pPr>
    </w:p>
    <w:p>
      <w:pPr>
        <w:ind w:right="560"/>
        <w:spacing w:after="0" w:line="281" w:lineRule="auto"/>
        <w:rPr>
          <w:sz w:val="20"/>
          <w:szCs w:val="20"/>
          <w:color w:val="auto"/>
        </w:rPr>
      </w:pPr>
      <w:r>
        <w:rPr>
          <w:rFonts w:ascii="Arial" w:cs="Arial" w:eastAsia="Arial" w:hAnsi="Arial"/>
          <w:sz w:val="19"/>
          <w:szCs w:val="19"/>
          <w:color w:val="auto"/>
        </w:rPr>
        <w:t>We have established two clinical off-the-shelf viral immunotherapy platforms based on novel, genetically modified adenovirus and herpes simplex virus (HSV) constructs, respectively.</w:t>
      </w:r>
    </w:p>
    <w:p>
      <w:pPr>
        <w:spacing w:after="0" w:line="144" w:lineRule="exact"/>
        <w:rPr>
          <w:sz w:val="20"/>
          <w:szCs w:val="20"/>
          <w:color w:val="auto"/>
        </w:rPr>
      </w:pPr>
    </w:p>
    <w:p>
      <w:pPr>
        <w:ind w:right="180"/>
        <w:spacing w:after="0" w:line="260" w:lineRule="auto"/>
        <w:rPr>
          <w:sz w:val="20"/>
          <w:szCs w:val="20"/>
          <w:color w:val="auto"/>
        </w:rPr>
      </w:pPr>
      <w:r>
        <w:rPr>
          <w:rFonts w:ascii="Arial" w:cs="Arial" w:eastAsia="Arial" w:hAnsi="Arial"/>
          <w:sz w:val="19"/>
          <w:szCs w:val="19"/>
          <w:color w:val="auto"/>
        </w:rPr>
        <w:t>Our most advanced product candidate, CAN-2409, is an off-the-shelf adenovirus product candidate which is administered in conjunction with the prodrug valacyclovir, that has generated promising clinical activity across a range of solid tumor indications. CAN-2409 is currently being studied in the following ongoing clinical trials:</w:t>
      </w:r>
    </w:p>
    <w:p>
      <w:pPr>
        <w:spacing w:after="0" w:line="185" w:lineRule="exact"/>
        <w:rPr>
          <w:sz w:val="20"/>
          <w:szCs w:val="20"/>
          <w:color w:val="auto"/>
        </w:rPr>
      </w:pPr>
    </w:p>
    <w:p>
      <w:pPr>
        <w:ind w:left="640" w:hanging="280"/>
        <w:spacing w:after="0"/>
        <w:tabs>
          <w:tab w:leader="none" w:pos="640" w:val="left"/>
        </w:tabs>
        <w:numPr>
          <w:ilvl w:val="0"/>
          <w:numId w:val="69"/>
        </w:numPr>
        <w:rPr>
          <w:rFonts w:ascii="Arial" w:cs="Arial" w:eastAsia="Arial" w:hAnsi="Arial"/>
          <w:sz w:val="19"/>
          <w:szCs w:val="19"/>
          <w:color w:val="auto"/>
        </w:rPr>
      </w:pPr>
      <w:r>
        <w:rPr>
          <w:rFonts w:ascii="Arial" w:cs="Arial" w:eastAsia="Arial" w:hAnsi="Arial"/>
          <w:sz w:val="19"/>
          <w:szCs w:val="19"/>
          <w:i w:val="1"/>
          <w:iCs w:val="1"/>
          <w:color w:val="auto"/>
        </w:rPr>
        <w:t>Prostate Cancer</w:t>
      </w:r>
    </w:p>
    <w:p>
      <w:pPr>
        <w:spacing w:after="0" w:line="52" w:lineRule="exact"/>
        <w:rPr>
          <w:sz w:val="20"/>
          <w:szCs w:val="20"/>
          <w:color w:val="auto"/>
        </w:rPr>
      </w:pPr>
    </w:p>
    <w:p>
      <w:pPr>
        <w:ind w:left="1180" w:right="260" w:hanging="273"/>
        <w:spacing w:after="0" w:line="245" w:lineRule="auto"/>
        <w:tabs>
          <w:tab w:leader="none" w:pos="1180" w:val="left"/>
        </w:tabs>
        <w:numPr>
          <w:ilvl w:val="0"/>
          <w:numId w:val="70"/>
        </w:numPr>
        <w:rPr>
          <w:rFonts w:ascii="Courier New" w:cs="Courier New" w:eastAsia="Courier New" w:hAnsi="Courier New"/>
          <w:sz w:val="19"/>
          <w:szCs w:val="19"/>
          <w:color w:val="auto"/>
        </w:rPr>
      </w:pPr>
      <w:r>
        <w:rPr>
          <w:rFonts w:ascii="Arial" w:cs="Arial" w:eastAsia="Arial" w:hAnsi="Arial"/>
          <w:sz w:val="19"/>
          <w:szCs w:val="19"/>
          <w:color w:val="auto"/>
        </w:rPr>
        <w:t>A pivotal phase 3 randomized, triple-blinded and placebo-controlled clinical trial in the United States under a Special Protocol Assessment (SPA), with the U.S. Food and Drug Administration (FDA) evaluating 711 evaluable patients with newly diagnosed, localized prostate cancer who have an intermediate or high-risk for progression. We completed enrollment of this trial in September 2021, and we expect to report topline data in the fourth quarter of 2024.</w:t>
      </w:r>
    </w:p>
    <w:p>
      <w:pPr>
        <w:spacing w:after="0" w:line="80" w:lineRule="exact"/>
        <w:rPr>
          <w:sz w:val="20"/>
          <w:szCs w:val="20"/>
          <w:color w:val="auto"/>
        </w:rPr>
      </w:pPr>
    </w:p>
    <w:p>
      <w:pPr>
        <w:ind w:left="1180" w:hanging="273"/>
        <w:spacing w:after="0" w:line="247" w:lineRule="auto"/>
        <w:tabs>
          <w:tab w:leader="none" w:pos="1180" w:val="left"/>
        </w:tabs>
        <w:numPr>
          <w:ilvl w:val="1"/>
          <w:numId w:val="71"/>
        </w:numPr>
        <w:rPr>
          <w:rFonts w:ascii="Courier New" w:cs="Courier New" w:eastAsia="Courier New" w:hAnsi="Courier New"/>
          <w:sz w:val="19"/>
          <w:szCs w:val="19"/>
          <w:color w:val="auto"/>
        </w:rPr>
      </w:pPr>
      <w:r>
        <w:rPr>
          <w:rFonts w:ascii="Arial" w:cs="Arial" w:eastAsia="Arial" w:hAnsi="Arial"/>
          <w:sz w:val="19"/>
          <w:szCs w:val="19"/>
          <w:color w:val="auto"/>
        </w:rPr>
        <w:t>A phase 2 randomized, double blind, placebo-controlled clinical trial in the United States evaluating 187 patients with low-to-intermediate risk, localized prostate cancer undergoing active surveillance. We completed enrollment of this trial in May 2019, and we expect to report topline data in the fourth quarter of 2024.</w:t>
      </w:r>
    </w:p>
    <w:p>
      <w:pPr>
        <w:spacing w:after="0" w:line="98" w:lineRule="exact"/>
        <w:rPr>
          <w:rFonts w:ascii="Courier New" w:cs="Courier New" w:eastAsia="Courier New" w:hAnsi="Courier New"/>
          <w:sz w:val="19"/>
          <w:szCs w:val="19"/>
          <w:color w:val="auto"/>
        </w:rPr>
      </w:pPr>
    </w:p>
    <w:p>
      <w:pPr>
        <w:ind w:left="640" w:hanging="280"/>
        <w:spacing w:after="0"/>
        <w:tabs>
          <w:tab w:leader="none" w:pos="640" w:val="left"/>
        </w:tabs>
        <w:numPr>
          <w:ilvl w:val="0"/>
          <w:numId w:val="71"/>
        </w:numPr>
        <w:rPr>
          <w:rFonts w:ascii="Arial" w:cs="Arial" w:eastAsia="Arial" w:hAnsi="Arial"/>
          <w:sz w:val="19"/>
          <w:szCs w:val="19"/>
          <w:color w:val="auto"/>
        </w:rPr>
      </w:pPr>
      <w:r>
        <w:rPr>
          <w:rFonts w:ascii="Arial" w:cs="Arial" w:eastAsia="Arial" w:hAnsi="Arial"/>
          <w:sz w:val="19"/>
          <w:szCs w:val="19"/>
          <w:i w:val="1"/>
          <w:iCs w:val="1"/>
          <w:color w:val="auto"/>
        </w:rPr>
        <w:t>Non-Small Cell Lung Cancer (NSCLC)</w:t>
      </w:r>
    </w:p>
    <w:p>
      <w:pPr>
        <w:spacing w:after="0" w:line="111" w:lineRule="exact"/>
        <w:rPr>
          <w:rFonts w:ascii="Arial" w:cs="Arial" w:eastAsia="Arial" w:hAnsi="Arial"/>
          <w:sz w:val="19"/>
          <w:szCs w:val="19"/>
          <w:color w:val="auto"/>
        </w:rPr>
      </w:pPr>
    </w:p>
    <w:p>
      <w:pPr>
        <w:ind w:left="1180" w:right="20" w:hanging="273"/>
        <w:spacing w:after="0" w:line="242" w:lineRule="auto"/>
        <w:tabs>
          <w:tab w:leader="none" w:pos="1180" w:val="left"/>
        </w:tabs>
        <w:numPr>
          <w:ilvl w:val="1"/>
          <w:numId w:val="71"/>
        </w:numPr>
        <w:rPr>
          <w:rFonts w:ascii="Courier New" w:cs="Courier New" w:eastAsia="Courier New" w:hAnsi="Courier New"/>
          <w:sz w:val="19"/>
          <w:szCs w:val="19"/>
          <w:color w:val="auto"/>
        </w:rPr>
      </w:pPr>
      <w:r>
        <w:rPr>
          <w:rFonts w:ascii="Arial" w:cs="Arial" w:eastAsia="Arial" w:hAnsi="Arial"/>
          <w:sz w:val="19"/>
          <w:szCs w:val="19"/>
          <w:color w:val="auto"/>
        </w:rPr>
        <w:t>An open-label phase 2 clinical trial in the United States evaluating CAN-2409 plus valacyclovir in combination with continued PD-(L)1 checkpoint inhibitors in approximately 80 patients with stage III/IV NSCLC who have inadequate response to front line PD-(L)1 checkpoint inhibitor treatments. In April 2023, we announced that the FDA granted fast track designation for CAN-2409 plus valacyclovir in combination with pembrolizumab in order to improve survival or delay progression in patients with stage III (not candidates for curative intent) or stage IV NSCLC, who are resistant to first line PD-(L)1 inhibitor therapy and who do not have activating molecular driver mutations or have progressed on directed molecular therapy. These patients historically have had an expected median overall survival (mOS) of 10-14 months (Reckamp K et al. J Clin Onc 2022;40:2295-2306). The aim of the CAN-2409 immunotherapy antitumor strategy is to raise the tail on the survival curve by increasing the number of long survivors beyond 10-14 months.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99</w:t>
      </w:r>
    </w:p>
    <w:p>
      <w:pPr>
        <w:sectPr>
          <w:pgSz w:w="12240" w:h="15840" w:orient="portrait"/>
          <w:cols w:equalWidth="0" w:num="1">
            <w:col w:w="10060"/>
          </w:cols>
          <w:pgMar w:left="1080" w:top="1058" w:right="1100" w:bottom="173" w:gutter="0" w:footer="0" w:header="0"/>
        </w:sectPr>
      </w:pPr>
    </w:p>
    <w:bookmarkStart w:id="103" w:name="page104"/>
    <w:bookmarkEnd w:id="103"/>
    <w:p>
      <w:pPr>
        <w:ind w:left="820" w:right="120" w:hanging="273"/>
        <w:spacing w:after="0" w:line="242" w:lineRule="auto"/>
        <w:tabs>
          <w:tab w:leader="none" w:pos="820" w:val="left"/>
        </w:tabs>
        <w:numPr>
          <w:ilvl w:val="0"/>
          <w:numId w:val="72"/>
        </w:numPr>
        <w:rPr>
          <w:rFonts w:ascii="Courier New" w:cs="Courier New" w:eastAsia="Courier New" w:hAnsi="Courier New"/>
          <w:sz w:val="19"/>
          <w:szCs w:val="19"/>
          <w:color w:val="auto"/>
        </w:rPr>
      </w:pPr>
      <w:r>
        <w:rPr>
          <w:rFonts w:ascii="Arial" w:cs="Arial" w:eastAsia="Arial" w:hAnsi="Arial"/>
          <w:sz w:val="19"/>
          <w:szCs w:val="19"/>
          <w:color w:val="auto"/>
        </w:rPr>
        <w:t>In 2022, we presented data from this phase 2 clinical trial where patients who received two administrations of CAN-2409 plus prodrug and completed the 12-week treatment window that demonstrated: 1) increased infiltration of CD8+ cytotoxic tumor infiltrating lymphocytes in the tumor microenvironment, systemic expansion of effector T cells and increased soluble granzyme B levels in peripheral blood, 2) favorable changes in the trajectory of tumor progression, 3) decreased tumor size of target lesions in most patients, and 4) reduced size of uninjected tumor lesions (Aggarwal C et al. Abstract #9037 ASCO June 2022 and Aggarwal C et al. Candel Virtual R&amp;D Day, December 2022). These data were further supported in an update released September 2023, based on a data cutoff of August 1, 2023:</w:t>
      </w:r>
    </w:p>
    <w:p>
      <w:pPr>
        <w:spacing w:after="0" w:line="186" w:lineRule="exact"/>
        <w:rPr>
          <w:rFonts w:ascii="Courier New" w:cs="Courier New" w:eastAsia="Courier New" w:hAnsi="Courier New"/>
          <w:sz w:val="19"/>
          <w:szCs w:val="19"/>
          <w:color w:val="auto"/>
        </w:rPr>
      </w:pPr>
    </w:p>
    <w:p>
      <w:pPr>
        <w:ind w:left="1800" w:right="40" w:hanging="360"/>
        <w:spacing w:after="0" w:line="253" w:lineRule="auto"/>
        <w:tabs>
          <w:tab w:leader="none" w:pos="1800" w:val="left"/>
        </w:tabs>
        <w:numPr>
          <w:ilvl w:val="1"/>
          <w:numId w:val="72"/>
        </w:numPr>
        <w:rPr>
          <w:rFonts w:ascii="Arial" w:cs="Arial" w:eastAsia="Arial" w:hAnsi="Arial"/>
          <w:sz w:val="20"/>
          <w:szCs w:val="20"/>
          <w:color w:val="auto"/>
        </w:rPr>
      </w:pPr>
      <w:r>
        <w:rPr>
          <w:rFonts w:ascii="Arial" w:cs="Arial" w:eastAsia="Arial" w:hAnsi="Arial"/>
          <w:sz w:val="19"/>
          <w:szCs w:val="19"/>
          <w:color w:val="auto"/>
        </w:rPr>
        <w:t>40 patients across Cohort 1 (stable disease at enrollment; n=5) and Cohort 2 (progressive disease at enrollment; n=35) were evaluable, as they received two courses of CAN-2409 plus valacyclovir and completed the 12-week treatment window.</w:t>
      </w:r>
    </w:p>
    <w:p>
      <w:pPr>
        <w:spacing w:after="0" w:line="172" w:lineRule="exact"/>
        <w:rPr>
          <w:rFonts w:ascii="Arial" w:cs="Arial" w:eastAsia="Arial" w:hAnsi="Arial"/>
          <w:sz w:val="20"/>
          <w:szCs w:val="20"/>
          <w:color w:val="auto"/>
        </w:rPr>
      </w:pPr>
    </w:p>
    <w:p>
      <w:pPr>
        <w:ind w:left="1800" w:right="580" w:hanging="360"/>
        <w:spacing w:after="0" w:line="253" w:lineRule="auto"/>
        <w:tabs>
          <w:tab w:leader="none" w:pos="1800" w:val="left"/>
        </w:tabs>
        <w:numPr>
          <w:ilvl w:val="1"/>
          <w:numId w:val="72"/>
        </w:numPr>
        <w:rPr>
          <w:rFonts w:ascii="Arial" w:cs="Arial" w:eastAsia="Arial" w:hAnsi="Arial"/>
          <w:sz w:val="20"/>
          <w:szCs w:val="20"/>
          <w:color w:val="auto"/>
        </w:rPr>
      </w:pPr>
      <w:r>
        <w:rPr>
          <w:rFonts w:ascii="Arial" w:cs="Arial" w:eastAsia="Arial" w:hAnsi="Arial"/>
          <w:sz w:val="19"/>
          <w:szCs w:val="19"/>
          <w:color w:val="auto"/>
        </w:rPr>
        <w:t>While overall survival was not yet mature, we observed an encouraging number of long survivors. We believe that CAN-2409 may induce a new state of functional immunosurveillance and durable disease control in a subset of the patients.</w:t>
      </w:r>
    </w:p>
    <w:p>
      <w:pPr>
        <w:spacing w:after="0" w:line="172" w:lineRule="exact"/>
        <w:rPr>
          <w:rFonts w:ascii="Arial" w:cs="Arial" w:eastAsia="Arial" w:hAnsi="Arial"/>
          <w:sz w:val="20"/>
          <w:szCs w:val="20"/>
          <w:color w:val="auto"/>
        </w:rPr>
      </w:pPr>
    </w:p>
    <w:p>
      <w:pPr>
        <w:ind w:left="1800" w:right="200" w:hanging="360"/>
        <w:spacing w:after="0" w:line="249" w:lineRule="auto"/>
        <w:tabs>
          <w:tab w:leader="none" w:pos="1800" w:val="left"/>
        </w:tabs>
        <w:numPr>
          <w:ilvl w:val="1"/>
          <w:numId w:val="72"/>
        </w:numPr>
        <w:rPr>
          <w:rFonts w:ascii="Arial" w:cs="Arial" w:eastAsia="Arial" w:hAnsi="Arial"/>
          <w:sz w:val="20"/>
          <w:szCs w:val="20"/>
          <w:color w:val="auto"/>
        </w:rPr>
      </w:pPr>
      <w:r>
        <w:rPr>
          <w:rFonts w:ascii="Arial" w:cs="Arial" w:eastAsia="Arial" w:hAnsi="Arial"/>
          <w:sz w:val="19"/>
          <w:szCs w:val="19"/>
          <w:color w:val="auto"/>
        </w:rPr>
        <w:t>Of the 40 evaluable patients, 15 patients had lived ≥ 12 months; of these, 10 patients had lived &gt; 18 months, of whom 70% (7/10) were alive as of last follow up. All 4 patients (100%) with overall survival &gt; 24 months were alive at last follow up, with the longest reaching 31.7 months.</w:t>
      </w:r>
    </w:p>
    <w:p>
      <w:pPr>
        <w:spacing w:after="0" w:line="175" w:lineRule="exact"/>
        <w:rPr>
          <w:rFonts w:ascii="Arial" w:cs="Arial" w:eastAsia="Arial" w:hAnsi="Arial"/>
          <w:sz w:val="20"/>
          <w:szCs w:val="20"/>
          <w:color w:val="auto"/>
        </w:rPr>
      </w:pPr>
    </w:p>
    <w:p>
      <w:pPr>
        <w:ind w:left="1800" w:right="200" w:hanging="360"/>
        <w:spacing w:after="0" w:line="268" w:lineRule="auto"/>
        <w:tabs>
          <w:tab w:leader="none" w:pos="1800" w:val="left"/>
        </w:tabs>
        <w:numPr>
          <w:ilvl w:val="1"/>
          <w:numId w:val="72"/>
        </w:numPr>
        <w:rPr>
          <w:rFonts w:ascii="Arial" w:cs="Arial" w:eastAsia="Arial" w:hAnsi="Arial"/>
          <w:sz w:val="20"/>
          <w:szCs w:val="20"/>
          <w:color w:val="auto"/>
        </w:rPr>
      </w:pPr>
      <w:r>
        <w:rPr>
          <w:rFonts w:ascii="Arial" w:cs="Arial" w:eastAsia="Arial" w:hAnsi="Arial"/>
          <w:sz w:val="19"/>
          <w:szCs w:val="19"/>
          <w:color w:val="auto"/>
        </w:rPr>
        <w:t>An additional 18 out of the 40 evaluable patients were also alive but had not yet reached 12 months of follow up.</w:t>
      </w:r>
    </w:p>
    <w:p>
      <w:pPr>
        <w:spacing w:after="0" w:line="156" w:lineRule="exact"/>
        <w:rPr>
          <w:rFonts w:ascii="Arial" w:cs="Arial" w:eastAsia="Arial" w:hAnsi="Arial"/>
          <w:sz w:val="20"/>
          <w:szCs w:val="20"/>
          <w:color w:val="auto"/>
        </w:rPr>
      </w:pPr>
    </w:p>
    <w:p>
      <w:pPr>
        <w:ind w:left="1800" w:hanging="360"/>
        <w:spacing w:after="0" w:line="249" w:lineRule="auto"/>
        <w:tabs>
          <w:tab w:leader="none" w:pos="1800" w:val="left"/>
        </w:tabs>
        <w:numPr>
          <w:ilvl w:val="1"/>
          <w:numId w:val="72"/>
        </w:numPr>
        <w:rPr>
          <w:rFonts w:ascii="Arial" w:cs="Arial" w:eastAsia="Arial" w:hAnsi="Arial"/>
          <w:sz w:val="20"/>
          <w:szCs w:val="20"/>
          <w:color w:val="auto"/>
        </w:rPr>
      </w:pPr>
      <w:r>
        <w:rPr>
          <w:rFonts w:ascii="Arial" w:cs="Arial" w:eastAsia="Arial" w:hAnsi="Arial"/>
          <w:sz w:val="19"/>
          <w:szCs w:val="19"/>
          <w:color w:val="auto"/>
        </w:rPr>
        <w:t>Notably, many patients treated with CAN-2409 had long survival (≥ 12 months) despite having disease features generally associated with advanced disease and reduced likelihood to benefit from immune checkpoint inhibitor therapy, such as low or negative PD-(L)1 expression, including:</w:t>
      </w:r>
    </w:p>
    <w:p>
      <w:pPr>
        <w:spacing w:after="0" w:line="196" w:lineRule="exact"/>
        <w:rPr>
          <w:rFonts w:ascii="Arial" w:cs="Arial" w:eastAsia="Arial" w:hAnsi="Arial"/>
          <w:sz w:val="20"/>
          <w:szCs w:val="20"/>
          <w:color w:val="auto"/>
        </w:rPr>
      </w:pPr>
    </w:p>
    <w:p>
      <w:pPr>
        <w:ind w:left="2520" w:right="380" w:hanging="360"/>
        <w:spacing w:after="0" w:line="253" w:lineRule="auto"/>
        <w:tabs>
          <w:tab w:leader="none" w:pos="2520" w:val="left"/>
        </w:tabs>
        <w:numPr>
          <w:ilvl w:val="2"/>
          <w:numId w:val="72"/>
        </w:numPr>
        <w:rPr>
          <w:rFonts w:ascii="Arial" w:cs="Arial" w:eastAsia="Arial" w:hAnsi="Arial"/>
          <w:sz w:val="20"/>
          <w:szCs w:val="20"/>
          <w:color w:val="auto"/>
        </w:rPr>
      </w:pPr>
      <w:r>
        <w:rPr>
          <w:rFonts w:ascii="Arial" w:cs="Arial" w:eastAsia="Arial" w:hAnsi="Arial"/>
          <w:sz w:val="19"/>
          <w:szCs w:val="19"/>
          <w:color w:val="auto"/>
        </w:rPr>
        <w:t>Amongst patients alive ≥ 12 months with known PD-(L)1 status (14/15), 93% had negative or low PD-(L)1 score (&lt;1 or between 1-49).</w:t>
      </w:r>
    </w:p>
    <w:p>
      <w:pPr>
        <w:spacing w:after="0" w:line="1" w:lineRule="exact"/>
        <w:rPr>
          <w:rFonts w:ascii="Arial" w:cs="Arial" w:eastAsia="Arial" w:hAnsi="Arial"/>
          <w:sz w:val="20"/>
          <w:szCs w:val="20"/>
          <w:color w:val="auto"/>
        </w:rPr>
      </w:pPr>
    </w:p>
    <w:p>
      <w:pPr>
        <w:ind w:left="2520" w:right="260" w:hanging="360"/>
        <w:spacing w:after="0" w:line="243" w:lineRule="auto"/>
        <w:tabs>
          <w:tab w:leader="none" w:pos="2520" w:val="left"/>
        </w:tabs>
        <w:numPr>
          <w:ilvl w:val="2"/>
          <w:numId w:val="72"/>
        </w:numPr>
        <w:rPr>
          <w:rFonts w:ascii="Arial" w:cs="Arial" w:eastAsia="Arial" w:hAnsi="Arial"/>
          <w:sz w:val="20"/>
          <w:szCs w:val="20"/>
          <w:color w:val="auto"/>
        </w:rPr>
      </w:pPr>
      <w:r>
        <w:rPr>
          <w:rFonts w:ascii="Arial" w:cs="Arial" w:eastAsia="Arial" w:hAnsi="Arial"/>
          <w:sz w:val="19"/>
          <w:szCs w:val="19"/>
          <w:color w:val="auto"/>
        </w:rPr>
        <w:t>Advanced disease with stage IV in 73% (11/15), lymph node involvement in 73% (11/15), pleural effusion in 40% (6/15), bone metastases in 27% (4/15), adrenal metastases in 20% (3/15), brain metastases in 13% (2/15), liver metastases in 7% (1/15), involvement of 3 or more organs in 13% (2/15), and Eastern Cooperative Oncology Group performance status 1 in 40% (6/15).</w:t>
      </w:r>
    </w:p>
    <w:p>
      <w:pPr>
        <w:spacing w:after="0" w:line="180" w:lineRule="exact"/>
        <w:rPr>
          <w:rFonts w:ascii="Arial" w:cs="Arial" w:eastAsia="Arial" w:hAnsi="Arial"/>
          <w:sz w:val="20"/>
          <w:szCs w:val="20"/>
          <w:color w:val="auto"/>
        </w:rPr>
      </w:pPr>
    </w:p>
    <w:p>
      <w:pPr>
        <w:ind w:left="1800" w:right="180" w:hanging="360"/>
        <w:spacing w:after="0" w:line="287" w:lineRule="auto"/>
        <w:tabs>
          <w:tab w:leader="none" w:pos="1800" w:val="left"/>
        </w:tabs>
        <w:numPr>
          <w:ilvl w:val="1"/>
          <w:numId w:val="72"/>
        </w:numPr>
        <w:rPr>
          <w:rFonts w:ascii="Arial" w:cs="Arial" w:eastAsia="Arial" w:hAnsi="Arial"/>
          <w:sz w:val="20"/>
          <w:szCs w:val="20"/>
          <w:color w:val="auto"/>
        </w:rPr>
      </w:pPr>
      <w:r>
        <w:rPr>
          <w:rFonts w:ascii="Arial" w:cs="Arial" w:eastAsia="Arial" w:hAnsi="Arial"/>
          <w:sz w:val="19"/>
          <w:szCs w:val="19"/>
          <w:color w:val="auto"/>
        </w:rPr>
        <w:t>There was a significant increase observed in activated central memory, effector-memory, effector T cells, and natural killer (NK) cells after CAN-2409 treatment. These include CD8+Ki67+IFN + T cells, CD8+ granzyme B+Ki67+ T cells, CD56+CD16+granzyme B+ NK cells, and + T cells. We also observed an increase in memory B cells after CAN-2409 treatment</w:t>
      </w:r>
    </w:p>
    <w:p>
      <w:pPr>
        <w:spacing w:after="0" w:line="143" w:lineRule="exact"/>
        <w:rPr>
          <w:rFonts w:ascii="Arial" w:cs="Arial" w:eastAsia="Arial" w:hAnsi="Arial"/>
          <w:sz w:val="20"/>
          <w:szCs w:val="20"/>
          <w:color w:val="auto"/>
        </w:rPr>
      </w:pPr>
    </w:p>
    <w:p>
      <w:pPr>
        <w:ind w:left="1800" w:right="280" w:hanging="360"/>
        <w:spacing w:after="0" w:line="253" w:lineRule="auto"/>
        <w:tabs>
          <w:tab w:leader="none" w:pos="1800" w:val="left"/>
        </w:tabs>
        <w:numPr>
          <w:ilvl w:val="1"/>
          <w:numId w:val="72"/>
        </w:numPr>
        <w:rPr>
          <w:rFonts w:ascii="Arial" w:cs="Arial" w:eastAsia="Arial" w:hAnsi="Arial"/>
          <w:sz w:val="20"/>
          <w:szCs w:val="20"/>
          <w:color w:val="auto"/>
        </w:rPr>
      </w:pPr>
      <w:r>
        <w:rPr>
          <w:rFonts w:ascii="Arial" w:cs="Arial" w:eastAsia="Arial" w:hAnsi="Arial"/>
          <w:sz w:val="19"/>
          <w:szCs w:val="19"/>
          <w:color w:val="auto"/>
        </w:rPr>
        <w:t>We observed an increase in effector/cytotoxic T cells and NK cells in peripheral blood after the second CAN-2409 administration associated with subsequent improved survival (≥ 12 months).</w:t>
      </w:r>
    </w:p>
    <w:p>
      <w:pPr>
        <w:spacing w:after="0" w:line="172" w:lineRule="exact"/>
        <w:rPr>
          <w:rFonts w:ascii="Arial" w:cs="Arial" w:eastAsia="Arial" w:hAnsi="Arial"/>
          <w:sz w:val="20"/>
          <w:szCs w:val="20"/>
          <w:color w:val="auto"/>
        </w:rPr>
      </w:pPr>
    </w:p>
    <w:p>
      <w:pPr>
        <w:ind w:left="1800" w:hanging="360"/>
        <w:spacing w:after="0" w:line="247" w:lineRule="auto"/>
        <w:tabs>
          <w:tab w:leader="none" w:pos="1800" w:val="left"/>
        </w:tabs>
        <w:numPr>
          <w:ilvl w:val="1"/>
          <w:numId w:val="72"/>
        </w:numPr>
        <w:rPr>
          <w:rFonts w:ascii="Arial" w:cs="Arial" w:eastAsia="Arial" w:hAnsi="Arial"/>
          <w:sz w:val="20"/>
          <w:szCs w:val="20"/>
          <w:color w:val="auto"/>
        </w:rPr>
      </w:pPr>
      <w:r>
        <w:rPr>
          <w:rFonts w:ascii="Arial" w:cs="Arial" w:eastAsia="Arial" w:hAnsi="Arial"/>
          <w:sz w:val="19"/>
          <w:szCs w:val="19"/>
          <w:color w:val="auto"/>
        </w:rPr>
        <w:t>We continued to observe a favorable safety/tolerability profile after CAN-2409 treatment in NSCLC. There were no dose limiting toxicities or grade 4 or greater treatment related adverse events. Grade 3 treatment related adverse events were reported in &lt; 10% of patients receiving at least one dose of CAN-2409 (safety population), which we believe compares favorably to current standard of care (SoC) options.</w:t>
      </w:r>
    </w:p>
    <w:p>
      <w:pPr>
        <w:spacing w:after="0" w:line="175" w:lineRule="exact"/>
        <w:rPr>
          <w:sz w:val="20"/>
          <w:szCs w:val="20"/>
          <w:color w:val="auto"/>
        </w:rPr>
      </w:pPr>
    </w:p>
    <w:p>
      <w:pPr>
        <w:ind w:left="1080" w:right="580" w:hanging="360"/>
        <w:spacing w:after="0" w:line="262" w:lineRule="auto"/>
        <w:tabs>
          <w:tab w:leader="none" w:pos="1080" w:val="left"/>
        </w:tabs>
        <w:numPr>
          <w:ilvl w:val="1"/>
          <w:numId w:val="73"/>
        </w:numPr>
        <w:rPr>
          <w:rFonts w:ascii="Courier New" w:cs="Courier New" w:eastAsia="Courier New" w:hAnsi="Courier New"/>
          <w:sz w:val="19"/>
          <w:szCs w:val="19"/>
          <w:color w:val="auto"/>
        </w:rPr>
      </w:pPr>
      <w:r>
        <w:rPr>
          <w:rFonts w:ascii="Arial" w:cs="Arial" w:eastAsia="Arial" w:hAnsi="Arial"/>
          <w:sz w:val="19"/>
          <w:szCs w:val="19"/>
          <w:color w:val="auto"/>
        </w:rPr>
        <w:t>Candel expects to share topline overall survival data for Cohort 2 in the second quarter of 2024, assuming data are mature at that time.</w:t>
      </w:r>
    </w:p>
    <w:p>
      <w:pPr>
        <w:spacing w:after="0" w:line="399" w:lineRule="exact"/>
        <w:rPr>
          <w:rFonts w:ascii="Courier New" w:cs="Courier New" w:eastAsia="Courier New" w:hAnsi="Courier New"/>
          <w:sz w:val="19"/>
          <w:szCs w:val="19"/>
          <w:color w:val="auto"/>
        </w:rPr>
      </w:pPr>
    </w:p>
    <w:p>
      <w:pPr>
        <w:ind w:left="280" w:hanging="280"/>
        <w:spacing w:after="0"/>
        <w:tabs>
          <w:tab w:leader="none" w:pos="280" w:val="left"/>
        </w:tabs>
        <w:numPr>
          <w:ilvl w:val="0"/>
          <w:numId w:val="73"/>
        </w:numPr>
        <w:rPr>
          <w:rFonts w:ascii="Arial" w:cs="Arial" w:eastAsia="Arial" w:hAnsi="Arial"/>
          <w:sz w:val="19"/>
          <w:szCs w:val="19"/>
          <w:color w:val="auto"/>
        </w:rPr>
      </w:pPr>
      <w:r>
        <w:rPr>
          <w:rFonts w:ascii="Arial" w:cs="Arial" w:eastAsia="Arial" w:hAnsi="Arial"/>
          <w:sz w:val="19"/>
          <w:szCs w:val="19"/>
          <w:i w:val="1"/>
          <w:iCs w:val="1"/>
          <w:color w:val="auto"/>
        </w:rPr>
        <w:t>Pancreatic Cancer</w:t>
      </w:r>
    </w:p>
    <w:p>
      <w:pPr>
        <w:spacing w:after="0" w:line="200" w:lineRule="exact"/>
        <w:rPr>
          <w:sz w:val="20"/>
          <w:szCs w:val="20"/>
          <w:color w:val="auto"/>
        </w:rPr>
      </w:pPr>
    </w:p>
    <w:p>
      <w:pPr>
        <w:spacing w:after="0" w:line="282" w:lineRule="exact"/>
        <w:rPr>
          <w:sz w:val="20"/>
          <w:szCs w:val="20"/>
          <w:color w:val="auto"/>
        </w:rPr>
      </w:pPr>
    </w:p>
    <w:p>
      <w:pPr>
        <w:jc w:val="center"/>
        <w:ind w:right="320"/>
        <w:spacing w:after="0"/>
        <w:rPr>
          <w:sz w:val="20"/>
          <w:szCs w:val="20"/>
          <w:color w:val="auto"/>
        </w:rPr>
      </w:pPr>
      <w:r>
        <w:rPr>
          <w:rFonts w:ascii="Arial" w:cs="Arial" w:eastAsia="Arial" w:hAnsi="Arial"/>
          <w:sz w:val="19"/>
          <w:szCs w:val="19"/>
          <w:color w:val="auto"/>
        </w:rPr>
        <w:t>100</w:t>
      </w:r>
    </w:p>
    <w:p>
      <w:pPr>
        <w:sectPr>
          <w:pgSz w:w="12240" w:h="15840" w:orient="portrait"/>
          <w:cols w:equalWidth="0" w:num="1">
            <w:col w:w="9680"/>
          </w:cols>
          <w:pgMar w:left="1440" w:top="1062" w:right="1120" w:bottom="173" w:gutter="0" w:footer="0" w:header="0"/>
        </w:sectPr>
      </w:pPr>
    </w:p>
    <w:bookmarkStart w:id="104" w:name="page105"/>
    <w:bookmarkEnd w:id="104"/>
    <w:p>
      <w:pPr>
        <w:ind w:left="1440" w:right="80" w:hanging="360"/>
        <w:spacing w:after="0" w:line="242" w:lineRule="auto"/>
        <w:tabs>
          <w:tab w:leader="none" w:pos="1440" w:val="left"/>
        </w:tabs>
        <w:numPr>
          <w:ilvl w:val="0"/>
          <w:numId w:val="74"/>
        </w:numPr>
        <w:rPr>
          <w:rFonts w:ascii="Courier New" w:cs="Courier New" w:eastAsia="Courier New" w:hAnsi="Courier New"/>
          <w:sz w:val="19"/>
          <w:szCs w:val="19"/>
          <w:color w:val="auto"/>
        </w:rPr>
      </w:pPr>
      <w:r>
        <w:rPr>
          <w:rFonts w:ascii="Arial" w:cs="Arial" w:eastAsia="Arial" w:hAnsi="Arial"/>
          <w:sz w:val="19"/>
          <w:szCs w:val="19"/>
          <w:color w:val="auto"/>
        </w:rPr>
        <w:t>We have initiated a randomized phase 2 clinical trial in the United States evaluating CAN-2409 in borderline resectable and locally advanced pancreatic adenocarcinoma. In December 2023, we announced that the FDA granted fast track designation for CAN-2409 plus valacyclovir for the treatment of patients with pancreatic ductal adenocarcinoma (PDAC) to improve overall survival. In March 2023, in connection with our cost management and dynamic portfolio management initiatives, we elected to pause new enrollment in this randomized phase 2 clinical trial, subject to additional funding. Despite the pause in new patient enrollment, we presented initial positive interim overall survival and immunological biomarker clinical data at the Society for Immunotherapy of Cancer (SITC) Annual Meeting in the fourth quarter of 2023.</w:t>
      </w:r>
    </w:p>
    <w:p>
      <w:pPr>
        <w:spacing w:after="0" w:line="185" w:lineRule="exact"/>
        <w:rPr>
          <w:sz w:val="20"/>
          <w:szCs w:val="20"/>
          <w:color w:val="auto"/>
        </w:rPr>
      </w:pPr>
    </w:p>
    <w:p>
      <w:pPr>
        <w:ind w:left="1440" w:right="140" w:hanging="360"/>
        <w:spacing w:after="0" w:line="245" w:lineRule="auto"/>
        <w:tabs>
          <w:tab w:leader="none" w:pos="1440" w:val="left"/>
        </w:tabs>
        <w:numPr>
          <w:ilvl w:val="0"/>
          <w:numId w:val="75"/>
        </w:numPr>
        <w:rPr>
          <w:rFonts w:ascii="Courier New" w:cs="Courier New" w:eastAsia="Courier New" w:hAnsi="Courier New"/>
          <w:sz w:val="19"/>
          <w:szCs w:val="19"/>
          <w:color w:val="auto"/>
        </w:rPr>
      </w:pPr>
      <w:r>
        <w:rPr>
          <w:rFonts w:ascii="Arial" w:cs="Arial" w:eastAsia="Arial" w:hAnsi="Arial"/>
          <w:sz w:val="19"/>
          <w:szCs w:val="19"/>
          <w:color w:val="auto"/>
        </w:rPr>
        <w:t>In a previous phase 1b trial, a statistically significant increase in the number of CD8+ tumor infiltrating lymphocytes was observed. Initial positive phase 2 data revealed notable improvements in patients with borderline resectable pancreatic ductal adenorcarcinoma (PDAC) following CAN-2409 plus prodrug together with SoC chemoradiation; the following data were disclosed as of the August 21, 2023 data cutoff</w:t>
      </w:r>
    </w:p>
    <w:p>
      <w:pPr>
        <w:spacing w:after="0" w:line="180" w:lineRule="exact"/>
        <w:rPr>
          <w:rFonts w:ascii="Courier New" w:cs="Courier New" w:eastAsia="Courier New" w:hAnsi="Courier New"/>
          <w:sz w:val="19"/>
          <w:szCs w:val="19"/>
          <w:color w:val="auto"/>
        </w:rPr>
      </w:pPr>
    </w:p>
    <w:p>
      <w:pPr>
        <w:ind w:left="2160" w:hanging="360"/>
        <w:spacing w:after="0"/>
        <w:tabs>
          <w:tab w:leader="none" w:pos="2160" w:val="left"/>
        </w:tabs>
        <w:numPr>
          <w:ilvl w:val="1"/>
          <w:numId w:val="75"/>
        </w:numPr>
        <w:rPr>
          <w:rFonts w:ascii="Arial" w:cs="Arial" w:eastAsia="Arial" w:hAnsi="Arial"/>
          <w:sz w:val="20"/>
          <w:szCs w:val="20"/>
          <w:color w:val="auto"/>
        </w:rPr>
      </w:pPr>
      <w:r>
        <w:rPr>
          <w:rFonts w:ascii="Arial" w:cs="Arial" w:eastAsia="Arial" w:hAnsi="Arial"/>
          <w:sz w:val="19"/>
          <w:szCs w:val="19"/>
          <w:color w:val="auto"/>
        </w:rPr>
        <w:t>Clinical data highlights:</w:t>
      </w:r>
    </w:p>
    <w:p>
      <w:pPr>
        <w:spacing w:after="0" w:line="229" w:lineRule="exact"/>
        <w:rPr>
          <w:rFonts w:ascii="Arial" w:cs="Arial" w:eastAsia="Arial" w:hAnsi="Arial"/>
          <w:sz w:val="20"/>
          <w:szCs w:val="20"/>
          <w:color w:val="auto"/>
        </w:rPr>
      </w:pPr>
    </w:p>
    <w:p>
      <w:pPr>
        <w:ind w:left="2880" w:right="360" w:hanging="360"/>
        <w:spacing w:after="0" w:line="268" w:lineRule="auto"/>
        <w:tabs>
          <w:tab w:leader="none" w:pos="2880" w:val="left"/>
        </w:tabs>
        <w:numPr>
          <w:ilvl w:val="2"/>
          <w:numId w:val="75"/>
        </w:numPr>
        <w:rPr>
          <w:rFonts w:ascii="Arial" w:cs="Arial" w:eastAsia="Arial" w:hAnsi="Arial"/>
          <w:sz w:val="20"/>
          <w:szCs w:val="20"/>
          <w:color w:val="auto"/>
        </w:rPr>
      </w:pPr>
      <w:r>
        <w:rPr>
          <w:rFonts w:ascii="Arial" w:cs="Arial" w:eastAsia="Arial" w:hAnsi="Arial"/>
          <w:sz w:val="19"/>
          <w:szCs w:val="19"/>
          <w:color w:val="auto"/>
        </w:rPr>
        <w:t>Prolonged and sustained survival was observed after experimental treatment with CAN-2409 in patients with borderline resectable PDAC.</w:t>
      </w:r>
    </w:p>
    <w:p>
      <w:pPr>
        <w:spacing w:after="0" w:line="177" w:lineRule="exact"/>
        <w:rPr>
          <w:rFonts w:ascii="Arial" w:cs="Arial" w:eastAsia="Arial" w:hAnsi="Arial"/>
          <w:sz w:val="20"/>
          <w:szCs w:val="20"/>
          <w:color w:val="auto"/>
        </w:rPr>
      </w:pPr>
    </w:p>
    <w:p>
      <w:pPr>
        <w:ind w:left="2880" w:right="120" w:hanging="360"/>
        <w:spacing w:after="0" w:line="249" w:lineRule="auto"/>
        <w:tabs>
          <w:tab w:leader="none" w:pos="2880" w:val="left"/>
        </w:tabs>
        <w:numPr>
          <w:ilvl w:val="2"/>
          <w:numId w:val="75"/>
        </w:numPr>
        <w:rPr>
          <w:rFonts w:ascii="Arial" w:cs="Arial" w:eastAsia="Arial" w:hAnsi="Arial"/>
          <w:sz w:val="20"/>
          <w:szCs w:val="20"/>
          <w:color w:val="auto"/>
        </w:rPr>
      </w:pPr>
      <w:r>
        <w:rPr>
          <w:rFonts w:ascii="Arial" w:cs="Arial" w:eastAsia="Arial" w:hAnsi="Arial"/>
          <w:sz w:val="19"/>
          <w:szCs w:val="19"/>
          <w:color w:val="auto"/>
        </w:rPr>
        <w:t>An estimated survival rate of 71.4% at both 24 and 36 months was observed in patients who received CAN-2409 regimen together with SoC chemoradiation prior to surgery, versus only 16.7% estimated survival at 24 and 36 months with SoC chemoradiation prior to surgery</w:t>
      </w:r>
    </w:p>
    <w:p>
      <w:pPr>
        <w:spacing w:after="0" w:line="196" w:lineRule="exact"/>
        <w:rPr>
          <w:rFonts w:ascii="Arial" w:cs="Arial" w:eastAsia="Arial" w:hAnsi="Arial"/>
          <w:sz w:val="20"/>
          <w:szCs w:val="20"/>
          <w:color w:val="auto"/>
        </w:rPr>
      </w:pPr>
    </w:p>
    <w:p>
      <w:pPr>
        <w:ind w:left="2880" w:right="140" w:hanging="360"/>
        <w:spacing w:after="0" w:line="249" w:lineRule="auto"/>
        <w:tabs>
          <w:tab w:leader="none" w:pos="2880" w:val="left"/>
        </w:tabs>
        <w:numPr>
          <w:ilvl w:val="2"/>
          <w:numId w:val="75"/>
        </w:numPr>
        <w:rPr>
          <w:rFonts w:ascii="Arial" w:cs="Arial" w:eastAsia="Arial" w:hAnsi="Arial"/>
          <w:sz w:val="20"/>
          <w:szCs w:val="20"/>
          <w:color w:val="auto"/>
        </w:rPr>
      </w:pPr>
      <w:r>
        <w:rPr>
          <w:rFonts w:ascii="Arial" w:cs="Arial" w:eastAsia="Arial" w:hAnsi="Arial"/>
          <w:sz w:val="19"/>
          <w:szCs w:val="19"/>
          <w:color w:val="auto"/>
        </w:rPr>
        <w:t>Importantly, 5 out of 7 patients who received CAN-2409 were still alive at the time of data cutoff, with two patients surviving more than 45 months from enrollment. Only one patient randomized to control SoC chemotherapy remained alive at data cutoff (alive at 43 months).</w:t>
      </w:r>
    </w:p>
    <w:p>
      <w:pPr>
        <w:spacing w:after="0" w:line="196" w:lineRule="exact"/>
        <w:rPr>
          <w:rFonts w:ascii="Arial" w:cs="Arial" w:eastAsia="Arial" w:hAnsi="Arial"/>
          <w:sz w:val="20"/>
          <w:szCs w:val="20"/>
          <w:color w:val="auto"/>
        </w:rPr>
      </w:pPr>
    </w:p>
    <w:p>
      <w:pPr>
        <w:ind w:left="2880" w:right="100" w:hanging="360"/>
        <w:spacing w:after="0" w:line="253" w:lineRule="auto"/>
        <w:tabs>
          <w:tab w:leader="none" w:pos="2880" w:val="left"/>
        </w:tabs>
        <w:numPr>
          <w:ilvl w:val="2"/>
          <w:numId w:val="75"/>
        </w:numPr>
        <w:rPr>
          <w:rFonts w:ascii="Arial" w:cs="Arial" w:eastAsia="Arial" w:hAnsi="Arial"/>
          <w:sz w:val="20"/>
          <w:szCs w:val="20"/>
          <w:color w:val="auto"/>
        </w:rPr>
      </w:pPr>
      <w:r>
        <w:rPr>
          <w:rFonts w:ascii="Arial" w:cs="Arial" w:eastAsia="Arial" w:hAnsi="Arial"/>
          <w:sz w:val="19"/>
          <w:szCs w:val="19"/>
          <w:color w:val="auto"/>
        </w:rPr>
        <w:t>mOS has not been reached yet in patients who received CAN-2409 because most of the patients in the CAN-2409 group were still alive at data cut-off; mOS was 12.5 months in the control arm.</w:t>
      </w:r>
    </w:p>
    <w:p>
      <w:pPr>
        <w:spacing w:after="0" w:line="95" w:lineRule="exact"/>
        <w:rPr>
          <w:rFonts w:ascii="Arial" w:cs="Arial" w:eastAsia="Arial" w:hAnsi="Arial"/>
          <w:sz w:val="20"/>
          <w:szCs w:val="20"/>
          <w:color w:val="auto"/>
        </w:rPr>
      </w:pPr>
    </w:p>
    <w:p>
      <w:pPr>
        <w:ind w:left="2880" w:hanging="360"/>
        <w:spacing w:after="0" w:line="268" w:lineRule="auto"/>
        <w:tabs>
          <w:tab w:leader="none" w:pos="2880" w:val="left"/>
        </w:tabs>
        <w:numPr>
          <w:ilvl w:val="2"/>
          <w:numId w:val="75"/>
        </w:numPr>
        <w:rPr>
          <w:rFonts w:ascii="Arial" w:cs="Arial" w:eastAsia="Arial" w:hAnsi="Arial"/>
          <w:sz w:val="20"/>
          <w:szCs w:val="20"/>
          <w:color w:val="auto"/>
        </w:rPr>
      </w:pPr>
      <w:r>
        <w:rPr>
          <w:rFonts w:ascii="Arial" w:cs="Arial" w:eastAsia="Arial" w:hAnsi="Arial"/>
          <w:sz w:val="19"/>
          <w:szCs w:val="19"/>
          <w:color w:val="auto"/>
        </w:rPr>
        <w:t>Disease course was altered after salvage chemotherapy with improved CA19-9 levels and ongoing survival in CAN-2409 arm, but not in control arm.</w:t>
      </w:r>
    </w:p>
    <w:p>
      <w:pPr>
        <w:spacing w:after="0" w:line="156" w:lineRule="exact"/>
        <w:rPr>
          <w:rFonts w:ascii="Arial" w:cs="Arial" w:eastAsia="Arial" w:hAnsi="Arial"/>
          <w:sz w:val="20"/>
          <w:szCs w:val="20"/>
          <w:color w:val="auto"/>
        </w:rPr>
      </w:pPr>
    </w:p>
    <w:p>
      <w:pPr>
        <w:ind w:left="2160" w:hanging="360"/>
        <w:spacing w:after="0"/>
        <w:tabs>
          <w:tab w:leader="none" w:pos="2160" w:val="left"/>
        </w:tabs>
        <w:numPr>
          <w:ilvl w:val="1"/>
          <w:numId w:val="75"/>
        </w:numPr>
        <w:rPr>
          <w:rFonts w:ascii="Arial" w:cs="Arial" w:eastAsia="Arial" w:hAnsi="Arial"/>
          <w:sz w:val="20"/>
          <w:szCs w:val="20"/>
          <w:color w:val="auto"/>
        </w:rPr>
      </w:pPr>
      <w:r>
        <w:rPr>
          <w:rFonts w:ascii="Arial" w:cs="Arial" w:eastAsia="Arial" w:hAnsi="Arial"/>
          <w:sz w:val="19"/>
          <w:szCs w:val="19"/>
          <w:color w:val="auto"/>
        </w:rPr>
        <w:t>Biomarker data analysis demonstrated:</w:t>
      </w:r>
    </w:p>
    <w:p>
      <w:pPr>
        <w:spacing w:after="0" w:line="229" w:lineRule="exact"/>
        <w:rPr>
          <w:rFonts w:ascii="Arial" w:cs="Arial" w:eastAsia="Arial" w:hAnsi="Arial"/>
          <w:sz w:val="20"/>
          <w:szCs w:val="20"/>
          <w:color w:val="auto"/>
        </w:rPr>
      </w:pPr>
    </w:p>
    <w:p>
      <w:pPr>
        <w:ind w:left="2880" w:hanging="360"/>
        <w:spacing w:after="0"/>
        <w:tabs>
          <w:tab w:leader="none" w:pos="2880" w:val="left"/>
        </w:tabs>
        <w:numPr>
          <w:ilvl w:val="2"/>
          <w:numId w:val="75"/>
        </w:numPr>
        <w:rPr>
          <w:rFonts w:ascii="Arial" w:cs="Arial" w:eastAsia="Arial" w:hAnsi="Arial"/>
          <w:sz w:val="20"/>
          <w:szCs w:val="20"/>
          <w:color w:val="auto"/>
        </w:rPr>
      </w:pPr>
      <w:r>
        <w:rPr>
          <w:rFonts w:ascii="Arial" w:cs="Arial" w:eastAsia="Arial" w:hAnsi="Arial"/>
          <w:sz w:val="19"/>
          <w:szCs w:val="19"/>
          <w:color w:val="auto"/>
        </w:rPr>
        <w:t>Consistent and robust activation of immune response after dosing with CAN-2409.</w:t>
      </w:r>
    </w:p>
    <w:p>
      <w:pPr>
        <w:spacing w:after="0" w:line="229" w:lineRule="exact"/>
        <w:rPr>
          <w:rFonts w:ascii="Arial" w:cs="Arial" w:eastAsia="Arial" w:hAnsi="Arial"/>
          <w:sz w:val="20"/>
          <w:szCs w:val="20"/>
          <w:color w:val="auto"/>
        </w:rPr>
      </w:pPr>
    </w:p>
    <w:p>
      <w:pPr>
        <w:ind w:left="2880" w:right="20" w:hanging="360"/>
        <w:spacing w:after="0" w:line="253" w:lineRule="auto"/>
        <w:tabs>
          <w:tab w:leader="none" w:pos="2880" w:val="left"/>
        </w:tabs>
        <w:numPr>
          <w:ilvl w:val="2"/>
          <w:numId w:val="75"/>
        </w:numPr>
        <w:rPr>
          <w:rFonts w:ascii="Arial" w:cs="Arial" w:eastAsia="Arial" w:hAnsi="Arial"/>
          <w:sz w:val="20"/>
          <w:szCs w:val="20"/>
          <w:color w:val="auto"/>
        </w:rPr>
      </w:pPr>
      <w:r>
        <w:rPr>
          <w:rFonts w:ascii="Arial" w:cs="Arial" w:eastAsia="Arial" w:hAnsi="Arial"/>
          <w:sz w:val="19"/>
          <w:szCs w:val="19"/>
          <w:color w:val="auto"/>
        </w:rPr>
        <w:t>In pancreatic tissue of patients treated with CAN-2409 plus prodrug together with SoC (but not SoC alone), dense aggregates of CD8+ granzyme B positive cytotoxic T cells, dendritic cells, and B cells were observed in the tumor microenvironment.</w:t>
      </w:r>
    </w:p>
    <w:p>
      <w:pPr>
        <w:spacing w:after="0" w:line="193" w:lineRule="exact"/>
        <w:rPr>
          <w:rFonts w:ascii="Arial" w:cs="Arial" w:eastAsia="Arial" w:hAnsi="Arial"/>
          <w:sz w:val="20"/>
          <w:szCs w:val="20"/>
          <w:color w:val="auto"/>
        </w:rPr>
      </w:pPr>
    </w:p>
    <w:p>
      <w:pPr>
        <w:ind w:left="2880" w:right="700" w:hanging="360"/>
        <w:spacing w:after="0" w:line="253" w:lineRule="auto"/>
        <w:tabs>
          <w:tab w:leader="none" w:pos="2880" w:val="left"/>
        </w:tabs>
        <w:numPr>
          <w:ilvl w:val="2"/>
          <w:numId w:val="75"/>
        </w:numPr>
        <w:rPr>
          <w:rFonts w:ascii="Arial" w:cs="Arial" w:eastAsia="Arial" w:hAnsi="Arial"/>
          <w:sz w:val="20"/>
          <w:szCs w:val="20"/>
          <w:color w:val="auto"/>
        </w:rPr>
      </w:pPr>
      <w:r>
        <w:rPr>
          <w:rFonts w:ascii="Arial" w:cs="Arial" w:eastAsia="Arial" w:hAnsi="Arial"/>
          <w:sz w:val="19"/>
          <w:szCs w:val="19"/>
          <w:color w:val="auto"/>
        </w:rPr>
        <w:t>Increased levels of soluble granzymes B and H as well as pro-inflammatory cytokines, including IFN-γ, were observed in peripheral blood after CAN-2409 treatment, but not with control treatment.</w:t>
      </w:r>
    </w:p>
    <w:p>
      <w:pPr>
        <w:spacing w:after="0" w:line="172" w:lineRule="exact"/>
        <w:rPr>
          <w:rFonts w:ascii="Arial" w:cs="Arial" w:eastAsia="Arial" w:hAnsi="Arial"/>
          <w:sz w:val="20"/>
          <w:szCs w:val="20"/>
          <w:color w:val="auto"/>
        </w:rPr>
      </w:pPr>
    </w:p>
    <w:p>
      <w:pPr>
        <w:ind w:left="2160" w:hanging="360"/>
        <w:spacing w:after="0"/>
        <w:tabs>
          <w:tab w:leader="none" w:pos="2160" w:val="left"/>
        </w:tabs>
        <w:numPr>
          <w:ilvl w:val="1"/>
          <w:numId w:val="75"/>
        </w:numPr>
        <w:rPr>
          <w:rFonts w:ascii="Arial" w:cs="Arial" w:eastAsia="Arial" w:hAnsi="Arial"/>
          <w:sz w:val="20"/>
          <w:szCs w:val="20"/>
          <w:color w:val="auto"/>
        </w:rPr>
      </w:pPr>
      <w:r>
        <w:rPr>
          <w:rFonts w:ascii="Arial" w:cs="Arial" w:eastAsia="Arial" w:hAnsi="Arial"/>
          <w:sz w:val="19"/>
          <w:szCs w:val="19"/>
          <w:color w:val="auto"/>
        </w:rPr>
        <w:t>Safety analysis:</w:t>
      </w:r>
    </w:p>
    <w:p>
      <w:pPr>
        <w:spacing w:after="0" w:line="229" w:lineRule="exact"/>
        <w:rPr>
          <w:rFonts w:ascii="Arial" w:cs="Arial" w:eastAsia="Arial" w:hAnsi="Arial"/>
          <w:sz w:val="20"/>
          <w:szCs w:val="20"/>
          <w:color w:val="auto"/>
        </w:rPr>
      </w:pPr>
    </w:p>
    <w:p>
      <w:pPr>
        <w:ind w:left="2880" w:hanging="360"/>
        <w:spacing w:after="0"/>
        <w:tabs>
          <w:tab w:leader="none" w:pos="2880" w:val="left"/>
        </w:tabs>
        <w:numPr>
          <w:ilvl w:val="2"/>
          <w:numId w:val="75"/>
        </w:numPr>
        <w:rPr>
          <w:rFonts w:ascii="Arial" w:cs="Arial" w:eastAsia="Arial" w:hAnsi="Arial"/>
          <w:sz w:val="20"/>
          <w:szCs w:val="20"/>
          <w:color w:val="auto"/>
        </w:rPr>
      </w:pPr>
      <w:r>
        <w:rPr>
          <w:rFonts w:ascii="Arial" w:cs="Arial" w:eastAsia="Arial" w:hAnsi="Arial"/>
          <w:sz w:val="19"/>
          <w:szCs w:val="19"/>
          <w:color w:val="auto"/>
        </w:rPr>
        <w:t>CAN-2409 was associated with a favorable tolerability profile.</w:t>
      </w:r>
    </w:p>
    <w:p>
      <w:pPr>
        <w:spacing w:after="0" w:line="229" w:lineRule="exact"/>
        <w:rPr>
          <w:rFonts w:ascii="Arial" w:cs="Arial" w:eastAsia="Arial" w:hAnsi="Arial"/>
          <w:sz w:val="20"/>
          <w:szCs w:val="20"/>
          <w:color w:val="auto"/>
        </w:rPr>
      </w:pPr>
    </w:p>
    <w:p>
      <w:pPr>
        <w:ind w:left="2880" w:right="140" w:hanging="360"/>
        <w:spacing w:after="0" w:line="268" w:lineRule="auto"/>
        <w:tabs>
          <w:tab w:leader="none" w:pos="2880" w:val="left"/>
        </w:tabs>
        <w:numPr>
          <w:ilvl w:val="2"/>
          <w:numId w:val="75"/>
        </w:numPr>
        <w:rPr>
          <w:rFonts w:ascii="Arial" w:cs="Arial" w:eastAsia="Arial" w:hAnsi="Arial"/>
          <w:sz w:val="20"/>
          <w:szCs w:val="20"/>
          <w:color w:val="auto"/>
        </w:rPr>
      </w:pPr>
      <w:r>
        <w:rPr>
          <w:rFonts w:ascii="Arial" w:cs="Arial" w:eastAsia="Arial" w:hAnsi="Arial"/>
          <w:sz w:val="19"/>
          <w:szCs w:val="19"/>
          <w:color w:val="auto"/>
        </w:rPr>
        <w:t>Addition of CAN-2409 regimen to SoC was generally well tolerated, with no reported dose-limiting toxicities, including no cases of pancreatitis.</w:t>
      </w:r>
    </w:p>
    <w:p>
      <w:pPr>
        <w:spacing w:after="0" w:line="200" w:lineRule="exact"/>
        <w:rPr>
          <w:sz w:val="20"/>
          <w:szCs w:val="20"/>
          <w:color w:val="auto"/>
        </w:rPr>
      </w:pPr>
    </w:p>
    <w:p>
      <w:pPr>
        <w:spacing w:after="0" w:line="275"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Our lead HSV-based product candidate, CAN-3110, is currently in an ongoing investigator-sponsored phase 1 clinical trial in our initial target indication of recurrent high-grade glioma (HGG). In February 2024, we announced that the FDA granted fast track designation for CAN-3110 for the treatment of patients with recurrent HGG to improve overall survival.</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101</w:t>
      </w:r>
    </w:p>
    <w:p>
      <w:pPr>
        <w:sectPr>
          <w:pgSz w:w="12240" w:h="15840" w:orient="portrait"/>
          <w:cols w:equalWidth="0" w:num="1">
            <w:col w:w="10080"/>
          </w:cols>
          <w:pgMar w:left="1080" w:top="1062" w:right="1080" w:bottom="173" w:gutter="0" w:footer="0" w:header="0"/>
        </w:sectPr>
      </w:pPr>
    </w:p>
    <w:bookmarkStart w:id="105" w:name="page106"/>
    <w:bookmarkEnd w:id="105"/>
    <w:p>
      <w:pPr>
        <w:ind w:right="40"/>
        <w:spacing w:after="0" w:line="244" w:lineRule="auto"/>
        <w:rPr>
          <w:sz w:val="20"/>
          <w:szCs w:val="20"/>
          <w:color w:val="auto"/>
        </w:rPr>
      </w:pPr>
      <w:r>
        <w:rPr>
          <w:rFonts w:ascii="Arial" w:cs="Arial" w:eastAsia="Arial" w:hAnsi="Arial"/>
          <w:sz w:val="19"/>
          <w:szCs w:val="19"/>
          <w:color w:val="auto"/>
        </w:rPr>
        <w:t>These patients have failed SoC treatment and have a poor prognosis (expected overall survival &lt; 6-9 months). Initial overall survival data from this clinical trial was presented in an oral presentation at the ASCO Annual Meeting in June 2021, and additional biomarker data was reported in an oral presentation at the Society for Neuro-Oncology Annual Meeting in November 2021. During our Research and Development Day in December 2022, we presented updated data demonstrating that CAN-3110 was well tolerated with no observed dose-limiting toxicity; achieved 11.6 months mOS with a single dose; and showed evidence of persistent herpes simplex virus 1 (HSV-1) antigen and HSV-1 replication consistent with mechanism of action as well as robust evidence of immune activation. In May 2023, we presented clinical and biomarker data from this ongoing clinical trial in an oral presentation at the American Society of Gene &amp; Cell Therapy (ASGCT) Annual Meeting where we reported mOS in arm A (n=41) ongoing at 11.8 months and mOS in arm B (n=9) ongoing at 12.0 months as of the April 20, 2023 data cutoff. Safety and tolerability data reported no dose-limiting toxicities in both arm A and arm B.</w:t>
      </w:r>
    </w:p>
    <w:p>
      <w:pPr>
        <w:spacing w:after="0" w:line="120" w:lineRule="exact"/>
        <w:rPr>
          <w:sz w:val="20"/>
          <w:szCs w:val="20"/>
          <w:color w:val="auto"/>
        </w:rPr>
      </w:pPr>
    </w:p>
    <w:p>
      <w:pPr>
        <w:ind w:right="20"/>
        <w:spacing w:after="0" w:line="243" w:lineRule="auto"/>
        <w:rPr>
          <w:sz w:val="20"/>
          <w:szCs w:val="20"/>
          <w:color w:val="auto"/>
        </w:rPr>
      </w:pPr>
      <w:r>
        <w:rPr>
          <w:rFonts w:ascii="Arial" w:cs="Arial" w:eastAsia="Arial" w:hAnsi="Arial"/>
          <w:sz w:val="19"/>
          <w:szCs w:val="19"/>
          <w:color w:val="auto"/>
        </w:rPr>
        <w:t xml:space="preserve">In October 2023, we jointly published an article in </w:t>
      </w:r>
      <w:r>
        <w:rPr>
          <w:rFonts w:ascii="Arial" w:cs="Arial" w:eastAsia="Arial" w:hAnsi="Arial"/>
          <w:sz w:val="19"/>
          <w:szCs w:val="19"/>
          <w:i w:val="1"/>
          <w:iCs w:val="1"/>
          <w:color w:val="auto"/>
        </w:rPr>
        <w:t>Nature</w:t>
      </w:r>
      <w:r>
        <w:rPr>
          <w:rFonts w:ascii="Arial" w:cs="Arial" w:eastAsia="Arial" w:hAnsi="Arial"/>
          <w:sz w:val="19"/>
          <w:szCs w:val="19"/>
          <w:color w:val="auto"/>
        </w:rPr>
        <w:t xml:space="preserve"> that reported extended survival associated with immune activation in patients with recurrent HGG treated with CAN-3110. Notably, new data reported an increased survival in 66% of patients with positivity for anti-HSV1 antibodies (mOS of 14.2 months). Immune status was positively associated with survival both in patients with pre-existing HSV1 antibodies (pre-treatment) and in 33% of patients that, while negative at baseline, developed anti-HSV1 antibodies after a single injection of CAN-3110. Clinical responses were observed in both injected and uninjected lesions in patients with multifocal disease. Significant tumor responses in both arm A and arm B were observed, with continued reduction in tumor volume in a patient in arm B approximately one year after CAN-3110 treatment. Clinical response for this patient, in follow-up as of data cutoff, continued without additional treatment. Analysis of post-treatment samples demonstrated evidence of persistent HSV antigen expression and replication in both injected and uninjected tumor tissue associated with CD8+ T cell infiltration. The extent of immune activation, measured by gene profiling and quantification of immune cells in post-treatment specimens, was associated with the presence of anti-HSV1 antibodies and survival. Survival was also associated with the diversity of the T cell repertoire in circulating T cells, suggesting that patients treated with CAN-3110 were able to mount a diverse immune response against the virus and tumor antigens released during the oncolytic process had improved survival.</w:t>
      </w:r>
    </w:p>
    <w:p>
      <w:pPr>
        <w:spacing w:after="0" w:line="82" w:lineRule="exact"/>
        <w:rPr>
          <w:sz w:val="20"/>
          <w:szCs w:val="20"/>
          <w:color w:val="auto"/>
        </w:rPr>
      </w:pPr>
    </w:p>
    <w:p>
      <w:pPr>
        <w:ind w:right="100"/>
        <w:spacing w:after="0" w:line="253" w:lineRule="auto"/>
        <w:rPr>
          <w:sz w:val="20"/>
          <w:szCs w:val="20"/>
          <w:color w:val="auto"/>
        </w:rPr>
      </w:pPr>
      <w:r>
        <w:rPr>
          <w:rFonts w:ascii="Arial" w:cs="Arial" w:eastAsia="Arial" w:hAnsi="Arial"/>
          <w:sz w:val="19"/>
          <w:szCs w:val="19"/>
          <w:color w:val="auto"/>
        </w:rPr>
        <w:t>We are conducting an extension of the clinical trial known as arm C, in which patients with recurrent HGG will receive a repeat dosing regimen of CAN-3110 (up to six injections over four months). Clinical data from arm C will help evaluate whether multiple injections can increase mOS. This clinical trial extension is supported by the Break Through Cancer foundation.</w:t>
      </w:r>
    </w:p>
    <w:p>
      <w:pPr>
        <w:spacing w:after="0" w:line="211" w:lineRule="exact"/>
        <w:rPr>
          <w:sz w:val="20"/>
          <w:szCs w:val="20"/>
          <w:color w:val="auto"/>
        </w:rPr>
      </w:pPr>
    </w:p>
    <w:p>
      <w:pPr>
        <w:ind w:right="200"/>
        <w:spacing w:after="0" w:line="248" w:lineRule="auto"/>
        <w:rPr>
          <w:sz w:val="20"/>
          <w:szCs w:val="20"/>
          <w:color w:val="auto"/>
        </w:rPr>
      </w:pPr>
      <w:r>
        <w:rPr>
          <w:rFonts w:ascii="Arial" w:cs="Arial" w:eastAsia="Arial" w:hAnsi="Arial"/>
          <w:sz w:val="19"/>
          <w:szCs w:val="19"/>
          <w:color w:val="auto"/>
        </w:rPr>
        <w:t>We are also designing other novel viral immunotherapy candidates using our proprietary enLIGHTEN™ Discovery Platform, a systematic, iterative HSV-based discovery platform leveraging human biology and advanced analytics to create new viral immunotherapy candidates for solid tumors. In October 2022, we entered into a collaboration with the University of Pennsylvania (UPenn) Center for Cellular Immunotherapies to study the impact of novel viral immunotherapy candidates based on our enLIGHTEN™ Discovery Platform to strengthen the activity of UPenn’s investigational CAR-T cell therapies in difficult to treat solid tumors.</w:t>
      </w:r>
    </w:p>
    <w:p>
      <w:pPr>
        <w:spacing w:after="0" w:line="76" w:lineRule="exact"/>
        <w:rPr>
          <w:sz w:val="20"/>
          <w:szCs w:val="20"/>
          <w:color w:val="auto"/>
        </w:rPr>
      </w:pPr>
    </w:p>
    <w:p>
      <w:pPr>
        <w:ind w:right="20"/>
        <w:spacing w:after="0" w:line="245" w:lineRule="auto"/>
        <w:rPr>
          <w:sz w:val="20"/>
          <w:szCs w:val="20"/>
          <w:color w:val="auto"/>
        </w:rPr>
      </w:pPr>
      <w:r>
        <w:rPr>
          <w:rFonts w:ascii="Arial" w:cs="Arial" w:eastAsia="Arial" w:hAnsi="Arial"/>
          <w:sz w:val="19"/>
          <w:szCs w:val="19"/>
          <w:color w:val="auto"/>
        </w:rPr>
        <w:t>In November 2023, during the SITC 2023 Annual Meeting, we presented two posters describing the key elements of the platform and the development of the first experimental agent from the enLIGHTEN Discovery Platform. The new agent, Alpha-201 Macro1, is an investigational viral immunotherapy designed to interfere with the CD47/SIRPα pathway and activate innate immune surveillance. Results demonstrated monotherapy activity following local administration in a preclinical model of lung and breast cancer. Additional preclinical data presented at SITC confirmed the capability of the enLIGHTEN™ Advanced Analytics suite to predict optimal gene payload combinations to arm viral vectors, that enable the design of potential combination therapeutics to overcome tumor resistance especially in cancers resistant to ICI treatment.</w:t>
      </w:r>
    </w:p>
    <w:p>
      <w:pPr>
        <w:spacing w:after="0" w:line="84" w:lineRule="exact"/>
        <w:rPr>
          <w:sz w:val="20"/>
          <w:szCs w:val="20"/>
          <w:color w:val="auto"/>
        </w:rPr>
      </w:pPr>
    </w:p>
    <w:p>
      <w:pPr>
        <w:jc w:val="both"/>
        <w:ind w:right="120"/>
        <w:spacing w:after="0" w:line="260" w:lineRule="auto"/>
        <w:rPr>
          <w:sz w:val="20"/>
          <w:szCs w:val="20"/>
          <w:color w:val="auto"/>
        </w:rPr>
      </w:pPr>
      <w:r>
        <w:rPr>
          <w:rFonts w:ascii="Arial" w:cs="Arial" w:eastAsia="Arial" w:hAnsi="Arial"/>
          <w:sz w:val="19"/>
          <w:szCs w:val="19"/>
          <w:color w:val="auto"/>
        </w:rPr>
        <w:t>In March 2024, we announced the acceptance of an abstract at the American Association for Cancer Research's 2024 Annual Meeting related to the second candidate from our enLIGHTEN™ Discovery Platform, a first-in-class multimodal immunotherapy for induction of tertiary lymphoid structures as a novel therapeutic strategy for solid tumors.</w:t>
      </w:r>
    </w:p>
    <w:p>
      <w:pPr>
        <w:spacing w:after="0" w:line="65" w:lineRule="exact"/>
        <w:rPr>
          <w:sz w:val="20"/>
          <w:szCs w:val="20"/>
          <w:color w:val="auto"/>
        </w:rPr>
      </w:pPr>
    </w:p>
    <w:p>
      <w:pPr>
        <w:ind w:right="320"/>
        <w:spacing w:after="0" w:line="260" w:lineRule="auto"/>
        <w:rPr>
          <w:sz w:val="20"/>
          <w:szCs w:val="20"/>
          <w:color w:val="auto"/>
        </w:rPr>
      </w:pPr>
      <w:r>
        <w:rPr>
          <w:rFonts w:ascii="Arial" w:cs="Arial" w:eastAsia="Arial" w:hAnsi="Arial"/>
          <w:sz w:val="19"/>
          <w:szCs w:val="19"/>
          <w:color w:val="auto"/>
        </w:rPr>
        <w:t>We currently own development and commercialization rights for our programs in major markets, including the United States, Europe and Asia, allowing us to control development and seek approval in those areas as we prepare our commercialization efforts.</w:t>
      </w:r>
    </w:p>
    <w:p>
      <w:pPr>
        <w:spacing w:after="0" w:line="65" w:lineRule="exact"/>
        <w:rPr>
          <w:sz w:val="20"/>
          <w:szCs w:val="20"/>
          <w:color w:val="auto"/>
        </w:rPr>
      </w:pPr>
    </w:p>
    <w:p>
      <w:pPr>
        <w:ind w:right="80"/>
        <w:spacing w:after="0" w:line="250" w:lineRule="auto"/>
        <w:rPr>
          <w:sz w:val="20"/>
          <w:szCs w:val="20"/>
          <w:color w:val="auto"/>
        </w:rPr>
      </w:pPr>
      <w:r>
        <w:rPr>
          <w:rFonts w:ascii="Arial" w:cs="Arial" w:eastAsia="Arial" w:hAnsi="Arial"/>
          <w:sz w:val="19"/>
          <w:szCs w:val="19"/>
          <w:color w:val="auto"/>
        </w:rPr>
        <w:t>We were incorporated in Delaware in June 2003 as Advantagene, Inc. (Advantagene). In December 2019, Advantagene licensed substantially all the assets of Periphagen, a company focused on engineering HSV as a gene therapy vector, and in September 2020, licensed CAN-3110 from Mass General Brigham (MGB). In December 2020, we formally changed our name from Advantagene to Candel Therapeutics, Inc. We completed our initial public offering in July 2021.</w:t>
      </w:r>
    </w:p>
    <w:p>
      <w:pPr>
        <w:spacing w:after="0" w:line="74" w:lineRule="exact"/>
        <w:rPr>
          <w:sz w:val="20"/>
          <w:szCs w:val="20"/>
          <w:color w:val="auto"/>
        </w:rPr>
      </w:pPr>
    </w:p>
    <w:p>
      <w:pPr>
        <w:spacing w:after="0" w:line="281" w:lineRule="auto"/>
        <w:rPr>
          <w:sz w:val="20"/>
          <w:szCs w:val="20"/>
          <w:color w:val="auto"/>
        </w:rPr>
      </w:pPr>
      <w:r>
        <w:rPr>
          <w:rFonts w:ascii="Arial" w:cs="Arial" w:eastAsia="Arial" w:hAnsi="Arial"/>
          <w:sz w:val="19"/>
          <w:szCs w:val="19"/>
          <w:color w:val="auto"/>
        </w:rPr>
        <w:t>Our cash and cash equivalents were $35.4 million as of December 31, 2023. In accordance with the Financial Accounting Standards Board (FASB) Accounting Standards Codification, 205-40, Presentation of Financial Statements -</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102</w:t>
      </w:r>
    </w:p>
    <w:p>
      <w:pPr>
        <w:sectPr>
          <w:pgSz w:w="12240" w:h="15840" w:orient="portrait"/>
          <w:cols w:equalWidth="0" w:num="1">
            <w:col w:w="10080"/>
          </w:cols>
          <w:pgMar w:left="1080" w:top="1062" w:right="1080" w:bottom="173" w:gutter="0" w:footer="0" w:header="0"/>
        </w:sectPr>
      </w:pPr>
    </w:p>
    <w:bookmarkStart w:id="106" w:name="page107"/>
    <w:bookmarkEnd w:id="106"/>
    <w:p>
      <w:pPr>
        <w:spacing w:after="0" w:line="244" w:lineRule="auto"/>
        <w:rPr>
          <w:sz w:val="20"/>
          <w:szCs w:val="20"/>
          <w:color w:val="auto"/>
        </w:rPr>
      </w:pPr>
      <w:r>
        <w:rPr>
          <w:rFonts w:ascii="Arial" w:cs="Arial" w:eastAsia="Arial" w:hAnsi="Arial"/>
          <w:sz w:val="19"/>
          <w:szCs w:val="19"/>
          <w:color w:val="auto"/>
        </w:rPr>
        <w:t>Going Concern, we are required to assess our ability to continue as a going concern for the one-year look forward period following the date that the consolidated financial statements are issued. Based on our current operating plan and existing cash and cash equivalents, we determined that substantial doubt exists regarding our ability to continue as a going concern for the one-year period following the date these consolidated financial statements are issued. To sustain its future operations beyond such one-year period, we will require additional funding. We expect to finance our cash needs through a combination of public or private equity or debt financings, government grants, and other sources, which may include collaborations, strategic alliances and licensing arrangements with third parties. There is no assurance that we will be successful in obtaining sufficient funding on acceptable terms, if at all, and could be forced to delay, reduce, or eliminate some or all of its research, clinical trials, product development or future commercialization efforts, which could materially adversely affect our business prospects or our ability to continue as a going concern.</w:t>
      </w:r>
    </w:p>
    <w:p>
      <w:pPr>
        <w:spacing w:after="0" w:line="84" w:lineRule="exact"/>
        <w:rPr>
          <w:sz w:val="20"/>
          <w:szCs w:val="20"/>
          <w:color w:val="auto"/>
        </w:rPr>
      </w:pPr>
    </w:p>
    <w:p>
      <w:pPr>
        <w:ind w:right="20"/>
        <w:spacing w:after="0" w:line="253" w:lineRule="auto"/>
        <w:rPr>
          <w:sz w:val="20"/>
          <w:szCs w:val="20"/>
          <w:color w:val="auto"/>
        </w:rPr>
      </w:pPr>
      <w:r>
        <w:rPr>
          <w:rFonts w:ascii="Arial" w:cs="Arial" w:eastAsia="Arial" w:hAnsi="Arial"/>
          <w:sz w:val="19"/>
          <w:szCs w:val="19"/>
          <w:color w:val="auto"/>
        </w:rPr>
        <w:t>The accompanying consolidated financial statements do not include any adjustments that might result from the outcome of this uncertainty. Accordingly, the consolidated financial statements have been prepared on a basis that assumes we will continue as a going concern and that contemplates the realization of assets and satisfaction of liabilities and commitments in the ordinary course of business.</w:t>
      </w:r>
    </w:p>
    <w:p>
      <w:pPr>
        <w:spacing w:after="0" w:line="10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Collaborations</w:t>
      </w:r>
    </w:p>
    <w:p>
      <w:pPr>
        <w:spacing w:after="0" w:line="164" w:lineRule="exact"/>
        <w:rPr>
          <w:sz w:val="20"/>
          <w:szCs w:val="20"/>
          <w:color w:val="auto"/>
        </w:rPr>
      </w:pPr>
    </w:p>
    <w:p>
      <w:pPr>
        <w:ind w:right="1020"/>
        <w:spacing w:after="0" w:line="281" w:lineRule="auto"/>
        <w:rPr>
          <w:sz w:val="20"/>
          <w:szCs w:val="20"/>
          <w:color w:val="auto"/>
        </w:rPr>
      </w:pPr>
      <w:r>
        <w:rPr>
          <w:rFonts w:ascii="Arial" w:cs="Arial" w:eastAsia="Arial" w:hAnsi="Arial"/>
          <w:sz w:val="19"/>
          <w:szCs w:val="19"/>
          <w:color w:val="auto"/>
        </w:rPr>
        <w:t>We are a party to a number of license and collaboration agreements under which we license patents, patent applications and other intellectual property to and from third parties.</w:t>
      </w:r>
    </w:p>
    <w:p>
      <w:pPr>
        <w:spacing w:after="0" w:line="85" w:lineRule="exact"/>
        <w:rPr>
          <w:sz w:val="20"/>
          <w:szCs w:val="20"/>
          <w:color w:val="auto"/>
        </w:rPr>
      </w:pPr>
    </w:p>
    <w:p>
      <w:pPr>
        <w:ind w:right="20"/>
        <w:spacing w:after="0" w:line="244" w:lineRule="auto"/>
        <w:rPr>
          <w:sz w:val="20"/>
          <w:szCs w:val="20"/>
          <w:color w:val="auto"/>
        </w:rPr>
      </w:pPr>
      <w:r>
        <w:rPr>
          <w:rFonts w:ascii="Arial" w:cs="Arial" w:eastAsia="Arial" w:hAnsi="Arial"/>
          <w:sz w:val="19"/>
          <w:szCs w:val="19"/>
          <w:b w:val="1"/>
          <w:bCs w:val="1"/>
          <w:i w:val="1"/>
          <w:iCs w:val="1"/>
          <w:color w:val="auto"/>
        </w:rPr>
        <w:t xml:space="preserve">Periphagen. </w:t>
      </w:r>
      <w:r>
        <w:rPr>
          <w:rFonts w:ascii="Arial" w:cs="Arial" w:eastAsia="Arial" w:hAnsi="Arial"/>
          <w:sz w:val="19"/>
          <w:szCs w:val="19"/>
          <w:color w:val="auto"/>
        </w:rPr>
        <w:t>On December 9, 2019, we entered into a series of agreements, including an exclusive license agreement,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 novation agreement, an equipment purchase agreement and an intellectual property assignment agreement, collectively the Periphagen Agreements, with Periphagen, whereby we acquired certain assets and licensed certain rights (including specified patent rights and know-how, or the Licensed IP Rights) of Periphagen, primarily consisting of exclusive rights to their technology platform and a portfolio of pre-clinical, development stage virus vectors. The primary classes of assets are HSV-derived assets expressing neurotrophin-3 (or NT-3 Assets) and other HSV-derived assets (Gene Transfer Neuro-Assets). Under the license agreement, Periphagen granted us a worldwide exclusive license with the right to grant sublicenses through multiple tiers under the Licensed IP Rights to conduct research and to develop, make, have made, use, have used, offer for sale, have sold, export and import products incorporating the Licensed IP Rights in all fields of use except the treatment, diagnosis, and prevention of nononcologic skin diseases and conditions (including use as an aesthetic).</w:t>
      </w:r>
    </w:p>
    <w:p>
      <w:pPr>
        <w:spacing w:after="0" w:line="120" w:lineRule="exact"/>
        <w:rPr>
          <w:sz w:val="20"/>
          <w:szCs w:val="20"/>
          <w:color w:val="auto"/>
        </w:rPr>
      </w:pPr>
    </w:p>
    <w:p>
      <w:pPr>
        <w:ind w:right="80"/>
        <w:spacing w:after="0" w:line="246" w:lineRule="auto"/>
        <w:rPr>
          <w:sz w:val="20"/>
          <w:szCs w:val="20"/>
          <w:color w:val="auto"/>
        </w:rPr>
      </w:pPr>
      <w:r>
        <w:rPr>
          <w:rFonts w:ascii="Arial" w:cs="Arial" w:eastAsia="Arial" w:hAnsi="Arial"/>
          <w:sz w:val="19"/>
          <w:szCs w:val="19"/>
          <w:color w:val="auto"/>
        </w:rPr>
        <w:t>On June 7, 2023, we entered into an amendment to the exclusive license agreement. Under the amendment, our rights to the NT-3 Assets and Gene Transfer Neuro-Assets reverted to Periphagen, and we no longer have any obligations (including without limitation diligence obligations and payment obligations) with respect to the NT-3 Assets or Gene Transfer Neuro-Assets. With respect to the remaining Licensed IP Rights, we retained a worldwide exclusive license with the right to grant sublicenses through multiple tiers under the Licensed IP Rights to conduct research and to develop, make, have made, use, have used, offer for sale, have sold, export and import products incorporating the Licensed IP Rights in field of the treatment, diagnosis, and prevention of oncologic diseases and conditions.</w:t>
      </w:r>
    </w:p>
    <w:p>
      <w:pPr>
        <w:spacing w:after="0" w:line="122" w:lineRule="exact"/>
        <w:rPr>
          <w:sz w:val="20"/>
          <w:szCs w:val="20"/>
          <w:color w:val="auto"/>
        </w:rPr>
      </w:pPr>
    </w:p>
    <w:p>
      <w:pPr>
        <w:ind w:right="200"/>
        <w:spacing w:after="0" w:line="246" w:lineRule="auto"/>
        <w:rPr>
          <w:sz w:val="20"/>
          <w:szCs w:val="20"/>
          <w:color w:val="auto"/>
        </w:rPr>
      </w:pPr>
      <w:r>
        <w:rPr>
          <w:rFonts w:ascii="Arial" w:cs="Arial" w:eastAsia="Arial" w:hAnsi="Arial"/>
          <w:sz w:val="19"/>
          <w:szCs w:val="19"/>
          <w:b w:val="1"/>
          <w:bCs w:val="1"/>
          <w:i w:val="1"/>
          <w:iCs w:val="1"/>
          <w:color w:val="auto"/>
        </w:rPr>
        <w:t xml:space="preserve">Mass General Brigham (MGB). </w:t>
      </w:r>
      <w:r>
        <w:rPr>
          <w:rFonts w:ascii="Arial" w:cs="Arial" w:eastAsia="Arial" w:hAnsi="Arial"/>
          <w:sz w:val="19"/>
          <w:szCs w:val="19"/>
          <w:color w:val="auto"/>
        </w:rPr>
        <w:t>On January 20, 2018, we entered into an exclusive option agreement (the Option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Agreement) with MGB. Pursuant to the Option Agreement, we obtained the exclusive right from MGB to negotiate a world-wide, royalty-bearing license to develop and commercialize products covered by certain MGB patents, including those patents covering CAN-3110, in the field of gene therapy and oncolytic vector therapy for the treatment or prevention of cancerous tumors in humans or animals, as such field is further detailed in the Option Agreement (the Licensed Field). In consideration for MGB’s granting of the exclusive option, we paid MGB a non-refundable fee of $40,000.</w:t>
      </w:r>
    </w:p>
    <w:p>
      <w:pPr>
        <w:spacing w:after="0" w:line="122" w:lineRule="exact"/>
        <w:rPr>
          <w:sz w:val="20"/>
          <w:szCs w:val="20"/>
          <w:color w:val="auto"/>
        </w:rPr>
      </w:pPr>
    </w:p>
    <w:p>
      <w:pPr>
        <w:ind w:right="100"/>
        <w:spacing w:after="0" w:line="253" w:lineRule="auto"/>
        <w:rPr>
          <w:sz w:val="20"/>
          <w:szCs w:val="20"/>
          <w:color w:val="auto"/>
        </w:rPr>
      </w:pPr>
      <w:r>
        <w:rPr>
          <w:rFonts w:ascii="Arial" w:cs="Arial" w:eastAsia="Arial" w:hAnsi="Arial"/>
          <w:sz w:val="19"/>
          <w:szCs w:val="19"/>
          <w:color w:val="auto"/>
        </w:rPr>
        <w:t>Under the Option Agreement, we were required to use reasonable efforts to enter into a clinical trial agreement with MGB. We entered into such clinical trial agreement with MGB (MGB Clinical Trial Agreement) on June 19, 2018. Under the MGB Clinical Trial Agreement, we have committed to remitting financial support for the performance of a specified phase 1 clinical trial by MGB pursuant to a protocol summary contained in the Option Agreement.</w:t>
      </w:r>
    </w:p>
    <w:p>
      <w:pPr>
        <w:spacing w:after="0" w:line="113" w:lineRule="exact"/>
        <w:rPr>
          <w:sz w:val="20"/>
          <w:szCs w:val="20"/>
          <w:color w:val="auto"/>
        </w:rPr>
      </w:pPr>
    </w:p>
    <w:p>
      <w:pPr>
        <w:ind w:right="60"/>
        <w:spacing w:after="0" w:line="244" w:lineRule="auto"/>
        <w:rPr>
          <w:sz w:val="20"/>
          <w:szCs w:val="20"/>
          <w:color w:val="auto"/>
        </w:rPr>
      </w:pPr>
      <w:r>
        <w:rPr>
          <w:rFonts w:ascii="Arial" w:cs="Arial" w:eastAsia="Arial" w:hAnsi="Arial"/>
          <w:sz w:val="19"/>
          <w:szCs w:val="19"/>
          <w:color w:val="auto"/>
        </w:rPr>
        <w:t>On September 15, 2020, we exercised our option and entered into an exclusive patent license agreement with MGB (the MGB License Agreement). Under the MGB License Agreement, MGB granted to us (a) an exclusive, royalty-bearing license under certain of MGB’s patents to make, have made, use, have used, sell and have sold certain products covered by such licensed patents (Licensed Products) and otherwise practice processes covered by such licensed patents (Licensed Processes); and (b) a non-exclusive, royalty-bearing license under certain other of MGB’s patents to make, have made, use, have used, sell and have sold Licensed Products, but not to sell or have sold Licensed Processes. The foregoing rights are sublicensable, subject to sublicensing terms set forth in the MGB License Agreement. In connection with executing the MGB License Agreement, we paid a license issue fee and also agreed to reimburse MGB for all reasonable fees and expenses MGB had incurred and will incur for the preparation, filing, prosecution and maintenance of the licensed patent rights.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103</w:t>
      </w:r>
    </w:p>
    <w:p>
      <w:pPr>
        <w:sectPr>
          <w:pgSz w:w="12240" w:h="15840" w:orient="portrait"/>
          <w:cols w:equalWidth="0" w:num="1">
            <w:col w:w="10080"/>
          </w:cols>
          <w:pgMar w:left="1080" w:top="1062" w:right="1080" w:bottom="173" w:gutter="0" w:footer="0" w:header="0"/>
        </w:sectPr>
      </w:pPr>
    </w:p>
    <w:bookmarkStart w:id="107" w:name="page108"/>
    <w:bookmarkEnd w:id="107"/>
    <w:p>
      <w:pPr>
        <w:ind w:right="280"/>
        <w:spacing w:after="0" w:line="244" w:lineRule="auto"/>
        <w:rPr>
          <w:sz w:val="20"/>
          <w:szCs w:val="20"/>
          <w:color w:val="auto"/>
        </w:rPr>
      </w:pPr>
      <w:r>
        <w:rPr>
          <w:rFonts w:ascii="Arial" w:cs="Arial" w:eastAsia="Arial" w:hAnsi="Arial"/>
          <w:sz w:val="19"/>
          <w:szCs w:val="19"/>
          <w:b w:val="1"/>
          <w:bCs w:val="1"/>
          <w:i w:val="1"/>
          <w:iCs w:val="1"/>
          <w:color w:val="auto"/>
        </w:rPr>
        <w:t xml:space="preserve">Ventagen. </w:t>
      </w:r>
      <w:r>
        <w:rPr>
          <w:rFonts w:ascii="Arial" w:cs="Arial" w:eastAsia="Arial" w:hAnsi="Arial"/>
          <w:sz w:val="19"/>
          <w:szCs w:val="19"/>
          <w:color w:val="auto"/>
        </w:rPr>
        <w:t>On March 1, 2014, we entered into an exclusive license agreement ( the Ventagen Agreement) with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Ventagen, a related party. The Ventagen Agreement provides Ventagen an exclusive license, with rights to grant sublicense (subject to certain terms and conditions) under any worldwide patent rights and know-how owned or controlled by us during the term of the Ventagen Agreement which cover applicable technology utilizing the delivery method of the herpes derived TK protein to tumors or other tissues via a viral vector (as further specified therein), to research, use, have used, import, have imported, export, have exported, offer for sale, have sold, sell, distribute and market certain products for the prevention or treatment of cancer in humans and any use in animals (or the Field of Use), or the Licensed Products, for commercial sale and distribution within Mexico, Belize, Guatemala, Honduras, El Salvador, Costa Rica, Nicaragua, Panama, Colombia and Bolivia. Ventagen is 49.5% owned by certain of our stockholders.</w:t>
      </w:r>
    </w:p>
    <w:p>
      <w:pPr>
        <w:spacing w:after="0" w:line="1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Corporate Restructuring</w:t>
      </w:r>
    </w:p>
    <w:p>
      <w:pPr>
        <w:spacing w:after="0" w:line="164" w:lineRule="exact"/>
        <w:rPr>
          <w:sz w:val="20"/>
          <w:szCs w:val="20"/>
          <w:color w:val="auto"/>
        </w:rPr>
      </w:pPr>
    </w:p>
    <w:p>
      <w:pPr>
        <w:spacing w:after="0" w:line="246" w:lineRule="auto"/>
        <w:rPr>
          <w:sz w:val="20"/>
          <w:szCs w:val="20"/>
          <w:color w:val="auto"/>
        </w:rPr>
      </w:pPr>
      <w:r>
        <w:rPr>
          <w:rFonts w:ascii="Arial" w:cs="Arial" w:eastAsia="Arial" w:hAnsi="Arial"/>
          <w:sz w:val="19"/>
          <w:szCs w:val="19"/>
          <w:color w:val="auto"/>
        </w:rPr>
        <w:t>In November 2023, our Board of Directors authorized a restructuring plan to focus on continuation and expansion of development of CAN-3110 as well as the enLIGHTEN</w:t>
      </w:r>
      <w:r>
        <w:rPr>
          <w:rFonts w:ascii="Arial" w:cs="Arial" w:eastAsia="Arial" w:hAnsi="Arial"/>
          <w:sz w:val="12"/>
          <w:szCs w:val="12"/>
          <w:color w:val="auto"/>
        </w:rPr>
        <w:t>TM</w:t>
      </w:r>
      <w:r>
        <w:rPr>
          <w:rFonts w:ascii="Arial" w:cs="Arial" w:eastAsia="Arial" w:hAnsi="Arial"/>
          <w:sz w:val="19"/>
          <w:szCs w:val="19"/>
          <w:color w:val="auto"/>
        </w:rPr>
        <w:t xml:space="preserve"> Discovery Platform, which resulted in a reduction of our workforce by approximately 45%. Each affected employee’s separation from the Company occurred in December 2023. As a result, the Company incurred costs of $0.7 million related to severance benefits for the affected employees, including severance payments and limited reimbursement of medical insurance premiums. The restructuring plan is expected to be completed in the first quarter of 2024 once the remaining unpaid severance payments of $46,000 are made.</w:t>
      </w:r>
    </w:p>
    <w:p>
      <w:pPr>
        <w:spacing w:after="0" w:line="11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Components of Our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Revenue</w:t>
      </w:r>
    </w:p>
    <w:p>
      <w:pPr>
        <w:spacing w:after="0" w:line="156" w:lineRule="exact"/>
        <w:rPr>
          <w:sz w:val="20"/>
          <w:szCs w:val="20"/>
          <w:color w:val="auto"/>
        </w:rPr>
      </w:pPr>
    </w:p>
    <w:p>
      <w:pPr>
        <w:spacing w:after="0" w:line="250" w:lineRule="auto"/>
        <w:rPr>
          <w:sz w:val="20"/>
          <w:szCs w:val="20"/>
          <w:color w:val="auto"/>
        </w:rPr>
      </w:pPr>
      <w:r>
        <w:rPr>
          <w:rFonts w:ascii="Arial" w:cs="Arial" w:eastAsia="Arial" w:hAnsi="Arial"/>
          <w:sz w:val="19"/>
          <w:szCs w:val="19"/>
          <w:color w:val="auto"/>
        </w:rPr>
        <w:t>To date, we have not generated any revenue from product sales and do not expect to generate any revenue from sales of products in the foreseeable future. We recognized as research and development service revenue $1.0 million that we received in 2014 and 2015 from Ventagen for an exclusive license to develop products for commercial sale and development within certain countries. We recognized revenue over the period during which we provided services under the license agreement, and the revenue was fully recognized as of December 31, 2022.</w:t>
      </w:r>
    </w:p>
    <w:p>
      <w:pPr>
        <w:spacing w:after="0" w:line="11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Operating Expenses</w:t>
      </w:r>
    </w:p>
    <w:p>
      <w:pPr>
        <w:spacing w:after="0" w:line="156" w:lineRule="exact"/>
        <w:rPr>
          <w:sz w:val="20"/>
          <w:szCs w:val="20"/>
          <w:color w:val="auto"/>
        </w:rPr>
      </w:pPr>
    </w:p>
    <w:p>
      <w:pPr>
        <w:ind w:right="400"/>
        <w:spacing w:after="0" w:line="281" w:lineRule="auto"/>
        <w:rPr>
          <w:sz w:val="20"/>
          <w:szCs w:val="20"/>
          <w:color w:val="auto"/>
        </w:rPr>
      </w:pPr>
      <w:r>
        <w:rPr>
          <w:rFonts w:ascii="Arial" w:cs="Arial" w:eastAsia="Arial" w:hAnsi="Arial"/>
          <w:sz w:val="19"/>
          <w:szCs w:val="19"/>
          <w:color w:val="auto"/>
        </w:rPr>
        <w:t>Our operating expenses since inception have consisted solely of research and development costs and general and administrative costs.</w:t>
      </w:r>
    </w:p>
    <w:p>
      <w:pPr>
        <w:spacing w:after="0" w:line="8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Research and Development Expenses</w:t>
      </w:r>
    </w:p>
    <w:p>
      <w:pPr>
        <w:spacing w:after="0" w:line="156" w:lineRule="exact"/>
        <w:rPr>
          <w:sz w:val="20"/>
          <w:szCs w:val="20"/>
          <w:color w:val="auto"/>
        </w:rPr>
      </w:pPr>
    </w:p>
    <w:p>
      <w:pPr>
        <w:ind w:right="180"/>
        <w:spacing w:after="0" w:line="260" w:lineRule="auto"/>
        <w:rPr>
          <w:sz w:val="20"/>
          <w:szCs w:val="20"/>
          <w:color w:val="auto"/>
        </w:rPr>
      </w:pPr>
      <w:r>
        <w:rPr>
          <w:rFonts w:ascii="Arial" w:cs="Arial" w:eastAsia="Arial" w:hAnsi="Arial"/>
          <w:sz w:val="19"/>
          <w:szCs w:val="19"/>
          <w:color w:val="auto"/>
        </w:rPr>
        <w:t>Research and development expenses consist primarily of costs incurred for our product development activities for our two primary drug candidates, CAN-2409 and CAN-3110. We expense research and development costs as incurred. These include the following:</w:t>
      </w:r>
    </w:p>
    <w:p>
      <w:pPr>
        <w:spacing w:after="0" w:line="118" w:lineRule="exact"/>
        <w:rPr>
          <w:sz w:val="20"/>
          <w:szCs w:val="20"/>
          <w:color w:val="auto"/>
        </w:rPr>
      </w:pPr>
    </w:p>
    <w:p>
      <w:pPr>
        <w:ind w:left="720" w:right="360" w:hanging="360"/>
        <w:spacing w:after="0" w:line="281" w:lineRule="auto"/>
        <w:tabs>
          <w:tab w:leader="none" w:pos="720" w:val="left"/>
        </w:tabs>
        <w:numPr>
          <w:ilvl w:val="0"/>
          <w:numId w:val="76"/>
        </w:numPr>
        <w:rPr>
          <w:rFonts w:ascii="Arial" w:cs="Arial" w:eastAsia="Arial" w:hAnsi="Arial"/>
          <w:sz w:val="19"/>
          <w:szCs w:val="19"/>
          <w:color w:val="auto"/>
        </w:rPr>
      </w:pPr>
      <w:r>
        <w:rPr>
          <w:rFonts w:ascii="Arial" w:cs="Arial" w:eastAsia="Arial" w:hAnsi="Arial"/>
          <w:sz w:val="19"/>
          <w:szCs w:val="19"/>
          <w:color w:val="auto"/>
        </w:rPr>
        <w:t>employee-related costs, including salaries, benefits and stock-based compensation expense, for personnel engaged in research, development and clinical management functions;</w:t>
      </w:r>
    </w:p>
    <w:p>
      <w:pPr>
        <w:spacing w:after="0" w:line="98" w:lineRule="exact"/>
        <w:rPr>
          <w:rFonts w:ascii="Arial" w:cs="Arial" w:eastAsia="Arial" w:hAnsi="Arial"/>
          <w:sz w:val="19"/>
          <w:szCs w:val="19"/>
          <w:color w:val="auto"/>
        </w:rPr>
      </w:pPr>
    </w:p>
    <w:p>
      <w:pPr>
        <w:ind w:left="720" w:right="200" w:hanging="360"/>
        <w:spacing w:after="0" w:line="281" w:lineRule="auto"/>
        <w:tabs>
          <w:tab w:leader="none" w:pos="720" w:val="left"/>
        </w:tabs>
        <w:numPr>
          <w:ilvl w:val="0"/>
          <w:numId w:val="76"/>
        </w:numPr>
        <w:rPr>
          <w:rFonts w:ascii="Arial" w:cs="Arial" w:eastAsia="Arial" w:hAnsi="Arial"/>
          <w:sz w:val="19"/>
          <w:szCs w:val="19"/>
          <w:color w:val="auto"/>
        </w:rPr>
      </w:pPr>
      <w:r>
        <w:rPr>
          <w:rFonts w:ascii="Arial" w:cs="Arial" w:eastAsia="Arial" w:hAnsi="Arial"/>
          <w:sz w:val="19"/>
          <w:szCs w:val="19"/>
          <w:color w:val="auto"/>
        </w:rPr>
        <w:t>expenses incurred under agreements with third party clinical sites for the treatment and follow-up for patients enrolled in our clinical trials;</w:t>
      </w:r>
    </w:p>
    <w:p>
      <w:pPr>
        <w:spacing w:after="0" w:line="98" w:lineRule="exact"/>
        <w:rPr>
          <w:rFonts w:ascii="Arial" w:cs="Arial" w:eastAsia="Arial" w:hAnsi="Arial"/>
          <w:sz w:val="19"/>
          <w:szCs w:val="19"/>
          <w:color w:val="auto"/>
        </w:rPr>
      </w:pPr>
    </w:p>
    <w:p>
      <w:pPr>
        <w:ind w:left="720" w:right="300" w:hanging="360"/>
        <w:spacing w:after="0" w:line="281" w:lineRule="auto"/>
        <w:tabs>
          <w:tab w:leader="none" w:pos="720" w:val="left"/>
        </w:tabs>
        <w:numPr>
          <w:ilvl w:val="0"/>
          <w:numId w:val="76"/>
        </w:numPr>
        <w:rPr>
          <w:rFonts w:ascii="Arial" w:cs="Arial" w:eastAsia="Arial" w:hAnsi="Arial"/>
          <w:sz w:val="19"/>
          <w:szCs w:val="19"/>
          <w:color w:val="auto"/>
        </w:rPr>
      </w:pPr>
      <w:r>
        <w:rPr>
          <w:rFonts w:ascii="Arial" w:cs="Arial" w:eastAsia="Arial" w:hAnsi="Arial"/>
          <w:sz w:val="19"/>
          <w:szCs w:val="19"/>
          <w:color w:val="auto"/>
        </w:rPr>
        <w:t>the cost of acquiring and manufacturing preclinical study materials, including manufacturing registration and validation batches;</w:t>
      </w:r>
    </w:p>
    <w:p>
      <w:pPr>
        <w:spacing w:after="0" w:line="98" w:lineRule="exact"/>
        <w:rPr>
          <w:rFonts w:ascii="Arial" w:cs="Arial" w:eastAsia="Arial" w:hAnsi="Arial"/>
          <w:sz w:val="19"/>
          <w:szCs w:val="19"/>
          <w:color w:val="auto"/>
        </w:rPr>
      </w:pPr>
    </w:p>
    <w:p>
      <w:pPr>
        <w:ind w:left="720" w:hanging="360"/>
        <w:spacing w:after="0"/>
        <w:tabs>
          <w:tab w:leader="none" w:pos="720" w:val="left"/>
        </w:tabs>
        <w:numPr>
          <w:ilvl w:val="0"/>
          <w:numId w:val="76"/>
        </w:numPr>
        <w:rPr>
          <w:rFonts w:ascii="Arial" w:cs="Arial" w:eastAsia="Arial" w:hAnsi="Arial"/>
          <w:sz w:val="19"/>
          <w:szCs w:val="19"/>
          <w:color w:val="auto"/>
        </w:rPr>
      </w:pPr>
      <w:r>
        <w:rPr>
          <w:rFonts w:ascii="Arial" w:cs="Arial" w:eastAsia="Arial" w:hAnsi="Arial"/>
          <w:sz w:val="19"/>
          <w:szCs w:val="19"/>
          <w:color w:val="auto"/>
        </w:rPr>
        <w:t>payments made under third-party licensing agreements;</w:t>
      </w:r>
    </w:p>
    <w:p>
      <w:pPr>
        <w:spacing w:after="0" w:line="172" w:lineRule="exact"/>
        <w:rPr>
          <w:rFonts w:ascii="Arial" w:cs="Arial" w:eastAsia="Arial" w:hAnsi="Arial"/>
          <w:sz w:val="19"/>
          <w:szCs w:val="19"/>
          <w:color w:val="auto"/>
        </w:rPr>
      </w:pPr>
    </w:p>
    <w:p>
      <w:pPr>
        <w:ind w:left="720" w:right="500" w:hanging="360"/>
        <w:spacing w:after="0" w:line="260" w:lineRule="auto"/>
        <w:tabs>
          <w:tab w:leader="none" w:pos="720" w:val="left"/>
        </w:tabs>
        <w:numPr>
          <w:ilvl w:val="0"/>
          <w:numId w:val="76"/>
        </w:numPr>
        <w:rPr>
          <w:rFonts w:ascii="Arial" w:cs="Arial" w:eastAsia="Arial" w:hAnsi="Arial"/>
          <w:sz w:val="19"/>
          <w:szCs w:val="19"/>
          <w:color w:val="auto"/>
        </w:rPr>
      </w:pPr>
      <w:r>
        <w:rPr>
          <w:rFonts w:ascii="Arial" w:cs="Arial" w:eastAsia="Arial" w:hAnsi="Arial"/>
          <w:sz w:val="19"/>
          <w:szCs w:val="19"/>
          <w:color w:val="auto"/>
        </w:rPr>
        <w:t>costs incurred to develop the manufacturing process and capabilities for future clinical trials and commercialization. Our clinical trial material for use in our existing clinical trials was manufactured in prior years;</w:t>
      </w:r>
    </w:p>
    <w:p>
      <w:pPr>
        <w:spacing w:after="0" w:line="118" w:lineRule="exact"/>
        <w:rPr>
          <w:rFonts w:ascii="Arial" w:cs="Arial" w:eastAsia="Arial" w:hAnsi="Arial"/>
          <w:sz w:val="19"/>
          <w:szCs w:val="19"/>
          <w:color w:val="auto"/>
        </w:rPr>
      </w:pPr>
    </w:p>
    <w:p>
      <w:pPr>
        <w:ind w:left="720" w:hanging="360"/>
        <w:spacing w:after="0"/>
        <w:tabs>
          <w:tab w:leader="none" w:pos="720" w:val="left"/>
        </w:tabs>
        <w:numPr>
          <w:ilvl w:val="0"/>
          <w:numId w:val="76"/>
        </w:numPr>
        <w:rPr>
          <w:rFonts w:ascii="Arial" w:cs="Arial" w:eastAsia="Arial" w:hAnsi="Arial"/>
          <w:sz w:val="19"/>
          <w:szCs w:val="19"/>
          <w:color w:val="auto"/>
        </w:rPr>
      </w:pPr>
      <w:r>
        <w:rPr>
          <w:rFonts w:ascii="Arial" w:cs="Arial" w:eastAsia="Arial" w:hAnsi="Arial"/>
          <w:sz w:val="19"/>
          <w:szCs w:val="19"/>
          <w:color w:val="auto"/>
        </w:rPr>
        <w:t>costs related to compliance with quality and regulatory requirements;</w:t>
      </w:r>
    </w:p>
    <w:p>
      <w:pPr>
        <w:spacing w:after="0" w:line="172" w:lineRule="exact"/>
        <w:rPr>
          <w:rFonts w:ascii="Arial" w:cs="Arial" w:eastAsia="Arial" w:hAnsi="Arial"/>
          <w:sz w:val="19"/>
          <w:szCs w:val="19"/>
          <w:color w:val="auto"/>
        </w:rPr>
      </w:pPr>
    </w:p>
    <w:p>
      <w:pPr>
        <w:ind w:left="720" w:hanging="360"/>
        <w:spacing w:after="0"/>
        <w:tabs>
          <w:tab w:leader="none" w:pos="720" w:val="left"/>
        </w:tabs>
        <w:numPr>
          <w:ilvl w:val="0"/>
          <w:numId w:val="76"/>
        </w:numPr>
        <w:rPr>
          <w:rFonts w:ascii="Arial" w:cs="Arial" w:eastAsia="Arial" w:hAnsi="Arial"/>
          <w:sz w:val="19"/>
          <w:szCs w:val="19"/>
          <w:color w:val="auto"/>
        </w:rPr>
      </w:pPr>
      <w:r>
        <w:rPr>
          <w:rFonts w:ascii="Arial" w:cs="Arial" w:eastAsia="Arial" w:hAnsi="Arial"/>
          <w:sz w:val="19"/>
          <w:szCs w:val="19"/>
          <w:color w:val="auto"/>
        </w:rPr>
        <w:t>costs of outside consultants, primarily related to regulatory; and</w:t>
      </w:r>
    </w:p>
    <w:p>
      <w:pPr>
        <w:spacing w:after="0" w:line="172" w:lineRule="exact"/>
        <w:rPr>
          <w:rFonts w:ascii="Arial" w:cs="Arial" w:eastAsia="Arial" w:hAnsi="Arial"/>
          <w:sz w:val="19"/>
          <w:szCs w:val="19"/>
          <w:color w:val="auto"/>
        </w:rPr>
      </w:pPr>
    </w:p>
    <w:p>
      <w:pPr>
        <w:ind w:left="720" w:right="320" w:hanging="360"/>
        <w:spacing w:after="0" w:line="260" w:lineRule="auto"/>
        <w:tabs>
          <w:tab w:leader="none" w:pos="720" w:val="left"/>
        </w:tabs>
        <w:numPr>
          <w:ilvl w:val="0"/>
          <w:numId w:val="76"/>
        </w:numPr>
        <w:rPr>
          <w:rFonts w:ascii="Arial" w:cs="Arial" w:eastAsia="Arial" w:hAnsi="Arial"/>
          <w:sz w:val="19"/>
          <w:szCs w:val="19"/>
          <w:color w:val="auto"/>
        </w:rPr>
      </w:pPr>
      <w:r>
        <w:rPr>
          <w:rFonts w:ascii="Arial" w:cs="Arial" w:eastAsia="Arial" w:hAnsi="Arial"/>
          <w:sz w:val="19"/>
          <w:szCs w:val="19"/>
          <w:color w:val="auto"/>
        </w:rPr>
        <w:t>facility-related expenses, which include direct depreciation costs and expenses for rent and maintenance of facilities and insurance, and other operating costs if specifically identifiable to research and development activities.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104</w:t>
      </w:r>
    </w:p>
    <w:p>
      <w:pPr>
        <w:sectPr>
          <w:pgSz w:w="12240" w:h="15840" w:orient="portrait"/>
          <w:cols w:equalWidth="0" w:num="1">
            <w:col w:w="10040"/>
          </w:cols>
          <w:pgMar w:left="1080" w:top="1062" w:right="1120" w:bottom="173" w:gutter="0" w:footer="0" w:header="0"/>
        </w:sectPr>
      </w:pPr>
    </w:p>
    <w:bookmarkStart w:id="108" w:name="page109"/>
    <w:bookmarkEnd w:id="108"/>
    <w:p>
      <w:pPr>
        <w:ind w:right="40"/>
        <w:spacing w:after="0" w:line="248" w:lineRule="auto"/>
        <w:rPr>
          <w:sz w:val="20"/>
          <w:szCs w:val="20"/>
          <w:color w:val="auto"/>
        </w:rPr>
      </w:pPr>
      <w:r>
        <w:rPr>
          <w:rFonts w:ascii="Arial" w:cs="Arial" w:eastAsia="Arial" w:hAnsi="Arial"/>
          <w:sz w:val="19"/>
          <w:szCs w:val="19"/>
          <w:color w:val="auto"/>
        </w:rPr>
        <w:t>We expect that our research and development expenses will continue to increase substantially for the foreseeable future and will comprise a larger percentage of our total expenses as we complete our clinical trials and commence additional clinical trials, continue to discover and develop additional product candidates and develop and scale our manufacturing capabilities. Product candidates in later stages of clinical development generally have higher development costs than those in earlier stages of clinical development, primarily due to increased scale and duration of later stage clinical trials.</w:t>
      </w:r>
    </w:p>
    <w:p>
      <w:pPr>
        <w:spacing w:after="0" w:line="116" w:lineRule="exact"/>
        <w:rPr>
          <w:sz w:val="20"/>
          <w:szCs w:val="20"/>
          <w:color w:val="auto"/>
        </w:rPr>
      </w:pPr>
    </w:p>
    <w:p>
      <w:pPr>
        <w:ind w:right="160"/>
        <w:spacing w:after="0" w:line="246" w:lineRule="auto"/>
        <w:rPr>
          <w:sz w:val="20"/>
          <w:szCs w:val="20"/>
          <w:color w:val="auto"/>
        </w:rPr>
      </w:pPr>
      <w:r>
        <w:rPr>
          <w:rFonts w:ascii="Arial" w:cs="Arial" w:eastAsia="Arial" w:hAnsi="Arial"/>
          <w:sz w:val="19"/>
          <w:szCs w:val="19"/>
          <w:color w:val="auto"/>
        </w:rPr>
        <w:t>We cannot determine with certainty the duration and costs of future clinical trials of CAN-2409 and CAN-3110 or any other product candidate we may develop or if, when, or to what extent we will generate revenue from the commercialization and sale of any product candidate for which we obtain marketing approval. At this time, we cannot accurately estimate or know the nature, timing and costs of the efforts that will be necessary to complete the clinical development of, or obtain regulatory approval for, any of our current or future product candidates. The duration, costs, and timing of clinical trials and development of CAN-2409 and CAN-3110 and any other product candidate we may develop will depend on a variety of factors, including:</w:t>
      </w:r>
    </w:p>
    <w:p>
      <w:pPr>
        <w:spacing w:after="0" w:line="135" w:lineRule="exact"/>
        <w:rPr>
          <w:sz w:val="20"/>
          <w:szCs w:val="20"/>
          <w:color w:val="auto"/>
        </w:rPr>
      </w:pPr>
    </w:p>
    <w:p>
      <w:pPr>
        <w:ind w:left="720" w:hanging="360"/>
        <w:spacing w:after="0"/>
        <w:tabs>
          <w:tab w:leader="none" w:pos="720" w:val="left"/>
        </w:tabs>
        <w:numPr>
          <w:ilvl w:val="0"/>
          <w:numId w:val="77"/>
        </w:numPr>
        <w:rPr>
          <w:rFonts w:ascii="Arial" w:cs="Arial" w:eastAsia="Arial" w:hAnsi="Arial"/>
          <w:sz w:val="19"/>
          <w:szCs w:val="19"/>
          <w:color w:val="auto"/>
        </w:rPr>
      </w:pPr>
      <w:r>
        <w:rPr>
          <w:rFonts w:ascii="Arial" w:cs="Arial" w:eastAsia="Arial" w:hAnsi="Arial"/>
          <w:sz w:val="19"/>
          <w:szCs w:val="19"/>
          <w:color w:val="auto"/>
        </w:rPr>
        <w:t>the scope, rate of progress, expense and results of clinical trials;</w:t>
      </w:r>
    </w:p>
    <w:p>
      <w:pPr>
        <w:spacing w:after="0" w:line="172" w:lineRule="exact"/>
        <w:rPr>
          <w:rFonts w:ascii="Arial" w:cs="Arial" w:eastAsia="Arial" w:hAnsi="Arial"/>
          <w:sz w:val="19"/>
          <w:szCs w:val="19"/>
          <w:color w:val="auto"/>
        </w:rPr>
      </w:pPr>
    </w:p>
    <w:p>
      <w:pPr>
        <w:ind w:left="720" w:right="40" w:hanging="360"/>
        <w:spacing w:after="0" w:line="281" w:lineRule="auto"/>
        <w:tabs>
          <w:tab w:leader="none" w:pos="720" w:val="left"/>
        </w:tabs>
        <w:numPr>
          <w:ilvl w:val="0"/>
          <w:numId w:val="77"/>
        </w:numPr>
        <w:rPr>
          <w:rFonts w:ascii="Arial" w:cs="Arial" w:eastAsia="Arial" w:hAnsi="Arial"/>
          <w:sz w:val="19"/>
          <w:szCs w:val="19"/>
          <w:color w:val="auto"/>
        </w:rPr>
      </w:pPr>
      <w:r>
        <w:rPr>
          <w:rFonts w:ascii="Arial" w:cs="Arial" w:eastAsia="Arial" w:hAnsi="Arial"/>
          <w:sz w:val="19"/>
          <w:szCs w:val="19"/>
          <w:color w:val="auto"/>
        </w:rPr>
        <w:t>our successful enrollment in and completion of clinical trials, including our ability to generate positive data from any such trials;</w:t>
      </w:r>
    </w:p>
    <w:p>
      <w:pPr>
        <w:spacing w:after="0" w:line="98" w:lineRule="exact"/>
        <w:rPr>
          <w:rFonts w:ascii="Arial" w:cs="Arial" w:eastAsia="Arial" w:hAnsi="Arial"/>
          <w:sz w:val="19"/>
          <w:szCs w:val="19"/>
          <w:color w:val="auto"/>
        </w:rPr>
      </w:pPr>
    </w:p>
    <w:p>
      <w:pPr>
        <w:ind w:left="720" w:hanging="360"/>
        <w:spacing w:after="0"/>
        <w:tabs>
          <w:tab w:leader="none" w:pos="720" w:val="left"/>
        </w:tabs>
        <w:numPr>
          <w:ilvl w:val="0"/>
          <w:numId w:val="77"/>
        </w:numPr>
        <w:rPr>
          <w:rFonts w:ascii="Arial" w:cs="Arial" w:eastAsia="Arial" w:hAnsi="Arial"/>
          <w:sz w:val="19"/>
          <w:szCs w:val="19"/>
          <w:color w:val="auto"/>
        </w:rPr>
      </w:pPr>
      <w:r>
        <w:rPr>
          <w:rFonts w:ascii="Arial" w:cs="Arial" w:eastAsia="Arial" w:hAnsi="Arial"/>
          <w:sz w:val="19"/>
          <w:szCs w:val="19"/>
          <w:color w:val="auto"/>
        </w:rPr>
        <w:t>our ability to add and retain key research and development personnel;</w:t>
      </w:r>
    </w:p>
    <w:p>
      <w:pPr>
        <w:spacing w:after="0" w:line="172" w:lineRule="exact"/>
        <w:rPr>
          <w:rFonts w:ascii="Arial" w:cs="Arial" w:eastAsia="Arial" w:hAnsi="Arial"/>
          <w:sz w:val="19"/>
          <w:szCs w:val="19"/>
          <w:color w:val="auto"/>
        </w:rPr>
      </w:pPr>
    </w:p>
    <w:p>
      <w:pPr>
        <w:ind w:left="720" w:right="320" w:hanging="360"/>
        <w:spacing w:after="0" w:line="281" w:lineRule="auto"/>
        <w:tabs>
          <w:tab w:leader="none" w:pos="720" w:val="left"/>
        </w:tabs>
        <w:numPr>
          <w:ilvl w:val="0"/>
          <w:numId w:val="77"/>
        </w:numPr>
        <w:rPr>
          <w:rFonts w:ascii="Arial" w:cs="Arial" w:eastAsia="Arial" w:hAnsi="Arial"/>
          <w:sz w:val="19"/>
          <w:szCs w:val="19"/>
          <w:color w:val="auto"/>
        </w:rPr>
      </w:pPr>
      <w:r>
        <w:rPr>
          <w:rFonts w:ascii="Arial" w:cs="Arial" w:eastAsia="Arial" w:hAnsi="Arial"/>
          <w:sz w:val="19"/>
          <w:szCs w:val="19"/>
          <w:color w:val="auto"/>
        </w:rPr>
        <w:t>the actual probability of success for our product candidates, including their safety and efficacy, early clinical data, competition, manufacturing capability, and commercial viability;</w:t>
      </w:r>
    </w:p>
    <w:p>
      <w:pPr>
        <w:spacing w:after="0" w:line="98" w:lineRule="exact"/>
        <w:rPr>
          <w:rFonts w:ascii="Arial" w:cs="Arial" w:eastAsia="Arial" w:hAnsi="Arial"/>
          <w:sz w:val="19"/>
          <w:szCs w:val="19"/>
          <w:color w:val="auto"/>
        </w:rPr>
      </w:pPr>
    </w:p>
    <w:p>
      <w:pPr>
        <w:ind w:left="720" w:hanging="360"/>
        <w:spacing w:after="0"/>
        <w:tabs>
          <w:tab w:leader="none" w:pos="720" w:val="left"/>
        </w:tabs>
        <w:numPr>
          <w:ilvl w:val="0"/>
          <w:numId w:val="77"/>
        </w:numPr>
        <w:rPr>
          <w:rFonts w:ascii="Arial" w:cs="Arial" w:eastAsia="Arial" w:hAnsi="Arial"/>
          <w:sz w:val="19"/>
          <w:szCs w:val="19"/>
          <w:color w:val="auto"/>
        </w:rPr>
      </w:pPr>
      <w:r>
        <w:rPr>
          <w:rFonts w:ascii="Arial" w:cs="Arial" w:eastAsia="Arial" w:hAnsi="Arial"/>
          <w:sz w:val="19"/>
          <w:szCs w:val="19"/>
          <w:color w:val="auto"/>
        </w:rPr>
        <w:t>significant and changing government regulation and regulatory guidance;</w:t>
      </w:r>
    </w:p>
    <w:p>
      <w:pPr>
        <w:spacing w:after="0" w:line="172" w:lineRule="exact"/>
        <w:rPr>
          <w:rFonts w:ascii="Arial" w:cs="Arial" w:eastAsia="Arial" w:hAnsi="Arial"/>
          <w:sz w:val="19"/>
          <w:szCs w:val="19"/>
          <w:color w:val="auto"/>
        </w:rPr>
      </w:pPr>
    </w:p>
    <w:p>
      <w:pPr>
        <w:ind w:left="720" w:hanging="360"/>
        <w:spacing w:after="0"/>
        <w:tabs>
          <w:tab w:leader="none" w:pos="720" w:val="left"/>
        </w:tabs>
        <w:numPr>
          <w:ilvl w:val="0"/>
          <w:numId w:val="77"/>
        </w:numPr>
        <w:rPr>
          <w:rFonts w:ascii="Arial" w:cs="Arial" w:eastAsia="Arial" w:hAnsi="Arial"/>
          <w:sz w:val="19"/>
          <w:szCs w:val="19"/>
          <w:color w:val="auto"/>
        </w:rPr>
      </w:pPr>
      <w:r>
        <w:rPr>
          <w:rFonts w:ascii="Arial" w:cs="Arial" w:eastAsia="Arial" w:hAnsi="Arial"/>
          <w:sz w:val="19"/>
          <w:szCs w:val="19"/>
          <w:color w:val="auto"/>
        </w:rPr>
        <w:t>the timing and receipt of any marketing approvals;</w:t>
      </w:r>
    </w:p>
    <w:p>
      <w:pPr>
        <w:spacing w:after="0" w:line="172" w:lineRule="exact"/>
        <w:rPr>
          <w:rFonts w:ascii="Arial" w:cs="Arial" w:eastAsia="Arial" w:hAnsi="Arial"/>
          <w:sz w:val="19"/>
          <w:szCs w:val="19"/>
          <w:color w:val="auto"/>
        </w:rPr>
      </w:pPr>
    </w:p>
    <w:p>
      <w:pPr>
        <w:ind w:left="720" w:right="60" w:hanging="360"/>
        <w:spacing w:after="0" w:line="260" w:lineRule="auto"/>
        <w:tabs>
          <w:tab w:leader="none" w:pos="720" w:val="left"/>
        </w:tabs>
        <w:numPr>
          <w:ilvl w:val="0"/>
          <w:numId w:val="77"/>
        </w:numPr>
        <w:rPr>
          <w:rFonts w:ascii="Arial" w:cs="Arial" w:eastAsia="Arial" w:hAnsi="Arial"/>
          <w:sz w:val="19"/>
          <w:szCs w:val="19"/>
          <w:color w:val="auto"/>
        </w:rPr>
      </w:pPr>
      <w:r>
        <w:rPr>
          <w:rFonts w:ascii="Arial" w:cs="Arial" w:eastAsia="Arial" w:hAnsi="Arial"/>
          <w:sz w:val="19"/>
          <w:szCs w:val="19"/>
          <w:color w:val="auto"/>
        </w:rPr>
        <w:t>the progress of the development efforts of parties with whom we may enter into collaboration agreements, and the terms and timing of any additional collaboration agreements, license or other arrangement, including the timing of any payments thereunder;</w:t>
      </w:r>
    </w:p>
    <w:p>
      <w:pPr>
        <w:spacing w:after="0" w:line="118" w:lineRule="exact"/>
        <w:rPr>
          <w:rFonts w:ascii="Arial" w:cs="Arial" w:eastAsia="Arial" w:hAnsi="Arial"/>
          <w:sz w:val="19"/>
          <w:szCs w:val="19"/>
          <w:color w:val="auto"/>
        </w:rPr>
      </w:pPr>
    </w:p>
    <w:p>
      <w:pPr>
        <w:ind w:left="720" w:right="360" w:hanging="360"/>
        <w:spacing w:after="0" w:line="281" w:lineRule="auto"/>
        <w:tabs>
          <w:tab w:leader="none" w:pos="720" w:val="left"/>
        </w:tabs>
        <w:numPr>
          <w:ilvl w:val="0"/>
          <w:numId w:val="77"/>
        </w:numPr>
        <w:rPr>
          <w:rFonts w:ascii="Arial" w:cs="Arial" w:eastAsia="Arial" w:hAnsi="Arial"/>
          <w:sz w:val="19"/>
          <w:szCs w:val="19"/>
          <w:color w:val="auto"/>
        </w:rPr>
      </w:pPr>
      <w:r>
        <w:rPr>
          <w:rFonts w:ascii="Arial" w:cs="Arial" w:eastAsia="Arial" w:hAnsi="Arial"/>
          <w:sz w:val="19"/>
          <w:szCs w:val="19"/>
          <w:color w:val="auto"/>
        </w:rPr>
        <w:t>our ability to enter into agreements with CDMOs for the development, clinical manufacture and commercial manufacture of our product candidate CAN-2409 and CAN-3110</w:t>
      </w:r>
    </w:p>
    <w:p>
      <w:pPr>
        <w:spacing w:after="0" w:line="98" w:lineRule="exact"/>
        <w:rPr>
          <w:rFonts w:ascii="Arial" w:cs="Arial" w:eastAsia="Arial" w:hAnsi="Arial"/>
          <w:sz w:val="19"/>
          <w:szCs w:val="19"/>
          <w:color w:val="auto"/>
        </w:rPr>
      </w:pPr>
    </w:p>
    <w:p>
      <w:pPr>
        <w:ind w:left="720" w:right="960" w:hanging="360"/>
        <w:spacing w:after="0" w:line="281" w:lineRule="auto"/>
        <w:tabs>
          <w:tab w:leader="none" w:pos="720" w:val="left"/>
        </w:tabs>
        <w:numPr>
          <w:ilvl w:val="0"/>
          <w:numId w:val="77"/>
        </w:numPr>
        <w:rPr>
          <w:rFonts w:ascii="Arial" w:cs="Arial" w:eastAsia="Arial" w:hAnsi="Arial"/>
          <w:sz w:val="19"/>
          <w:szCs w:val="19"/>
          <w:color w:val="auto"/>
        </w:rPr>
      </w:pPr>
      <w:r>
        <w:rPr>
          <w:rFonts w:ascii="Arial" w:cs="Arial" w:eastAsia="Arial" w:hAnsi="Arial"/>
          <w:sz w:val="19"/>
          <w:szCs w:val="19"/>
          <w:color w:val="auto"/>
        </w:rPr>
        <w:t>costs related to manufacturing of our product candidates or to account for any future changes in our manufacturing plans;</w:t>
      </w:r>
    </w:p>
    <w:p>
      <w:pPr>
        <w:spacing w:after="0" w:line="98" w:lineRule="exact"/>
        <w:rPr>
          <w:rFonts w:ascii="Arial" w:cs="Arial" w:eastAsia="Arial" w:hAnsi="Arial"/>
          <w:sz w:val="19"/>
          <w:szCs w:val="19"/>
          <w:color w:val="auto"/>
        </w:rPr>
      </w:pPr>
    </w:p>
    <w:p>
      <w:pPr>
        <w:ind w:left="720" w:hanging="360"/>
        <w:spacing w:after="0"/>
        <w:tabs>
          <w:tab w:leader="none" w:pos="720" w:val="left"/>
        </w:tabs>
        <w:numPr>
          <w:ilvl w:val="0"/>
          <w:numId w:val="77"/>
        </w:numPr>
        <w:rPr>
          <w:rFonts w:ascii="Arial" w:cs="Arial" w:eastAsia="Arial" w:hAnsi="Arial"/>
          <w:sz w:val="19"/>
          <w:szCs w:val="19"/>
          <w:color w:val="auto"/>
        </w:rPr>
      </w:pPr>
      <w:r>
        <w:rPr>
          <w:rFonts w:ascii="Arial" w:cs="Arial" w:eastAsia="Arial" w:hAnsi="Arial"/>
          <w:sz w:val="19"/>
          <w:szCs w:val="19"/>
          <w:color w:val="auto"/>
        </w:rPr>
        <w:t>our ability to successfully commercialize our product candidates, if and when approved;</w:t>
      </w:r>
    </w:p>
    <w:p>
      <w:pPr>
        <w:spacing w:after="0" w:line="172" w:lineRule="exact"/>
        <w:rPr>
          <w:rFonts w:ascii="Arial" w:cs="Arial" w:eastAsia="Arial" w:hAnsi="Arial"/>
          <w:sz w:val="19"/>
          <w:szCs w:val="19"/>
          <w:color w:val="auto"/>
        </w:rPr>
      </w:pPr>
    </w:p>
    <w:p>
      <w:pPr>
        <w:ind w:left="720" w:hanging="360"/>
        <w:spacing w:after="0"/>
        <w:tabs>
          <w:tab w:leader="none" w:pos="720" w:val="left"/>
        </w:tabs>
        <w:numPr>
          <w:ilvl w:val="0"/>
          <w:numId w:val="77"/>
        </w:numPr>
        <w:rPr>
          <w:rFonts w:ascii="Arial" w:cs="Arial" w:eastAsia="Arial" w:hAnsi="Arial"/>
          <w:sz w:val="19"/>
          <w:szCs w:val="19"/>
          <w:color w:val="auto"/>
        </w:rPr>
      </w:pPr>
      <w:r>
        <w:rPr>
          <w:rFonts w:ascii="Arial" w:cs="Arial" w:eastAsia="Arial" w:hAnsi="Arial"/>
          <w:sz w:val="19"/>
          <w:szCs w:val="19"/>
          <w:color w:val="auto"/>
        </w:rPr>
        <w:t>raising additional funds necessary to complete clinical development of our product candidates;</w:t>
      </w:r>
    </w:p>
    <w:p>
      <w:pPr>
        <w:spacing w:after="0" w:line="172" w:lineRule="exact"/>
        <w:rPr>
          <w:rFonts w:ascii="Arial" w:cs="Arial" w:eastAsia="Arial" w:hAnsi="Arial"/>
          <w:sz w:val="19"/>
          <w:szCs w:val="19"/>
          <w:color w:val="auto"/>
        </w:rPr>
      </w:pPr>
    </w:p>
    <w:p>
      <w:pPr>
        <w:ind w:left="720" w:right="140" w:hanging="360"/>
        <w:spacing w:after="0" w:line="281" w:lineRule="auto"/>
        <w:tabs>
          <w:tab w:leader="none" w:pos="720" w:val="left"/>
        </w:tabs>
        <w:numPr>
          <w:ilvl w:val="0"/>
          <w:numId w:val="77"/>
        </w:numPr>
        <w:rPr>
          <w:rFonts w:ascii="Arial" w:cs="Arial" w:eastAsia="Arial" w:hAnsi="Arial"/>
          <w:sz w:val="19"/>
          <w:szCs w:val="19"/>
          <w:color w:val="auto"/>
        </w:rPr>
      </w:pPr>
      <w:r>
        <w:rPr>
          <w:rFonts w:ascii="Arial" w:cs="Arial" w:eastAsia="Arial" w:hAnsi="Arial"/>
          <w:sz w:val="19"/>
          <w:szCs w:val="19"/>
          <w:color w:val="auto"/>
        </w:rPr>
        <w:t>our ability to obtain and maintain third-party insurance coverage and adequate reimbursement for our product candidates, if and when approved;</w:t>
      </w:r>
    </w:p>
    <w:p>
      <w:pPr>
        <w:spacing w:after="0" w:line="98" w:lineRule="exact"/>
        <w:rPr>
          <w:rFonts w:ascii="Arial" w:cs="Arial" w:eastAsia="Arial" w:hAnsi="Arial"/>
          <w:sz w:val="19"/>
          <w:szCs w:val="19"/>
          <w:color w:val="auto"/>
        </w:rPr>
      </w:pPr>
    </w:p>
    <w:p>
      <w:pPr>
        <w:ind w:left="720" w:right="440" w:hanging="360"/>
        <w:spacing w:after="0" w:line="281" w:lineRule="auto"/>
        <w:tabs>
          <w:tab w:leader="none" w:pos="720" w:val="left"/>
        </w:tabs>
        <w:numPr>
          <w:ilvl w:val="0"/>
          <w:numId w:val="77"/>
        </w:numPr>
        <w:rPr>
          <w:rFonts w:ascii="Arial" w:cs="Arial" w:eastAsia="Arial" w:hAnsi="Arial"/>
          <w:sz w:val="19"/>
          <w:szCs w:val="19"/>
          <w:color w:val="auto"/>
        </w:rPr>
      </w:pPr>
      <w:r>
        <w:rPr>
          <w:rFonts w:ascii="Arial" w:cs="Arial" w:eastAsia="Arial" w:hAnsi="Arial"/>
          <w:sz w:val="19"/>
          <w:szCs w:val="19"/>
          <w:color w:val="auto"/>
        </w:rPr>
        <w:t>the acceptance of our product candidates, if approved, by patients, the medical community and third-party payors;</w:t>
      </w:r>
    </w:p>
    <w:p>
      <w:pPr>
        <w:spacing w:after="0" w:line="98" w:lineRule="exact"/>
        <w:rPr>
          <w:rFonts w:ascii="Arial" w:cs="Arial" w:eastAsia="Arial" w:hAnsi="Arial"/>
          <w:sz w:val="19"/>
          <w:szCs w:val="19"/>
          <w:color w:val="auto"/>
        </w:rPr>
      </w:pPr>
    </w:p>
    <w:p>
      <w:pPr>
        <w:ind w:left="720" w:hanging="360"/>
        <w:spacing w:after="0"/>
        <w:tabs>
          <w:tab w:leader="none" w:pos="720" w:val="left"/>
        </w:tabs>
        <w:numPr>
          <w:ilvl w:val="0"/>
          <w:numId w:val="77"/>
        </w:numPr>
        <w:rPr>
          <w:rFonts w:ascii="Arial" w:cs="Arial" w:eastAsia="Arial" w:hAnsi="Arial"/>
          <w:sz w:val="19"/>
          <w:szCs w:val="19"/>
          <w:color w:val="auto"/>
        </w:rPr>
      </w:pPr>
      <w:r>
        <w:rPr>
          <w:rFonts w:ascii="Arial" w:cs="Arial" w:eastAsia="Arial" w:hAnsi="Arial"/>
          <w:sz w:val="19"/>
          <w:szCs w:val="19"/>
          <w:color w:val="auto"/>
        </w:rPr>
        <w:t>effectively competing with other products if our product candidates are approved;</w:t>
      </w:r>
    </w:p>
    <w:p>
      <w:pPr>
        <w:spacing w:after="0" w:line="172" w:lineRule="exact"/>
        <w:rPr>
          <w:rFonts w:ascii="Arial" w:cs="Arial" w:eastAsia="Arial" w:hAnsi="Arial"/>
          <w:sz w:val="19"/>
          <w:szCs w:val="19"/>
          <w:color w:val="auto"/>
        </w:rPr>
      </w:pPr>
    </w:p>
    <w:p>
      <w:pPr>
        <w:ind w:left="720" w:hanging="360"/>
        <w:spacing w:after="0" w:line="260" w:lineRule="auto"/>
        <w:tabs>
          <w:tab w:leader="none" w:pos="720" w:val="left"/>
        </w:tabs>
        <w:numPr>
          <w:ilvl w:val="0"/>
          <w:numId w:val="77"/>
        </w:numPr>
        <w:rPr>
          <w:rFonts w:ascii="Arial" w:cs="Arial" w:eastAsia="Arial" w:hAnsi="Arial"/>
          <w:sz w:val="19"/>
          <w:szCs w:val="19"/>
          <w:color w:val="auto"/>
        </w:rPr>
      </w:pPr>
      <w:r>
        <w:rPr>
          <w:rFonts w:ascii="Arial" w:cs="Arial" w:eastAsia="Arial" w:hAnsi="Arial"/>
          <w:sz w:val="19"/>
          <w:szCs w:val="19"/>
          <w:color w:val="auto"/>
        </w:rPr>
        <w:t>the impact of any business interruptions to our operations, including the timing and enrollment of patients in our planned clinical trials, or to those of our manufacturers, suppliers, or other vendors resulting from any future public health crisis or ongoing geopolitical conflicts and related global economic sanctions;</w:t>
      </w:r>
    </w:p>
    <w:p>
      <w:pPr>
        <w:spacing w:after="0" w:line="118" w:lineRule="exact"/>
        <w:rPr>
          <w:rFonts w:ascii="Arial" w:cs="Arial" w:eastAsia="Arial" w:hAnsi="Arial"/>
          <w:sz w:val="19"/>
          <w:szCs w:val="19"/>
          <w:color w:val="auto"/>
        </w:rPr>
      </w:pPr>
    </w:p>
    <w:p>
      <w:pPr>
        <w:ind w:left="720" w:hanging="360"/>
        <w:spacing w:after="0"/>
        <w:tabs>
          <w:tab w:leader="none" w:pos="720" w:val="left"/>
        </w:tabs>
        <w:numPr>
          <w:ilvl w:val="0"/>
          <w:numId w:val="77"/>
        </w:numPr>
        <w:rPr>
          <w:rFonts w:ascii="Arial" w:cs="Arial" w:eastAsia="Arial" w:hAnsi="Arial"/>
          <w:sz w:val="19"/>
          <w:szCs w:val="19"/>
          <w:color w:val="auto"/>
        </w:rPr>
      </w:pPr>
      <w:r>
        <w:rPr>
          <w:rFonts w:ascii="Arial" w:cs="Arial" w:eastAsia="Arial" w:hAnsi="Arial"/>
          <w:sz w:val="19"/>
          <w:szCs w:val="19"/>
          <w:color w:val="auto"/>
        </w:rPr>
        <w:t>our ability to maintain a continued acceptable safety profile for our therapies following approval;</w:t>
      </w:r>
    </w:p>
    <w:p>
      <w:pPr>
        <w:spacing w:after="0" w:line="172" w:lineRule="exact"/>
        <w:rPr>
          <w:rFonts w:ascii="Arial" w:cs="Arial" w:eastAsia="Arial" w:hAnsi="Arial"/>
          <w:sz w:val="19"/>
          <w:szCs w:val="19"/>
          <w:color w:val="auto"/>
        </w:rPr>
      </w:pPr>
    </w:p>
    <w:p>
      <w:pPr>
        <w:ind w:left="720" w:right="80" w:hanging="360"/>
        <w:spacing w:after="0" w:line="281" w:lineRule="auto"/>
        <w:tabs>
          <w:tab w:leader="none" w:pos="720" w:val="left"/>
        </w:tabs>
        <w:numPr>
          <w:ilvl w:val="0"/>
          <w:numId w:val="77"/>
        </w:numPr>
        <w:rPr>
          <w:rFonts w:ascii="Arial" w:cs="Arial" w:eastAsia="Arial" w:hAnsi="Arial"/>
          <w:sz w:val="19"/>
          <w:szCs w:val="19"/>
          <w:color w:val="auto"/>
        </w:rPr>
      </w:pPr>
      <w:r>
        <w:rPr>
          <w:rFonts w:ascii="Arial" w:cs="Arial" w:eastAsia="Arial" w:hAnsi="Arial"/>
          <w:sz w:val="19"/>
          <w:szCs w:val="19"/>
          <w:color w:val="auto"/>
        </w:rPr>
        <w:t>our ability to obtain and maintain patents, trade secret and other intellectual property protection and regulatory exclusivity for our product candidates, both in the United States and internationally; and</w:t>
      </w:r>
    </w:p>
    <w:p>
      <w:pPr>
        <w:spacing w:after="0" w:line="98" w:lineRule="exact"/>
        <w:rPr>
          <w:rFonts w:ascii="Arial" w:cs="Arial" w:eastAsia="Arial" w:hAnsi="Arial"/>
          <w:sz w:val="19"/>
          <w:szCs w:val="19"/>
          <w:color w:val="auto"/>
        </w:rPr>
      </w:pPr>
    </w:p>
    <w:p>
      <w:pPr>
        <w:ind w:left="720" w:right="320" w:hanging="360"/>
        <w:spacing w:after="0" w:line="281" w:lineRule="auto"/>
        <w:tabs>
          <w:tab w:leader="none" w:pos="720" w:val="left"/>
        </w:tabs>
        <w:numPr>
          <w:ilvl w:val="0"/>
          <w:numId w:val="77"/>
        </w:numPr>
        <w:rPr>
          <w:rFonts w:ascii="Arial" w:cs="Arial" w:eastAsia="Arial" w:hAnsi="Arial"/>
          <w:sz w:val="19"/>
          <w:szCs w:val="19"/>
          <w:color w:val="auto"/>
        </w:rPr>
      </w:pPr>
      <w:r>
        <w:rPr>
          <w:rFonts w:ascii="Arial" w:cs="Arial" w:eastAsia="Arial" w:hAnsi="Arial"/>
          <w:sz w:val="19"/>
          <w:szCs w:val="19"/>
          <w:color w:val="auto"/>
        </w:rPr>
        <w:t>the expense of filing, prosecuting, defending and enforcing any patent claims and other intellectual property rights.</w:t>
      </w:r>
    </w:p>
    <w:p>
      <w:pPr>
        <w:spacing w:after="0" w:line="85" w:lineRule="exact"/>
        <w:rPr>
          <w:sz w:val="20"/>
          <w:szCs w:val="20"/>
          <w:color w:val="auto"/>
        </w:rPr>
      </w:pPr>
    </w:p>
    <w:p>
      <w:pPr>
        <w:ind w:right="360"/>
        <w:spacing w:after="0" w:line="260" w:lineRule="auto"/>
        <w:rPr>
          <w:sz w:val="20"/>
          <w:szCs w:val="20"/>
          <w:color w:val="auto"/>
        </w:rPr>
      </w:pPr>
      <w:r>
        <w:rPr>
          <w:rFonts w:ascii="Arial" w:cs="Arial" w:eastAsia="Arial" w:hAnsi="Arial"/>
          <w:sz w:val="19"/>
          <w:szCs w:val="19"/>
          <w:color w:val="auto"/>
        </w:rPr>
        <w:t>A change in the outcome of any of these variables with respect to the development of a product candidate could significantly change the costs and timing associated with the development of that product candidate. We may never succeed in obtaining regulatory approval for any of our product candidates.</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105</w:t>
      </w:r>
    </w:p>
    <w:p>
      <w:pPr>
        <w:sectPr>
          <w:pgSz w:w="12240" w:h="15840" w:orient="portrait"/>
          <w:cols w:equalWidth="0" w:num="1">
            <w:col w:w="10040"/>
          </w:cols>
          <w:pgMar w:left="1080" w:top="1062" w:right="1120" w:bottom="173" w:gutter="0" w:footer="0" w:header="0"/>
        </w:sectPr>
      </w:pPr>
    </w:p>
    <w:bookmarkStart w:id="109" w:name="page110"/>
    <w:bookmarkEnd w:id="109"/>
    <w:p>
      <w:pPr>
        <w:spacing w:after="0"/>
        <w:rPr>
          <w:sz w:val="20"/>
          <w:szCs w:val="20"/>
          <w:color w:val="auto"/>
        </w:rPr>
      </w:pPr>
      <w:r>
        <w:rPr>
          <w:rFonts w:ascii="Arial" w:cs="Arial" w:eastAsia="Arial" w:hAnsi="Arial"/>
          <w:sz w:val="19"/>
          <w:szCs w:val="19"/>
          <w:b w:val="1"/>
          <w:bCs w:val="1"/>
          <w:i w:val="1"/>
          <w:iCs w:val="1"/>
          <w:color w:val="auto"/>
        </w:rPr>
        <w:t>General and Administrative Expenses</w:t>
      </w:r>
    </w:p>
    <w:p>
      <w:pPr>
        <w:spacing w:after="0" w:line="156" w:lineRule="exact"/>
        <w:rPr>
          <w:sz w:val="20"/>
          <w:szCs w:val="20"/>
          <w:color w:val="auto"/>
        </w:rPr>
      </w:pPr>
    </w:p>
    <w:p>
      <w:pPr>
        <w:ind w:right="120"/>
        <w:spacing w:after="0" w:line="246" w:lineRule="auto"/>
        <w:rPr>
          <w:sz w:val="20"/>
          <w:szCs w:val="20"/>
          <w:color w:val="auto"/>
        </w:rPr>
      </w:pPr>
      <w:r>
        <w:rPr>
          <w:rFonts w:ascii="Arial" w:cs="Arial" w:eastAsia="Arial" w:hAnsi="Arial"/>
          <w:sz w:val="19"/>
          <w:szCs w:val="19"/>
          <w:color w:val="auto"/>
        </w:rPr>
        <w:t>General and administrative expenses consist primarily of salaries and other related costs, including stock-based compensation, for personnel in our executive, finance, business development, and administrative functions. General and administrative expenses also include legal fees relating to intellectual property and corporate matters; professional fees for accounting, auditing, tax and consulting services; insurance costs including directors and officers insurance; travel expenses; and facility-related expenses, which include direct depreciation costs and expenses for rent and maintenance of facilities, and other operating costs that are not specifically attributable to research and development activities.</w:t>
      </w:r>
    </w:p>
    <w:p>
      <w:pPr>
        <w:spacing w:after="0" w:line="122" w:lineRule="exact"/>
        <w:rPr>
          <w:sz w:val="20"/>
          <w:szCs w:val="20"/>
          <w:color w:val="auto"/>
        </w:rPr>
      </w:pPr>
    </w:p>
    <w:p>
      <w:pPr>
        <w:ind w:right="20"/>
        <w:spacing w:after="0" w:line="248" w:lineRule="auto"/>
        <w:rPr>
          <w:sz w:val="20"/>
          <w:szCs w:val="20"/>
          <w:color w:val="auto"/>
        </w:rPr>
      </w:pPr>
      <w:r>
        <w:rPr>
          <w:rFonts w:ascii="Arial" w:cs="Arial" w:eastAsia="Arial" w:hAnsi="Arial"/>
          <w:sz w:val="19"/>
          <w:szCs w:val="19"/>
          <w:color w:val="auto"/>
        </w:rPr>
        <w:t>We expect that our general and administrative expenses will increase in the future as we increase our personnel headcount to support our continued clinical development and manufacturing activities and to meet the requirements of a public company. We expect to incur increased expenses associated with being a public company, including costs of accounting, audit, legal, regulatory, and tax-related services associated with maintaining compliance with exchange listing and Securities and Exchange Commission (SEC) requirements; director and officer insurance costs; and investor and public relations costs.</w:t>
      </w:r>
    </w:p>
    <w:p>
      <w:pPr>
        <w:spacing w:after="0" w:line="12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Grant Income</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color w:val="auto"/>
        </w:rPr>
        <w:t>Grant income consists of amounts received under a grant from the Massachusetts Life Sciences Center.</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Interest Income</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color w:val="auto"/>
        </w:rPr>
        <w:t>Interest income consists of amounts earned on investment of cash equivalents.</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Interest Expense</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color w:val="auto"/>
        </w:rPr>
        <w:t>Interest expense consists of interest expense on our debt under our Loan Agreement with Silicon Valley Bank (SVB).</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Change in Fair Value of Warrant Liability</w:t>
      </w:r>
    </w:p>
    <w:p>
      <w:pPr>
        <w:spacing w:after="0" w:line="156" w:lineRule="exact"/>
        <w:rPr>
          <w:sz w:val="20"/>
          <w:szCs w:val="20"/>
          <w:color w:val="auto"/>
        </w:rPr>
      </w:pPr>
    </w:p>
    <w:p>
      <w:pPr>
        <w:spacing w:after="0" w:line="242" w:lineRule="auto"/>
        <w:rPr>
          <w:sz w:val="20"/>
          <w:szCs w:val="20"/>
          <w:color w:val="auto"/>
        </w:rPr>
      </w:pPr>
      <w:r>
        <w:rPr>
          <w:rFonts w:ascii="Arial" w:cs="Arial" w:eastAsia="Arial" w:hAnsi="Arial"/>
          <w:sz w:val="19"/>
          <w:szCs w:val="19"/>
          <w:color w:val="auto"/>
        </w:rPr>
        <w:t>In connection with the November 13, 2018 issuance of Series B preferred stock we issued warrants to the purchasers of the Series B preferred stock, to purchase up to 7,344,968 shares of our common stock with an exercise price of $6.81 per share. We also issued a warrant to the NC Incorporated Ohio Trust, an irrevocable trust funded by us, to purchase 162,740 shares of our common stock, $0.01 par value, at an exercise price of $1.46 per share, subject to adjustments as specified in the warrant agreement (the NC Ohio Warrants). Certain of those warrants are recorded as a liability on our balance sheet. The warrants recorded as a liability are remeasured to their fair value at each reporting date with changes in the fair value recognized as a component of other income (expense), net in the consolidated statements of operations. We will continue to recognize changes in the fair value of the warrants until they are exercised, expire or qualify for equity classification. The fair value of the warrants is determined based on significant inputs not observable in the market. The fair value of the warrants uses various valuation methods, including the Monte Carlo method, the option-pricing method, probability-weighted expected return and the hybrid method, all of which incorporate assumptions and estimates, to value the common stock warrants. The hybrid method is often used when a company is expecting a liquidity event in the near future and is a combination of the option-pricing and probability-weighted expected return methods. Estimates and assumptions impacting the fair value measurement include the fair value per share of the underlying shares of common stock, risk-free interest rate, expected dividend yield, and the remaining contractual term of the warrants. Therefore, the fair value may not be appropriately captured by simple models.</w:t>
      </w:r>
    </w:p>
    <w:p>
      <w:pPr>
        <w:spacing w:after="0" w:line="13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Income Taxes</w:t>
      </w:r>
    </w:p>
    <w:p>
      <w:pPr>
        <w:spacing w:after="0" w:line="156" w:lineRule="exact"/>
        <w:rPr>
          <w:sz w:val="20"/>
          <w:szCs w:val="20"/>
          <w:color w:val="auto"/>
        </w:rPr>
      </w:pPr>
    </w:p>
    <w:p>
      <w:pPr>
        <w:ind w:right="80"/>
        <w:spacing w:after="0" w:line="260" w:lineRule="auto"/>
        <w:rPr>
          <w:sz w:val="20"/>
          <w:szCs w:val="20"/>
          <w:color w:val="auto"/>
        </w:rPr>
      </w:pPr>
      <w:r>
        <w:rPr>
          <w:rFonts w:ascii="Arial" w:cs="Arial" w:eastAsia="Arial" w:hAnsi="Arial"/>
          <w:sz w:val="19"/>
          <w:szCs w:val="19"/>
          <w:color w:val="auto"/>
        </w:rPr>
        <w:t>Since our inception, we have generated cumulative federal and state net operating loss and research and development credit carryforwards for which we have not recorded any net tax benefit due to uncertainty around utilizing these tax attributes within their respective carryforward periods.</w:t>
      </w:r>
    </w:p>
    <w:p>
      <w:pPr>
        <w:spacing w:after="0" w:line="105" w:lineRule="exact"/>
        <w:rPr>
          <w:sz w:val="20"/>
          <w:szCs w:val="20"/>
          <w:color w:val="auto"/>
        </w:rPr>
      </w:pPr>
    </w:p>
    <w:p>
      <w:pPr>
        <w:ind w:right="160"/>
        <w:spacing w:after="0" w:line="246" w:lineRule="auto"/>
        <w:rPr>
          <w:sz w:val="20"/>
          <w:szCs w:val="20"/>
          <w:color w:val="auto"/>
        </w:rPr>
      </w:pPr>
      <w:r>
        <w:rPr>
          <w:rFonts w:ascii="Arial" w:cs="Arial" w:eastAsia="Arial" w:hAnsi="Arial"/>
          <w:sz w:val="19"/>
          <w:szCs w:val="19"/>
          <w:color w:val="auto"/>
        </w:rPr>
        <w:t>As of December 31, 2023, we had federal net operating loss carryforwards (NOLs) of approximately $86.2 million and state NOLs of approximately $79.6 million which may be available to offset future taxable income. Our federal NOLs include $8.8 million available to reduce future taxable income through 2037 and approximately $77.4 million of NOLs that do not expire and are available to reduce future taxable income indefinitely. The state NOLs are available to offset future taxable income through 2033. As of December 31, 2023, we also had federal and state research and development tax credit carryforwards of $4.5 million and $2.2 million, respectively, which are available to offset federal and state tax liabilities through 2043 and 2038, respectively.</w:t>
      </w:r>
    </w:p>
    <w:p>
      <w:pPr>
        <w:spacing w:after="0" w:line="122" w:lineRule="exact"/>
        <w:rPr>
          <w:sz w:val="20"/>
          <w:szCs w:val="20"/>
          <w:color w:val="auto"/>
        </w:rPr>
      </w:pPr>
    </w:p>
    <w:p>
      <w:pPr>
        <w:ind w:right="220"/>
        <w:spacing w:after="0" w:line="281" w:lineRule="auto"/>
        <w:rPr>
          <w:sz w:val="20"/>
          <w:szCs w:val="20"/>
          <w:color w:val="auto"/>
        </w:rPr>
      </w:pPr>
      <w:r>
        <w:rPr>
          <w:rFonts w:ascii="Arial" w:cs="Arial" w:eastAsia="Arial" w:hAnsi="Arial"/>
          <w:sz w:val="18"/>
          <w:szCs w:val="18"/>
          <w:color w:val="auto"/>
        </w:rPr>
        <w:t>Realization of future tax benefits is dependent on many factors, including our ability to generate taxable income within the NOL period. Our management has evaluated the positive and negative evidence bearing upon the realizability of our deferred tax assets, which are comprised principally of net operating loss carryforwards and certain tax credits.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106</w:t>
      </w:r>
    </w:p>
    <w:p>
      <w:pPr>
        <w:sectPr>
          <w:pgSz w:w="12240" w:h="15840" w:orient="portrait"/>
          <w:cols w:equalWidth="0" w:num="1">
            <w:col w:w="10080"/>
          </w:cols>
          <w:pgMar w:left="1080" w:top="1066" w:right="1080" w:bottom="173" w:gutter="0" w:footer="0" w:header="0"/>
        </w:sectPr>
      </w:pPr>
    </w:p>
    <w:bookmarkStart w:id="110" w:name="page111"/>
    <w:bookmarkEnd w:id="110"/>
    <w:p>
      <w:pPr>
        <w:ind w:left="20" w:right="20"/>
        <w:spacing w:after="0" w:line="260" w:lineRule="auto"/>
        <w:rPr>
          <w:sz w:val="20"/>
          <w:szCs w:val="20"/>
          <w:color w:val="auto"/>
        </w:rPr>
      </w:pPr>
      <w:r>
        <w:rPr>
          <w:rFonts w:ascii="Arial" w:cs="Arial" w:eastAsia="Arial" w:hAnsi="Arial"/>
          <w:sz w:val="19"/>
          <w:szCs w:val="19"/>
          <w:color w:val="auto"/>
        </w:rPr>
        <w:t>Management has considered our history of cumulative net losses incurred since inception, as well as our lack of product revenue since inception, and has determined that it is more likely than not that we will not realize the benefits of its deferred tax assets. As a result, a full valuation allowance has been established at December 31, 2023.</w:t>
      </w:r>
    </w:p>
    <w:p>
      <w:pPr>
        <w:spacing w:after="0" w:line="105" w:lineRule="exact"/>
        <w:rPr>
          <w:sz w:val="20"/>
          <w:szCs w:val="20"/>
          <w:color w:val="auto"/>
        </w:rPr>
      </w:pPr>
    </w:p>
    <w:p>
      <w:pPr>
        <w:ind w:left="20" w:right="60"/>
        <w:spacing w:after="0" w:line="245" w:lineRule="auto"/>
        <w:rPr>
          <w:sz w:val="20"/>
          <w:szCs w:val="20"/>
          <w:color w:val="auto"/>
        </w:rPr>
      </w:pPr>
      <w:r>
        <w:rPr>
          <w:rFonts w:ascii="Arial" w:cs="Arial" w:eastAsia="Arial" w:hAnsi="Arial"/>
          <w:sz w:val="19"/>
          <w:szCs w:val="19"/>
          <w:color w:val="auto"/>
        </w:rPr>
        <w:t>NOL and tax credit carryforwards may become subject to an annual limitation in the event of certain cumulative changes in the ownership interest of significant stockholders over a three-year period in excess of 50%, as provided under Sections 382 and 383 of the Internal Revenue Code of 1986, as amended (the Code), as well as under similar state provisions. These ownership changes may limit the amount of NOLs that can be utilized annually to offset future taxable income. In general, an ownership change, as defined under Section 382 of the Code (Section 382), results from transactions increasing the ownership of certain stockholders or public groups in the stock of a corporation by more than 50% over a three-year period. We have completed several financings and not yet determined if such a limitation would be placed against our NOL. We will make such a determination prior to the utilization of any NOL.</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Results of Operations</w:t>
      </w:r>
    </w:p>
    <w:p>
      <w:pPr>
        <w:spacing w:after="0" w:line="164" w:lineRule="exact"/>
        <w:rPr>
          <w:sz w:val="20"/>
          <w:szCs w:val="20"/>
          <w:color w:val="auto"/>
        </w:rPr>
      </w:pPr>
    </w:p>
    <w:p>
      <w:pPr>
        <w:ind w:left="20" w:right="820"/>
        <w:spacing w:after="0" w:line="281" w:lineRule="auto"/>
        <w:rPr>
          <w:sz w:val="20"/>
          <w:szCs w:val="20"/>
          <w:color w:val="auto"/>
        </w:rPr>
      </w:pPr>
      <w:r>
        <w:rPr>
          <w:rFonts w:ascii="Arial" w:cs="Arial" w:eastAsia="Arial" w:hAnsi="Arial"/>
          <w:sz w:val="19"/>
          <w:szCs w:val="19"/>
          <w:color w:val="auto"/>
        </w:rPr>
        <w:t>The following table summarizes our results of operations for the years ended December 31, 2023 and 2022 (in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44450</wp:posOffset>
                </wp:positionV>
                <wp:extent cx="6437630"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76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3.5pt" to="506.45pt,3.5pt" o:allowincell="f" strokecolor="#000000" strokeweight="0.75pt"/>
            </w:pict>
          </mc:Fallback>
        </mc:AlternateConten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40" w:type="dxa"/>
            <w:vAlign w:val="bottom"/>
            <w:gridSpan w:val="6"/>
          </w:tcPr>
          <w:p>
            <w:pPr>
              <w:jc w:val="right"/>
              <w:ind w:right="440"/>
              <w:spacing w:after="0"/>
              <w:rPr>
                <w:sz w:val="20"/>
                <w:szCs w:val="20"/>
                <w:color w:val="auto"/>
              </w:rPr>
            </w:pPr>
            <w:r>
              <w:rPr>
                <w:rFonts w:ascii="Arial" w:cs="Arial" w:eastAsia="Arial" w:hAnsi="Arial"/>
                <w:sz w:val="16"/>
                <w:szCs w:val="16"/>
                <w:b w:val="1"/>
                <w:bCs w:val="1"/>
                <w:color w:val="auto"/>
              </w:rPr>
              <w:t>YEAR ENDED DECEMBER 31,</w:t>
            </w:r>
          </w:p>
        </w:tc>
        <w:tc>
          <w:tcPr>
            <w:tcW w:w="160" w:type="dxa"/>
            <w:vAlign w:val="bottom"/>
          </w:tcPr>
          <w:p>
            <w:pPr>
              <w:spacing w:after="0"/>
              <w:rPr>
                <w:sz w:val="17"/>
                <w:szCs w:val="17"/>
                <w:color w:val="auto"/>
              </w:rPr>
            </w:pPr>
          </w:p>
        </w:tc>
        <w:tc>
          <w:tcPr>
            <w:tcW w:w="1140" w:type="dxa"/>
            <w:vAlign w:val="bottom"/>
            <w:gridSpan w:val="2"/>
            <w:vMerge w:val="restart"/>
          </w:tcPr>
          <w:p>
            <w:pPr>
              <w:jc w:val="right"/>
              <w:ind w:right="36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74"/>
        </w:trPr>
        <w:tc>
          <w:tcPr>
            <w:tcW w:w="5940" w:type="dxa"/>
            <w:vAlign w:val="bottom"/>
            <w:vMerge w:val="restart"/>
          </w:tcPr>
          <w:p>
            <w:pPr>
              <w:ind w:left="20"/>
              <w:spacing w:after="0"/>
              <w:rPr>
                <w:sz w:val="20"/>
                <w:szCs w:val="20"/>
                <w:color w:val="auto"/>
              </w:rPr>
            </w:pPr>
            <w:r>
              <w:rPr>
                <w:rFonts w:ascii="Arial" w:cs="Arial" w:eastAsia="Arial" w:hAnsi="Arial"/>
                <w:sz w:val="19"/>
                <w:szCs w:val="19"/>
                <w:color w:val="auto"/>
              </w:rPr>
              <w:t>Research and development service revenue</w:t>
            </w: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328"/>
              <w:spacing w:after="0" w:line="174" w:lineRule="exact"/>
              <w:rPr>
                <w:sz w:val="20"/>
                <w:szCs w:val="20"/>
                <w:color w:val="auto"/>
              </w:rPr>
            </w:pPr>
            <w:r>
              <w:rPr>
                <w:rFonts w:ascii="Arial" w:cs="Arial" w:eastAsia="Arial" w:hAnsi="Arial"/>
                <w:sz w:val="16"/>
                <w:szCs w:val="16"/>
                <w:b w:val="1"/>
                <w:bCs w:val="1"/>
                <w:color w:val="auto"/>
              </w:rPr>
              <w:t>2023</w:t>
            </w:r>
          </w:p>
        </w:tc>
        <w:tc>
          <w:tcPr>
            <w:tcW w:w="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326"/>
              <w:spacing w:after="0" w:line="174" w:lineRule="exact"/>
              <w:rPr>
                <w:sz w:val="20"/>
                <w:szCs w:val="20"/>
                <w:color w:val="auto"/>
              </w:rPr>
            </w:pPr>
            <w:r>
              <w:rPr>
                <w:rFonts w:ascii="Arial" w:cs="Arial" w:eastAsia="Arial" w:hAnsi="Arial"/>
                <w:sz w:val="16"/>
                <w:szCs w:val="16"/>
                <w:b w:val="1"/>
                <w:bCs w:val="1"/>
                <w:color w:val="auto"/>
              </w:rPr>
              <w:t>2022</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940" w:type="dxa"/>
            <w:vAlign w:val="bottom"/>
            <w:vMerge w:val="continue"/>
          </w:tcPr>
          <w:p>
            <w:pPr>
              <w:spacing w:after="0"/>
              <w:rPr>
                <w:sz w:val="16"/>
                <w:szCs w:val="16"/>
                <w:color w:val="auto"/>
              </w:rPr>
            </w:pPr>
          </w:p>
        </w:tc>
        <w:tc>
          <w:tcPr>
            <w:tcW w:w="14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9"/>
                <w:szCs w:val="19"/>
                <w:color w:val="auto"/>
                <w:w w:val="75"/>
              </w:rPr>
              <w:t>$</w:t>
            </w:r>
          </w:p>
        </w:tc>
        <w:tc>
          <w:tcPr>
            <w:tcW w:w="104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9"/>
                <w:szCs w:val="19"/>
                <w:color w:val="auto"/>
              </w:rPr>
              <w:t>—</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top w:val="single" w:sz="8" w:color="auto"/>
            </w:tcBorders>
          </w:tcPr>
          <w:p>
            <w:pPr>
              <w:jc w:val="right"/>
              <w:ind w:right="65"/>
              <w:spacing w:after="0" w:line="191" w:lineRule="exact"/>
              <w:rPr>
                <w:sz w:val="20"/>
                <w:szCs w:val="20"/>
                <w:color w:val="auto"/>
              </w:rPr>
            </w:pPr>
            <w:r>
              <w:rPr>
                <w:rFonts w:ascii="Arial" w:cs="Arial" w:eastAsia="Arial" w:hAnsi="Arial"/>
                <w:sz w:val="19"/>
                <w:szCs w:val="19"/>
                <w:color w:val="auto"/>
                <w:w w:val="75"/>
              </w:rPr>
              <w:t>$</w:t>
            </w:r>
          </w:p>
        </w:tc>
        <w:tc>
          <w:tcPr>
            <w:tcW w:w="92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9"/>
                <w:szCs w:val="19"/>
                <w:color w:val="auto"/>
              </w:rPr>
              <w:t>125</w:t>
            </w:r>
          </w:p>
        </w:tc>
        <w:tc>
          <w:tcPr>
            <w:tcW w:w="260" w:type="dxa"/>
            <w:vAlign w:val="bottom"/>
          </w:tcPr>
          <w:p>
            <w:pPr>
              <w:spacing w:after="0"/>
              <w:rPr>
                <w:sz w:val="16"/>
                <w:szCs w:val="16"/>
                <w:color w:val="auto"/>
              </w:rPr>
            </w:pPr>
          </w:p>
        </w:tc>
        <w:tc>
          <w:tcPr>
            <w:tcW w:w="16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9"/>
                <w:szCs w:val="19"/>
                <w:color w:val="auto"/>
                <w:w w:val="75"/>
              </w:rPr>
              <w:t>$</w:t>
            </w:r>
          </w:p>
        </w:tc>
        <w:tc>
          <w:tcPr>
            <w:tcW w:w="102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9"/>
                <w:szCs w:val="19"/>
                <w:color w:val="auto"/>
              </w:rPr>
              <w:t>(125)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940" w:type="dxa"/>
            <w:vAlign w:val="bottom"/>
          </w:tcPr>
          <w:p>
            <w:pPr>
              <w:ind w:left="20"/>
              <w:spacing w:after="0"/>
              <w:rPr>
                <w:sz w:val="20"/>
                <w:szCs w:val="20"/>
                <w:color w:val="auto"/>
              </w:rPr>
            </w:pPr>
            <w:r>
              <w:rPr>
                <w:rFonts w:ascii="Arial" w:cs="Arial" w:eastAsia="Arial" w:hAnsi="Arial"/>
                <w:sz w:val="19"/>
                <w:szCs w:val="19"/>
                <w:color w:val="auto"/>
              </w:rPr>
              <w:t>Operating expenses: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940" w:type="dxa"/>
            <w:vAlign w:val="bottom"/>
          </w:tcPr>
          <w:p>
            <w:pPr>
              <w:ind w:left="300"/>
              <w:spacing w:after="0"/>
              <w:rPr>
                <w:sz w:val="20"/>
                <w:szCs w:val="20"/>
                <w:color w:val="auto"/>
              </w:rPr>
            </w:pPr>
            <w:r>
              <w:rPr>
                <w:rFonts w:ascii="Arial" w:cs="Arial" w:eastAsia="Arial" w:hAnsi="Arial"/>
                <w:sz w:val="19"/>
                <w:szCs w:val="19"/>
                <w:color w:val="auto"/>
              </w:rPr>
              <w:t>Research and development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24,506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20,787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3,719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40" w:type="dxa"/>
            <w:vAlign w:val="bottom"/>
          </w:tcPr>
          <w:p>
            <w:pPr>
              <w:ind w:left="300"/>
              <w:spacing w:after="0"/>
              <w:rPr>
                <w:sz w:val="20"/>
                <w:szCs w:val="20"/>
                <w:color w:val="auto"/>
              </w:rPr>
            </w:pPr>
            <w:r>
              <w:rPr>
                <w:rFonts w:ascii="Arial" w:cs="Arial" w:eastAsia="Arial" w:hAnsi="Arial"/>
                <w:sz w:val="19"/>
                <w:szCs w:val="19"/>
                <w:color w:val="auto"/>
              </w:rPr>
              <w:t>General and administrative</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13,885</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14,060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9"/>
                <w:szCs w:val="19"/>
                <w:color w:val="auto"/>
              </w:rPr>
              <w:t>(175)</w:t>
            </w:r>
          </w:p>
        </w:tc>
        <w:tc>
          <w:tcPr>
            <w:tcW w:w="0" w:type="dxa"/>
            <w:vAlign w:val="bottom"/>
          </w:tcPr>
          <w:p>
            <w:pPr>
              <w:spacing w:after="0"/>
              <w:rPr>
                <w:sz w:val="1"/>
                <w:szCs w:val="1"/>
                <w:color w:val="auto"/>
              </w:rPr>
            </w:pPr>
          </w:p>
        </w:tc>
      </w:tr>
      <w:tr>
        <w:trPr>
          <w:trHeight w:val="208"/>
        </w:trPr>
        <w:tc>
          <w:tcPr>
            <w:tcW w:w="5940" w:type="dxa"/>
            <w:vAlign w:val="bottom"/>
          </w:tcPr>
          <w:p>
            <w:pPr>
              <w:ind w:left="580"/>
              <w:spacing w:after="0" w:line="209" w:lineRule="exact"/>
              <w:rPr>
                <w:sz w:val="20"/>
                <w:szCs w:val="20"/>
                <w:color w:val="auto"/>
              </w:rPr>
            </w:pPr>
            <w:r>
              <w:rPr>
                <w:rFonts w:ascii="Arial" w:cs="Arial" w:eastAsia="Arial" w:hAnsi="Arial"/>
                <w:sz w:val="19"/>
                <w:szCs w:val="19"/>
                <w:color w:val="auto"/>
              </w:rPr>
              <w:t>Total operating expenses</w:t>
            </w:r>
          </w:p>
        </w:tc>
        <w:tc>
          <w:tcPr>
            <w:tcW w:w="1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38,391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34,847</w:t>
            </w:r>
          </w:p>
        </w:tc>
        <w:tc>
          <w:tcPr>
            <w:tcW w:w="2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3,544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940" w:type="dxa"/>
            <w:vAlign w:val="bottom"/>
          </w:tcPr>
          <w:p>
            <w:pPr>
              <w:ind w:left="20"/>
              <w:spacing w:after="0" w:line="191" w:lineRule="exact"/>
              <w:rPr>
                <w:sz w:val="20"/>
                <w:szCs w:val="20"/>
                <w:color w:val="auto"/>
              </w:rPr>
            </w:pPr>
            <w:r>
              <w:rPr>
                <w:rFonts w:ascii="Arial" w:cs="Arial" w:eastAsia="Arial" w:hAnsi="Arial"/>
                <w:sz w:val="19"/>
                <w:szCs w:val="19"/>
                <w:color w:val="auto"/>
              </w:rPr>
              <w:t>Loss from operations</w:t>
            </w:r>
          </w:p>
        </w:tc>
        <w:tc>
          <w:tcPr>
            <w:tcW w:w="140" w:type="dxa"/>
            <w:vAlign w:val="bottom"/>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Arial" w:cs="Arial" w:eastAsia="Arial" w:hAnsi="Arial"/>
                <w:sz w:val="19"/>
                <w:szCs w:val="19"/>
                <w:color w:val="auto"/>
              </w:rPr>
              <w:t>(38,391)</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line="191" w:lineRule="exact"/>
              <w:rPr>
                <w:sz w:val="20"/>
                <w:szCs w:val="20"/>
                <w:color w:val="auto"/>
              </w:rPr>
            </w:pPr>
            <w:r>
              <w:rPr>
                <w:rFonts w:ascii="Arial" w:cs="Arial" w:eastAsia="Arial" w:hAnsi="Arial"/>
                <w:sz w:val="19"/>
                <w:szCs w:val="19"/>
                <w:color w:val="auto"/>
              </w:rPr>
              <w:t>(34,722)</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line="191" w:lineRule="exact"/>
              <w:rPr>
                <w:sz w:val="20"/>
                <w:szCs w:val="20"/>
                <w:color w:val="auto"/>
              </w:rPr>
            </w:pPr>
            <w:r>
              <w:rPr>
                <w:rFonts w:ascii="Arial" w:cs="Arial" w:eastAsia="Arial" w:hAnsi="Arial"/>
                <w:sz w:val="19"/>
                <w:szCs w:val="19"/>
                <w:color w:val="auto"/>
              </w:rPr>
              <w:t>(3,669)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940" w:type="dxa"/>
            <w:vAlign w:val="bottom"/>
          </w:tcPr>
          <w:p>
            <w:pPr>
              <w:ind w:left="20"/>
              <w:spacing w:after="0"/>
              <w:rPr>
                <w:sz w:val="20"/>
                <w:szCs w:val="20"/>
                <w:color w:val="auto"/>
              </w:rPr>
            </w:pPr>
            <w:r>
              <w:rPr>
                <w:rFonts w:ascii="Arial" w:cs="Arial" w:eastAsia="Arial" w:hAnsi="Arial"/>
                <w:sz w:val="19"/>
                <w:szCs w:val="19"/>
                <w:color w:val="auto"/>
              </w:rPr>
              <w:t>Grant income</w:t>
            </w:r>
          </w:p>
        </w:tc>
        <w:tc>
          <w:tcPr>
            <w:tcW w:w="140" w:type="dxa"/>
            <w:vAlign w:val="bottom"/>
          </w:tcPr>
          <w:p>
            <w:pPr>
              <w:spacing w:after="0"/>
              <w:rPr>
                <w:sz w:val="18"/>
                <w:szCs w:val="18"/>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9"/>
                <w:szCs w:val="19"/>
                <w:color w:val="auto"/>
              </w:rPr>
              <w:t>—</w:t>
            </w:r>
          </w:p>
        </w:tc>
        <w:tc>
          <w:tcPr>
            <w:tcW w:w="26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9"/>
                <w:szCs w:val="19"/>
                <w:color w:val="auto"/>
              </w:rPr>
              <w:t>48</w:t>
            </w:r>
          </w:p>
        </w:tc>
        <w:tc>
          <w:tcPr>
            <w:tcW w:w="1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9"/>
                <w:szCs w:val="19"/>
                <w:color w:val="auto"/>
              </w:rPr>
              <w:t>(48)</w:t>
            </w:r>
          </w:p>
        </w:tc>
        <w:tc>
          <w:tcPr>
            <w:tcW w:w="0" w:type="dxa"/>
            <w:vAlign w:val="bottom"/>
          </w:tcPr>
          <w:p>
            <w:pPr>
              <w:spacing w:after="0"/>
              <w:rPr>
                <w:sz w:val="1"/>
                <w:szCs w:val="1"/>
                <w:color w:val="auto"/>
              </w:rPr>
            </w:pPr>
          </w:p>
        </w:tc>
      </w:tr>
      <w:tr>
        <w:trPr>
          <w:trHeight w:val="218"/>
        </w:trPr>
        <w:tc>
          <w:tcPr>
            <w:tcW w:w="5940" w:type="dxa"/>
            <w:vAlign w:val="bottom"/>
          </w:tcPr>
          <w:p>
            <w:pPr>
              <w:ind w:left="20"/>
              <w:spacing w:after="0"/>
              <w:rPr>
                <w:sz w:val="20"/>
                <w:szCs w:val="20"/>
                <w:color w:val="auto"/>
              </w:rPr>
            </w:pPr>
            <w:r>
              <w:rPr>
                <w:rFonts w:ascii="Arial" w:cs="Arial" w:eastAsia="Arial" w:hAnsi="Arial"/>
                <w:sz w:val="19"/>
                <w:szCs w:val="19"/>
                <w:color w:val="auto"/>
              </w:rPr>
              <w:t>Interest income</w:t>
            </w:r>
          </w:p>
        </w:tc>
        <w:tc>
          <w:tcPr>
            <w:tcW w:w="1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9"/>
                <w:szCs w:val="19"/>
                <w:color w:val="auto"/>
              </w:rPr>
              <w:t>2,081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9"/>
                <w:szCs w:val="19"/>
                <w:color w:val="auto"/>
              </w:rPr>
              <w:t>1,218</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863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940" w:type="dxa"/>
            <w:vAlign w:val="bottom"/>
          </w:tcPr>
          <w:p>
            <w:pPr>
              <w:ind w:left="20"/>
              <w:spacing w:after="0"/>
              <w:rPr>
                <w:sz w:val="20"/>
                <w:szCs w:val="20"/>
                <w:color w:val="auto"/>
              </w:rPr>
            </w:pPr>
            <w:r>
              <w:rPr>
                <w:rFonts w:ascii="Arial" w:cs="Arial" w:eastAsia="Arial" w:hAnsi="Arial"/>
                <w:sz w:val="19"/>
                <w:szCs w:val="19"/>
                <w:color w:val="auto"/>
              </w:rPr>
              <w:t>Interest expense</w:t>
            </w:r>
          </w:p>
        </w:tc>
        <w:tc>
          <w:tcPr>
            <w:tcW w:w="140" w:type="dxa"/>
            <w:vAlign w:val="bottom"/>
          </w:tcPr>
          <w:p>
            <w:pPr>
              <w:spacing w:after="0"/>
              <w:rPr>
                <w:sz w:val="18"/>
                <w:szCs w:val="18"/>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9"/>
                <w:szCs w:val="19"/>
                <w:color w:val="auto"/>
              </w:rPr>
              <w:t>(2,595)</w:t>
            </w: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9"/>
                <w:szCs w:val="19"/>
                <w:color w:val="auto"/>
              </w:rPr>
              <w:t>(1,708)</w:t>
            </w:r>
          </w:p>
        </w:tc>
        <w:tc>
          <w:tcPr>
            <w:tcW w:w="1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9"/>
                <w:szCs w:val="19"/>
                <w:color w:val="auto"/>
              </w:rPr>
              <w:t>(887)</w:t>
            </w:r>
          </w:p>
        </w:tc>
        <w:tc>
          <w:tcPr>
            <w:tcW w:w="0" w:type="dxa"/>
            <w:vAlign w:val="bottom"/>
          </w:tcPr>
          <w:p>
            <w:pPr>
              <w:spacing w:after="0"/>
              <w:rPr>
                <w:sz w:val="1"/>
                <w:szCs w:val="1"/>
                <w:color w:val="auto"/>
              </w:rPr>
            </w:pPr>
          </w:p>
        </w:tc>
      </w:tr>
      <w:tr>
        <w:trPr>
          <w:trHeight w:val="236"/>
        </w:trPr>
        <w:tc>
          <w:tcPr>
            <w:tcW w:w="5940" w:type="dxa"/>
            <w:vAlign w:val="bottom"/>
          </w:tcPr>
          <w:p>
            <w:pPr>
              <w:ind w:left="20"/>
              <w:spacing w:after="0"/>
              <w:rPr>
                <w:sz w:val="20"/>
                <w:szCs w:val="20"/>
                <w:color w:val="auto"/>
              </w:rPr>
            </w:pPr>
            <w:r>
              <w:rPr>
                <w:rFonts w:ascii="Arial" w:cs="Arial" w:eastAsia="Arial" w:hAnsi="Arial"/>
                <w:sz w:val="19"/>
                <w:szCs w:val="19"/>
                <w:color w:val="auto"/>
              </w:rPr>
              <w:t>Change in fair value of warrant liability</w:t>
            </w:r>
          </w:p>
        </w:tc>
        <w:tc>
          <w:tcPr>
            <w:tcW w:w="14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9"/>
                <w:szCs w:val="19"/>
                <w:color w:val="auto"/>
              </w:rPr>
              <w:t>966</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16,370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9"/>
                <w:szCs w:val="19"/>
                <w:color w:val="auto"/>
              </w:rPr>
              <w:t>(15,404)</w:t>
            </w:r>
          </w:p>
        </w:tc>
        <w:tc>
          <w:tcPr>
            <w:tcW w:w="0" w:type="dxa"/>
            <w:vAlign w:val="bottom"/>
          </w:tcPr>
          <w:p>
            <w:pPr>
              <w:spacing w:after="0"/>
              <w:rPr>
                <w:sz w:val="1"/>
                <w:szCs w:val="1"/>
                <w:color w:val="auto"/>
              </w:rPr>
            </w:pPr>
          </w:p>
        </w:tc>
      </w:tr>
      <w:tr>
        <w:trPr>
          <w:trHeight w:val="208"/>
        </w:trPr>
        <w:tc>
          <w:tcPr>
            <w:tcW w:w="5940" w:type="dxa"/>
            <w:vAlign w:val="bottom"/>
          </w:tcPr>
          <w:p>
            <w:pPr>
              <w:ind w:left="20"/>
              <w:spacing w:after="0" w:line="209" w:lineRule="exact"/>
              <w:rPr>
                <w:sz w:val="20"/>
                <w:szCs w:val="20"/>
                <w:color w:val="auto"/>
              </w:rPr>
            </w:pPr>
            <w:r>
              <w:rPr>
                <w:rFonts w:ascii="Arial" w:cs="Arial" w:eastAsia="Arial" w:hAnsi="Arial"/>
                <w:sz w:val="19"/>
                <w:szCs w:val="19"/>
                <w:color w:val="auto"/>
              </w:rPr>
              <w:t>Net loss</w:t>
            </w:r>
          </w:p>
        </w:tc>
        <w:tc>
          <w:tcPr>
            <w:tcW w:w="140" w:type="dxa"/>
            <w:vAlign w:val="bottom"/>
            <w:tcBorders>
              <w:top w:val="single" w:sz="8" w:color="auto"/>
            </w:tcBorders>
          </w:tcPr>
          <w:p>
            <w:pPr>
              <w:jc w:val="right"/>
              <w:spacing w:after="0" w:line="209" w:lineRule="exact"/>
              <w:rPr>
                <w:sz w:val="20"/>
                <w:szCs w:val="20"/>
                <w:color w:val="auto"/>
              </w:rPr>
            </w:pPr>
            <w:r>
              <w:rPr>
                <w:rFonts w:ascii="Arial" w:cs="Arial" w:eastAsia="Arial" w:hAnsi="Arial"/>
                <w:sz w:val="19"/>
                <w:szCs w:val="19"/>
                <w:color w:val="auto"/>
                <w:w w:val="75"/>
              </w:rPr>
              <w:t>$</w:t>
            </w:r>
          </w:p>
        </w:tc>
        <w:tc>
          <w:tcPr>
            <w:tcW w:w="1060" w:type="dxa"/>
            <w:vAlign w:val="bottom"/>
            <w:tcBorders>
              <w:top w:val="single" w:sz="8" w:color="auto"/>
            </w:tcBorders>
            <w:gridSpan w:val="2"/>
          </w:tcPr>
          <w:p>
            <w:pPr>
              <w:jc w:val="right"/>
              <w:ind w:right="20"/>
              <w:spacing w:after="0" w:line="209" w:lineRule="exact"/>
              <w:rPr>
                <w:sz w:val="20"/>
                <w:szCs w:val="20"/>
                <w:color w:val="auto"/>
              </w:rPr>
            </w:pPr>
            <w:r>
              <w:rPr>
                <w:rFonts w:ascii="Arial" w:cs="Arial" w:eastAsia="Arial" w:hAnsi="Arial"/>
                <w:sz w:val="19"/>
                <w:szCs w:val="19"/>
                <w:color w:val="auto"/>
              </w:rPr>
              <w:t>(37,939)</w:t>
            </w:r>
          </w:p>
        </w:tc>
        <w:tc>
          <w:tcPr>
            <w:tcW w:w="240" w:type="dxa"/>
            <w:vAlign w:val="bottom"/>
          </w:tcPr>
          <w:p>
            <w:pPr>
              <w:spacing w:after="0"/>
              <w:rPr>
                <w:sz w:val="18"/>
                <w:szCs w:val="18"/>
                <w:color w:val="auto"/>
              </w:rPr>
            </w:pPr>
          </w:p>
        </w:tc>
        <w:tc>
          <w:tcPr>
            <w:tcW w:w="260" w:type="dxa"/>
            <w:vAlign w:val="bottom"/>
            <w:tcBorders>
              <w:top w:val="single" w:sz="8" w:color="auto"/>
            </w:tcBorders>
          </w:tcPr>
          <w:p>
            <w:pPr>
              <w:jc w:val="right"/>
              <w:ind w:right="65"/>
              <w:spacing w:after="0" w:line="209" w:lineRule="exact"/>
              <w:rPr>
                <w:sz w:val="20"/>
                <w:szCs w:val="20"/>
                <w:color w:val="auto"/>
              </w:rPr>
            </w:pPr>
            <w:r>
              <w:rPr>
                <w:rFonts w:ascii="Arial" w:cs="Arial" w:eastAsia="Arial" w:hAnsi="Arial"/>
                <w:sz w:val="19"/>
                <w:szCs w:val="19"/>
                <w:color w:val="auto"/>
                <w:w w:val="75"/>
              </w:rPr>
              <w:t>$</w:t>
            </w:r>
          </w:p>
        </w:tc>
        <w:tc>
          <w:tcPr>
            <w:tcW w:w="920" w:type="dxa"/>
            <w:vAlign w:val="bottom"/>
            <w:tcBorders>
              <w:top w:val="single" w:sz="8" w:color="auto"/>
            </w:tcBorders>
          </w:tcPr>
          <w:p>
            <w:pPr>
              <w:jc w:val="right"/>
              <w:spacing w:after="0" w:line="209" w:lineRule="exact"/>
              <w:rPr>
                <w:sz w:val="20"/>
                <w:szCs w:val="20"/>
                <w:color w:val="auto"/>
              </w:rPr>
            </w:pPr>
            <w:r>
              <w:rPr>
                <w:rFonts w:ascii="Arial" w:cs="Arial" w:eastAsia="Arial" w:hAnsi="Arial"/>
                <w:sz w:val="19"/>
                <w:szCs w:val="19"/>
                <w:color w:val="auto"/>
              </w:rPr>
              <w:t>(18,794)</w:t>
            </w:r>
          </w:p>
        </w:tc>
        <w:tc>
          <w:tcPr>
            <w:tcW w:w="260" w:type="dxa"/>
            <w:vAlign w:val="bottom"/>
          </w:tcPr>
          <w:p>
            <w:pPr>
              <w:spacing w:after="0"/>
              <w:rPr>
                <w:sz w:val="18"/>
                <w:szCs w:val="18"/>
                <w:color w:val="auto"/>
              </w:rPr>
            </w:pPr>
          </w:p>
        </w:tc>
        <w:tc>
          <w:tcPr>
            <w:tcW w:w="160" w:type="dxa"/>
            <w:vAlign w:val="bottom"/>
            <w:tcBorders>
              <w:top w:val="single" w:sz="8" w:color="auto"/>
            </w:tcBorders>
          </w:tcPr>
          <w:p>
            <w:pPr>
              <w:jc w:val="right"/>
              <w:spacing w:after="0" w:line="209" w:lineRule="exact"/>
              <w:rPr>
                <w:sz w:val="20"/>
                <w:szCs w:val="20"/>
                <w:color w:val="auto"/>
              </w:rPr>
            </w:pPr>
            <w:r>
              <w:rPr>
                <w:rFonts w:ascii="Arial" w:cs="Arial" w:eastAsia="Arial" w:hAnsi="Arial"/>
                <w:sz w:val="19"/>
                <w:szCs w:val="19"/>
                <w:color w:val="auto"/>
                <w:w w:val="75"/>
              </w:rPr>
              <w:t>$</w:t>
            </w:r>
          </w:p>
        </w:tc>
        <w:tc>
          <w:tcPr>
            <w:tcW w:w="1020" w:type="dxa"/>
            <w:vAlign w:val="bottom"/>
            <w:tcBorders>
              <w:top w:val="single" w:sz="8" w:color="auto"/>
            </w:tcBorders>
          </w:tcPr>
          <w:p>
            <w:pPr>
              <w:jc w:val="right"/>
              <w:spacing w:after="0" w:line="209" w:lineRule="exact"/>
              <w:rPr>
                <w:sz w:val="20"/>
                <w:szCs w:val="20"/>
                <w:color w:val="auto"/>
              </w:rPr>
            </w:pPr>
            <w:r>
              <w:rPr>
                <w:rFonts w:ascii="Arial" w:cs="Arial" w:eastAsia="Arial" w:hAnsi="Arial"/>
                <w:sz w:val="19"/>
                <w:szCs w:val="19"/>
                <w:color w:val="auto"/>
              </w:rPr>
              <w:t>(19,145)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tcBorders>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-1607820</wp:posOffset>
            </wp:positionV>
            <wp:extent cx="6438900" cy="15894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a:extLst>
                        <a:ext uri="{28A0092B-C50C-407E-A947-70E740481C1C}"/>
                      </a:extLst>
                    </a:blip>
                    <a:srcRect/>
                    <a:stretch>
                      <a:fillRect/>
                    </a:stretch>
                  </pic:blipFill>
                  <pic:spPr bwMode="auto">
                    <a:xfrm>
                      <a:off x="0" y="0"/>
                      <a:ext cx="6438900" cy="1589405"/>
                    </a:xfrm>
                    <a:prstGeom prst="rect">
                      <a:avLst/>
                    </a:prstGeom>
                    <a:noFill/>
                  </pic:spPr>
                </pic:pic>
              </a:graphicData>
            </a:graphic>
          </wp:anchor>
        </w:drawing>
      </w:r>
    </w:p>
    <w:p>
      <w:pPr>
        <w:spacing w:after="0" w:line="162" w:lineRule="exact"/>
        <w:rPr>
          <w:sz w:val="20"/>
          <w:szCs w:val="20"/>
          <w:color w:val="auto"/>
        </w:rPr>
      </w:pPr>
    </w:p>
    <w:p>
      <w:pPr>
        <w:ind w:left="20" w:right="4580"/>
        <w:spacing w:after="0" w:line="417" w:lineRule="auto"/>
        <w:rPr>
          <w:sz w:val="20"/>
          <w:szCs w:val="20"/>
          <w:color w:val="auto"/>
        </w:rPr>
      </w:pPr>
      <w:r>
        <w:rPr>
          <w:rFonts w:ascii="Arial" w:cs="Arial" w:eastAsia="Arial" w:hAnsi="Arial"/>
          <w:sz w:val="19"/>
          <w:szCs w:val="19"/>
          <w:b w:val="1"/>
          <w:bCs w:val="1"/>
          <w:color w:val="auto"/>
        </w:rPr>
        <w:t xml:space="preserve">Comparison of the Years Ended December 31, 2023 and 2022 </w:t>
      </w:r>
      <w:r>
        <w:rPr>
          <w:rFonts w:ascii="Arial" w:cs="Arial" w:eastAsia="Arial" w:hAnsi="Arial"/>
          <w:sz w:val="19"/>
          <w:szCs w:val="19"/>
          <w:b w:val="1"/>
          <w:bCs w:val="1"/>
          <w:i w:val="1"/>
          <w:iCs w:val="1"/>
          <w:color w:val="auto"/>
        </w:rPr>
        <w:t>Revenue</w:t>
      </w:r>
    </w:p>
    <w:p>
      <w:pPr>
        <w:spacing w:after="0" w:line="2" w:lineRule="exact"/>
        <w:rPr>
          <w:sz w:val="20"/>
          <w:szCs w:val="20"/>
          <w:color w:val="auto"/>
        </w:rPr>
      </w:pPr>
    </w:p>
    <w:p>
      <w:pPr>
        <w:ind w:left="20" w:right="320"/>
        <w:spacing w:after="0" w:line="253" w:lineRule="auto"/>
        <w:rPr>
          <w:sz w:val="20"/>
          <w:szCs w:val="20"/>
          <w:color w:val="auto"/>
        </w:rPr>
      </w:pPr>
      <w:r>
        <w:rPr>
          <w:rFonts w:ascii="Arial" w:cs="Arial" w:eastAsia="Arial" w:hAnsi="Arial"/>
          <w:sz w:val="19"/>
          <w:szCs w:val="19"/>
          <w:color w:val="auto"/>
        </w:rPr>
        <w:t>We had research and development service revenue of zero and $0.1 million for the years ended December 31, 2023 and 2022, respectively. This represents the recognition as research and development service revenue of a portion of the $1.0 million that we received in 2014 and 2015 from Ventagen, a related party, which was recognized over the period during which we provided the services, and was fully recognized as of December 31, 2022.</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9"/>
          <w:szCs w:val="19"/>
          <w:b w:val="1"/>
          <w:bCs w:val="1"/>
          <w:i w:val="1"/>
          <w:iCs w:val="1"/>
          <w:color w:val="auto"/>
        </w:rPr>
        <w:t>Research and Development Expenses</w:t>
      </w:r>
    </w:p>
    <w:p>
      <w:pPr>
        <w:spacing w:after="0" w:line="156" w:lineRule="exact"/>
        <w:rPr>
          <w:sz w:val="20"/>
          <w:szCs w:val="20"/>
          <w:color w:val="auto"/>
        </w:rPr>
      </w:pPr>
    </w:p>
    <w:p>
      <w:pPr>
        <w:ind w:left="20"/>
        <w:spacing w:after="0"/>
        <w:rPr>
          <w:sz w:val="20"/>
          <w:szCs w:val="20"/>
          <w:color w:val="auto"/>
        </w:rPr>
      </w:pPr>
      <w:r>
        <w:rPr>
          <w:rFonts w:ascii="Arial" w:cs="Arial" w:eastAsia="Arial" w:hAnsi="Arial"/>
          <w:sz w:val="19"/>
          <w:szCs w:val="19"/>
          <w:color w:val="auto"/>
        </w:rPr>
        <w:t>The following table summarizes our research and development expenses for the years ended December 31, 2023 and</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9"/>
          <w:szCs w:val="19"/>
          <w:color w:val="auto"/>
        </w:rPr>
        <w:t>2022 (in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76835</wp:posOffset>
                </wp:positionV>
                <wp:extent cx="6437630"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76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6.05pt" to="506.45pt,6.05pt" o:allowincell="f" strokecolor="#000000" strokeweight="0.75pt"/>
            </w:pict>
          </mc:Fallback>
        </mc:AlternateConten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40" w:type="dxa"/>
            <w:vAlign w:val="bottom"/>
            <w:gridSpan w:val="5"/>
          </w:tcPr>
          <w:p>
            <w:pPr>
              <w:ind w:left="20"/>
              <w:spacing w:after="0"/>
              <w:rPr>
                <w:sz w:val="20"/>
                <w:szCs w:val="20"/>
                <w:color w:val="auto"/>
              </w:rPr>
            </w:pPr>
            <w:r>
              <w:rPr>
                <w:rFonts w:ascii="Arial" w:cs="Arial" w:eastAsia="Arial" w:hAnsi="Arial"/>
                <w:sz w:val="16"/>
                <w:szCs w:val="16"/>
                <w:b w:val="1"/>
                <w:bCs w:val="1"/>
                <w:color w:val="auto"/>
              </w:rPr>
              <w:t>YEAR ENDED DECEMBER 31,</w:t>
            </w:r>
          </w:p>
        </w:tc>
        <w:tc>
          <w:tcPr>
            <w:tcW w:w="140" w:type="dxa"/>
            <w:vAlign w:val="bottom"/>
          </w:tcPr>
          <w:p>
            <w:pPr>
              <w:spacing w:after="0"/>
              <w:rPr>
                <w:sz w:val="17"/>
                <w:szCs w:val="17"/>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INCREASE</w:t>
            </w:r>
          </w:p>
        </w:tc>
      </w:tr>
      <w:tr>
        <w:trPr>
          <w:trHeight w:val="174"/>
        </w:trPr>
        <w:tc>
          <w:tcPr>
            <w:tcW w:w="594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328"/>
              <w:spacing w:after="0" w:line="174" w:lineRule="exact"/>
              <w:rPr>
                <w:sz w:val="20"/>
                <w:szCs w:val="20"/>
                <w:color w:val="auto"/>
              </w:rPr>
            </w:pPr>
            <w:r>
              <w:rPr>
                <w:rFonts w:ascii="Arial" w:cs="Arial" w:eastAsia="Arial" w:hAnsi="Arial"/>
                <w:sz w:val="16"/>
                <w:szCs w:val="16"/>
                <w:b w:val="1"/>
                <w:bCs w:val="1"/>
                <w:color w:val="auto"/>
              </w:rPr>
              <w:t>2023</w:t>
            </w:r>
          </w:p>
        </w:tc>
        <w:tc>
          <w:tcPr>
            <w:tcW w:w="26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27"/>
              <w:spacing w:after="0" w:line="174" w:lineRule="exact"/>
              <w:rPr>
                <w:sz w:val="20"/>
                <w:szCs w:val="20"/>
                <w:color w:val="auto"/>
              </w:rPr>
            </w:pPr>
            <w:r>
              <w:rPr>
                <w:rFonts w:ascii="Arial" w:cs="Arial" w:eastAsia="Arial" w:hAnsi="Arial"/>
                <w:sz w:val="16"/>
                <w:szCs w:val="16"/>
                <w:b w:val="1"/>
                <w:bCs w:val="1"/>
                <w:color w:val="auto"/>
              </w:rPr>
              <w:t>2022</w:t>
            </w:r>
          </w:p>
        </w:tc>
        <w:tc>
          <w:tcPr>
            <w:tcW w:w="260" w:type="dxa"/>
            <w:vAlign w:val="bottom"/>
          </w:tcPr>
          <w:p>
            <w:pPr>
              <w:spacing w:after="0"/>
              <w:rPr>
                <w:sz w:val="15"/>
                <w:szCs w:val="15"/>
                <w:color w:val="auto"/>
              </w:rPr>
            </w:pPr>
          </w:p>
        </w:tc>
        <w:tc>
          <w:tcPr>
            <w:tcW w:w="1300" w:type="dxa"/>
            <w:vAlign w:val="bottom"/>
            <w:gridSpan w:val="3"/>
          </w:tcPr>
          <w:p>
            <w:pPr>
              <w:jc w:val="right"/>
              <w:ind w:right="220"/>
              <w:spacing w:after="0" w:line="174" w:lineRule="exact"/>
              <w:rPr>
                <w:sz w:val="20"/>
                <w:szCs w:val="20"/>
                <w:color w:val="auto"/>
              </w:rPr>
            </w:pPr>
            <w:r>
              <w:rPr>
                <w:rFonts w:ascii="Arial" w:cs="Arial" w:eastAsia="Arial" w:hAnsi="Arial"/>
                <w:sz w:val="16"/>
                <w:szCs w:val="16"/>
                <w:b w:val="1"/>
                <w:bCs w:val="1"/>
                <w:color w:val="auto"/>
              </w:rPr>
              <w:t>(DECREASE)</w:t>
            </w:r>
          </w:p>
        </w:tc>
      </w:tr>
      <w:tr>
        <w:trPr>
          <w:trHeight w:val="191"/>
        </w:trPr>
        <w:tc>
          <w:tcPr>
            <w:tcW w:w="5940" w:type="dxa"/>
            <w:vAlign w:val="bottom"/>
          </w:tcPr>
          <w:p>
            <w:pPr>
              <w:ind w:left="20"/>
              <w:spacing w:after="0" w:line="191" w:lineRule="exact"/>
              <w:rPr>
                <w:sz w:val="20"/>
                <w:szCs w:val="20"/>
                <w:color w:val="auto"/>
              </w:rPr>
            </w:pPr>
            <w:r>
              <w:rPr>
                <w:rFonts w:ascii="Arial" w:cs="Arial" w:eastAsia="Arial" w:hAnsi="Arial"/>
                <w:sz w:val="19"/>
                <w:szCs w:val="19"/>
                <w:color w:val="auto"/>
              </w:rPr>
              <w:t>Employee - related</w:t>
            </w:r>
          </w:p>
        </w:tc>
        <w:tc>
          <w:tcPr>
            <w:tcW w:w="140" w:type="dxa"/>
            <w:vAlign w:val="bottom"/>
          </w:tcPr>
          <w:p>
            <w:pPr>
              <w:jc w:val="right"/>
              <w:spacing w:after="0" w:line="191" w:lineRule="exact"/>
              <w:rPr>
                <w:sz w:val="20"/>
                <w:szCs w:val="20"/>
                <w:color w:val="auto"/>
              </w:rPr>
            </w:pPr>
            <w:r>
              <w:rPr>
                <w:rFonts w:ascii="Arial" w:cs="Arial" w:eastAsia="Arial" w:hAnsi="Arial"/>
                <w:sz w:val="19"/>
                <w:szCs w:val="19"/>
                <w:color w:val="auto"/>
                <w:w w:val="75"/>
              </w:rPr>
              <w:t>$</w:t>
            </w:r>
          </w:p>
        </w:tc>
        <w:tc>
          <w:tcPr>
            <w:tcW w:w="1040" w:type="dxa"/>
            <w:vAlign w:val="bottom"/>
          </w:tcPr>
          <w:p>
            <w:pPr>
              <w:jc w:val="right"/>
              <w:spacing w:after="0" w:line="191" w:lineRule="exact"/>
              <w:rPr>
                <w:sz w:val="20"/>
                <w:szCs w:val="20"/>
                <w:color w:val="auto"/>
              </w:rPr>
            </w:pPr>
            <w:r>
              <w:rPr>
                <w:rFonts w:ascii="Arial" w:cs="Arial" w:eastAsia="Arial" w:hAnsi="Arial"/>
                <w:sz w:val="19"/>
                <w:szCs w:val="19"/>
                <w:color w:val="auto"/>
              </w:rPr>
              <w:t>13,362</w:t>
            </w:r>
          </w:p>
        </w:tc>
        <w:tc>
          <w:tcPr>
            <w:tcW w:w="260" w:type="dxa"/>
            <w:vAlign w:val="bottom"/>
          </w:tcPr>
          <w:p>
            <w:pPr>
              <w:spacing w:after="0"/>
              <w:rPr>
                <w:sz w:val="16"/>
                <w:szCs w:val="16"/>
                <w:color w:val="auto"/>
              </w:rPr>
            </w:pPr>
          </w:p>
        </w:tc>
        <w:tc>
          <w:tcPr>
            <w:tcW w:w="260" w:type="dxa"/>
            <w:vAlign w:val="bottom"/>
          </w:tcPr>
          <w:p>
            <w:pPr>
              <w:jc w:val="right"/>
              <w:ind w:right="65"/>
              <w:spacing w:after="0" w:line="191" w:lineRule="exact"/>
              <w:rPr>
                <w:sz w:val="20"/>
                <w:szCs w:val="20"/>
                <w:color w:val="auto"/>
              </w:rPr>
            </w:pPr>
            <w:r>
              <w:rPr>
                <w:rFonts w:ascii="Arial" w:cs="Arial" w:eastAsia="Arial" w:hAnsi="Arial"/>
                <w:sz w:val="19"/>
                <w:szCs w:val="19"/>
                <w:color w:val="auto"/>
                <w:w w:val="75"/>
              </w:rPr>
              <w:t>$</w:t>
            </w:r>
          </w:p>
        </w:tc>
        <w:tc>
          <w:tcPr>
            <w:tcW w:w="920" w:type="dxa"/>
            <w:vAlign w:val="bottom"/>
          </w:tcPr>
          <w:p>
            <w:pPr>
              <w:jc w:val="right"/>
              <w:spacing w:after="0" w:line="191" w:lineRule="exact"/>
              <w:rPr>
                <w:sz w:val="20"/>
                <w:szCs w:val="20"/>
                <w:color w:val="auto"/>
              </w:rPr>
            </w:pPr>
            <w:r>
              <w:rPr>
                <w:rFonts w:ascii="Arial" w:cs="Arial" w:eastAsia="Arial" w:hAnsi="Arial"/>
                <w:sz w:val="19"/>
                <w:szCs w:val="19"/>
                <w:color w:val="auto"/>
              </w:rPr>
              <w:t>12,688</w:t>
            </w:r>
          </w:p>
        </w:tc>
        <w:tc>
          <w:tcPr>
            <w:tcW w:w="260" w:type="dxa"/>
            <w:vAlign w:val="bottom"/>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Arial" w:cs="Arial" w:eastAsia="Arial" w:hAnsi="Arial"/>
                <w:sz w:val="19"/>
                <w:szCs w:val="19"/>
                <w:color w:val="auto"/>
                <w:w w:val="75"/>
              </w:rPr>
              <w:t>$</w:t>
            </w:r>
          </w:p>
        </w:tc>
        <w:tc>
          <w:tcPr>
            <w:tcW w:w="1040" w:type="dxa"/>
            <w:vAlign w:val="bottom"/>
          </w:tcPr>
          <w:p>
            <w:pPr>
              <w:jc w:val="right"/>
              <w:spacing w:after="0" w:line="191" w:lineRule="exact"/>
              <w:rPr>
                <w:sz w:val="20"/>
                <w:szCs w:val="20"/>
                <w:color w:val="auto"/>
              </w:rPr>
            </w:pPr>
            <w:r>
              <w:rPr>
                <w:rFonts w:ascii="Arial" w:cs="Arial" w:eastAsia="Arial" w:hAnsi="Arial"/>
                <w:sz w:val="19"/>
                <w:szCs w:val="19"/>
                <w:color w:val="auto"/>
              </w:rPr>
              <w:t>674</w:t>
            </w:r>
          </w:p>
        </w:tc>
        <w:tc>
          <w:tcPr>
            <w:tcW w:w="120" w:type="dxa"/>
            <w:vAlign w:val="bottom"/>
          </w:tcPr>
          <w:p>
            <w:pPr>
              <w:spacing w:after="0"/>
              <w:rPr>
                <w:sz w:val="16"/>
                <w:szCs w:val="16"/>
                <w:color w:val="auto"/>
              </w:rPr>
            </w:pPr>
          </w:p>
        </w:tc>
      </w:tr>
      <w:tr>
        <w:trPr>
          <w:trHeight w:val="218"/>
        </w:trPr>
        <w:tc>
          <w:tcPr>
            <w:tcW w:w="5940" w:type="dxa"/>
            <w:vAlign w:val="bottom"/>
          </w:tcPr>
          <w:p>
            <w:pPr>
              <w:ind w:left="20"/>
              <w:spacing w:after="0"/>
              <w:rPr>
                <w:sz w:val="20"/>
                <w:szCs w:val="20"/>
                <w:color w:val="auto"/>
              </w:rPr>
            </w:pPr>
            <w:r>
              <w:rPr>
                <w:rFonts w:ascii="Arial" w:cs="Arial" w:eastAsia="Arial" w:hAnsi="Arial"/>
                <w:sz w:val="19"/>
                <w:szCs w:val="19"/>
                <w:color w:val="auto"/>
              </w:rPr>
              <w:t>Clinical development</w:t>
            </w:r>
          </w:p>
        </w:tc>
        <w:tc>
          <w:tcPr>
            <w:tcW w:w="14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9"/>
                <w:szCs w:val="19"/>
                <w:color w:val="auto"/>
              </w:rPr>
              <w:t>7,940</w:t>
            </w:r>
          </w:p>
        </w:tc>
        <w:tc>
          <w:tcPr>
            <w:tcW w:w="26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9"/>
                <w:szCs w:val="19"/>
                <w:color w:val="auto"/>
              </w:rPr>
              <w:t>5,608</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2,332</w:t>
            </w:r>
          </w:p>
        </w:tc>
        <w:tc>
          <w:tcPr>
            <w:tcW w:w="120" w:type="dxa"/>
            <w:vAlign w:val="bottom"/>
          </w:tcPr>
          <w:p>
            <w:pPr>
              <w:spacing w:after="0"/>
              <w:rPr>
                <w:sz w:val="18"/>
                <w:szCs w:val="18"/>
                <w:color w:val="auto"/>
              </w:rPr>
            </w:pPr>
          </w:p>
        </w:tc>
      </w:tr>
      <w:tr>
        <w:trPr>
          <w:trHeight w:val="218"/>
        </w:trPr>
        <w:tc>
          <w:tcPr>
            <w:tcW w:w="5940" w:type="dxa"/>
            <w:vAlign w:val="bottom"/>
          </w:tcPr>
          <w:p>
            <w:pPr>
              <w:ind w:left="20"/>
              <w:spacing w:after="0"/>
              <w:rPr>
                <w:sz w:val="20"/>
                <w:szCs w:val="20"/>
                <w:color w:val="auto"/>
              </w:rPr>
            </w:pPr>
            <w:r>
              <w:rPr>
                <w:rFonts w:ascii="Arial" w:cs="Arial" w:eastAsia="Arial" w:hAnsi="Arial"/>
                <w:sz w:val="19"/>
                <w:szCs w:val="19"/>
                <w:color w:val="auto"/>
              </w:rPr>
              <w:t>Depreciation, impairment, and loss on the sale of fixed assets</w:t>
            </w:r>
          </w:p>
        </w:tc>
        <w:tc>
          <w:tcPr>
            <w:tcW w:w="14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9"/>
                <w:szCs w:val="19"/>
                <w:color w:val="auto"/>
              </w:rPr>
              <w:t>1,419</w:t>
            </w:r>
          </w:p>
        </w:tc>
        <w:tc>
          <w:tcPr>
            <w:tcW w:w="26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9"/>
                <w:szCs w:val="19"/>
                <w:color w:val="auto"/>
              </w:rPr>
              <w:t>777</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642</w:t>
            </w:r>
          </w:p>
        </w:tc>
        <w:tc>
          <w:tcPr>
            <w:tcW w:w="120" w:type="dxa"/>
            <w:vAlign w:val="bottom"/>
          </w:tcPr>
          <w:p>
            <w:pPr>
              <w:spacing w:after="0"/>
              <w:rPr>
                <w:sz w:val="18"/>
                <w:szCs w:val="18"/>
                <w:color w:val="auto"/>
              </w:rPr>
            </w:pPr>
          </w:p>
        </w:tc>
      </w:tr>
      <w:tr>
        <w:trPr>
          <w:trHeight w:val="218"/>
        </w:trPr>
        <w:tc>
          <w:tcPr>
            <w:tcW w:w="5940" w:type="dxa"/>
            <w:vAlign w:val="bottom"/>
          </w:tcPr>
          <w:p>
            <w:pPr>
              <w:ind w:left="20"/>
              <w:spacing w:after="0"/>
              <w:rPr>
                <w:sz w:val="20"/>
                <w:szCs w:val="20"/>
                <w:color w:val="auto"/>
              </w:rPr>
            </w:pPr>
            <w:r>
              <w:rPr>
                <w:rFonts w:ascii="Arial" w:cs="Arial" w:eastAsia="Arial" w:hAnsi="Arial"/>
                <w:sz w:val="19"/>
                <w:szCs w:val="19"/>
                <w:color w:val="auto"/>
              </w:rPr>
              <w:t>Pre-clinical research</w:t>
            </w:r>
          </w:p>
        </w:tc>
        <w:tc>
          <w:tcPr>
            <w:tcW w:w="14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9"/>
                <w:szCs w:val="19"/>
                <w:color w:val="auto"/>
              </w:rPr>
              <w:t>660</w:t>
            </w:r>
          </w:p>
        </w:tc>
        <w:tc>
          <w:tcPr>
            <w:tcW w:w="26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9"/>
                <w:szCs w:val="19"/>
                <w:color w:val="auto"/>
              </w:rPr>
              <w:t>629</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31</w:t>
            </w:r>
          </w:p>
        </w:tc>
        <w:tc>
          <w:tcPr>
            <w:tcW w:w="120" w:type="dxa"/>
            <w:vAlign w:val="bottom"/>
          </w:tcPr>
          <w:p>
            <w:pPr>
              <w:spacing w:after="0"/>
              <w:rPr>
                <w:sz w:val="18"/>
                <w:szCs w:val="18"/>
                <w:color w:val="auto"/>
              </w:rPr>
            </w:pPr>
          </w:p>
        </w:tc>
      </w:tr>
      <w:tr>
        <w:trPr>
          <w:trHeight w:val="218"/>
        </w:trPr>
        <w:tc>
          <w:tcPr>
            <w:tcW w:w="5940" w:type="dxa"/>
            <w:vAlign w:val="bottom"/>
          </w:tcPr>
          <w:p>
            <w:pPr>
              <w:ind w:left="20"/>
              <w:spacing w:after="0"/>
              <w:rPr>
                <w:sz w:val="20"/>
                <w:szCs w:val="20"/>
                <w:color w:val="auto"/>
              </w:rPr>
            </w:pPr>
            <w:r>
              <w:rPr>
                <w:rFonts w:ascii="Arial" w:cs="Arial" w:eastAsia="Arial" w:hAnsi="Arial"/>
                <w:sz w:val="19"/>
                <w:szCs w:val="19"/>
                <w:color w:val="auto"/>
              </w:rPr>
              <w:t>Occupancy</w:t>
            </w:r>
          </w:p>
        </w:tc>
        <w:tc>
          <w:tcPr>
            <w:tcW w:w="14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9"/>
                <w:szCs w:val="19"/>
                <w:color w:val="auto"/>
              </w:rPr>
              <w:t>526</w:t>
            </w:r>
          </w:p>
        </w:tc>
        <w:tc>
          <w:tcPr>
            <w:tcW w:w="26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9"/>
                <w:szCs w:val="19"/>
                <w:color w:val="auto"/>
              </w:rPr>
              <w:t>442</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84</w:t>
            </w:r>
          </w:p>
        </w:tc>
        <w:tc>
          <w:tcPr>
            <w:tcW w:w="120" w:type="dxa"/>
            <w:vAlign w:val="bottom"/>
          </w:tcPr>
          <w:p>
            <w:pPr>
              <w:spacing w:after="0"/>
              <w:rPr>
                <w:sz w:val="18"/>
                <w:szCs w:val="18"/>
                <w:color w:val="auto"/>
              </w:rPr>
            </w:pPr>
          </w:p>
        </w:tc>
      </w:tr>
      <w:tr>
        <w:trPr>
          <w:trHeight w:val="218"/>
        </w:trPr>
        <w:tc>
          <w:tcPr>
            <w:tcW w:w="5940" w:type="dxa"/>
            <w:vAlign w:val="bottom"/>
          </w:tcPr>
          <w:p>
            <w:pPr>
              <w:ind w:left="20"/>
              <w:spacing w:after="0"/>
              <w:rPr>
                <w:sz w:val="20"/>
                <w:szCs w:val="20"/>
                <w:color w:val="auto"/>
              </w:rPr>
            </w:pPr>
            <w:r>
              <w:rPr>
                <w:rFonts w:ascii="Arial" w:cs="Arial" w:eastAsia="Arial" w:hAnsi="Arial"/>
                <w:sz w:val="19"/>
                <w:szCs w:val="19"/>
                <w:color w:val="auto"/>
              </w:rPr>
              <w:t>Recruiting</w:t>
            </w:r>
          </w:p>
        </w:tc>
        <w:tc>
          <w:tcPr>
            <w:tcW w:w="14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9"/>
                <w:szCs w:val="19"/>
                <w:color w:val="auto"/>
              </w:rPr>
              <w:t>286</w:t>
            </w:r>
          </w:p>
        </w:tc>
        <w:tc>
          <w:tcPr>
            <w:tcW w:w="26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9"/>
                <w:szCs w:val="19"/>
                <w:color w:val="auto"/>
              </w:rPr>
              <w:t>371</w:t>
            </w:r>
          </w:p>
        </w:tc>
        <w:tc>
          <w:tcPr>
            <w:tcW w:w="1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9"/>
                <w:szCs w:val="19"/>
                <w:color w:val="auto"/>
              </w:rPr>
              <w:t>(85)</w:t>
            </w:r>
          </w:p>
        </w:tc>
      </w:tr>
      <w:tr>
        <w:trPr>
          <w:trHeight w:val="236"/>
        </w:trPr>
        <w:tc>
          <w:tcPr>
            <w:tcW w:w="5940" w:type="dxa"/>
            <w:vAlign w:val="bottom"/>
          </w:tcPr>
          <w:p>
            <w:pPr>
              <w:ind w:left="20"/>
              <w:spacing w:after="0"/>
              <w:rPr>
                <w:sz w:val="20"/>
                <w:szCs w:val="20"/>
                <w:color w:val="auto"/>
              </w:rPr>
            </w:pPr>
            <w:r>
              <w:rPr>
                <w:rFonts w:ascii="Arial" w:cs="Arial" w:eastAsia="Arial" w:hAnsi="Arial"/>
                <w:sz w:val="19"/>
                <w:szCs w:val="19"/>
                <w:color w:val="auto"/>
              </w:rPr>
              <w:t>Other</w:t>
            </w:r>
          </w:p>
        </w:tc>
        <w:tc>
          <w:tcPr>
            <w:tcW w:w="14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9"/>
                <w:szCs w:val="19"/>
                <w:color w:val="auto"/>
              </w:rPr>
              <w:t>313</w:t>
            </w:r>
          </w:p>
        </w:tc>
        <w:tc>
          <w:tcPr>
            <w:tcW w:w="26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9"/>
                <w:szCs w:val="19"/>
                <w:color w:val="auto"/>
              </w:rPr>
              <w:t>272</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41</w:t>
            </w:r>
          </w:p>
        </w:tc>
        <w:tc>
          <w:tcPr>
            <w:tcW w:w="120" w:type="dxa"/>
            <w:vAlign w:val="bottom"/>
          </w:tcPr>
          <w:p>
            <w:pPr>
              <w:spacing w:after="0"/>
              <w:rPr>
                <w:sz w:val="20"/>
                <w:szCs w:val="20"/>
                <w:color w:val="auto"/>
              </w:rPr>
            </w:pPr>
          </w:p>
        </w:tc>
      </w:tr>
      <w:tr>
        <w:trPr>
          <w:trHeight w:val="208"/>
        </w:trPr>
        <w:tc>
          <w:tcPr>
            <w:tcW w:w="59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19"/>
                <w:szCs w:val="19"/>
                <w:color w:val="auto"/>
                <w:w w:val="75"/>
              </w:rPr>
              <w:t>$</w:t>
            </w:r>
          </w:p>
        </w:tc>
        <w:tc>
          <w:tcPr>
            <w:tcW w:w="104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24,506</w:t>
            </w:r>
          </w:p>
        </w:tc>
        <w:tc>
          <w:tcPr>
            <w:tcW w:w="2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65"/>
              <w:spacing w:after="0" w:line="209" w:lineRule="exact"/>
              <w:rPr>
                <w:sz w:val="20"/>
                <w:szCs w:val="20"/>
                <w:color w:val="auto"/>
              </w:rPr>
            </w:pPr>
            <w:r>
              <w:rPr>
                <w:rFonts w:ascii="Arial" w:cs="Arial" w:eastAsia="Arial" w:hAnsi="Arial"/>
                <w:sz w:val="19"/>
                <w:szCs w:val="19"/>
                <w:color w:val="auto"/>
                <w:w w:val="75"/>
              </w:rPr>
              <w:t>$</w:t>
            </w:r>
          </w:p>
        </w:tc>
        <w:tc>
          <w:tcPr>
            <w:tcW w:w="92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20,787</w:t>
            </w:r>
          </w:p>
        </w:tc>
        <w:tc>
          <w:tcPr>
            <w:tcW w:w="2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19"/>
                <w:szCs w:val="19"/>
                <w:color w:val="auto"/>
                <w:w w:val="75"/>
              </w:rPr>
              <w:t>$</w:t>
            </w:r>
          </w:p>
        </w:tc>
        <w:tc>
          <w:tcPr>
            <w:tcW w:w="104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3,719</w:t>
            </w:r>
          </w:p>
        </w:tc>
        <w:tc>
          <w:tcPr>
            <w:tcW w:w="120" w:type="dxa"/>
            <w:vAlign w:val="bottom"/>
          </w:tcPr>
          <w:p>
            <w:pPr>
              <w:spacing w:after="0"/>
              <w:rPr>
                <w:sz w:val="18"/>
                <w:szCs w:val="18"/>
                <w:color w:val="auto"/>
              </w:rPr>
            </w:pPr>
          </w:p>
        </w:tc>
      </w:tr>
      <w:tr>
        <w:trPr>
          <w:trHeight w:val="20"/>
        </w:trPr>
        <w:tc>
          <w:tcPr>
            <w:tcW w:w="5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-1179195</wp:posOffset>
            </wp:positionV>
            <wp:extent cx="6438900" cy="11607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
                      <a:extLst>
                        <a:ext uri="{28A0092B-C50C-407E-A947-70E740481C1C}"/>
                      </a:extLst>
                    </a:blip>
                    <a:srcRect/>
                    <a:stretch>
                      <a:fillRect/>
                    </a:stretch>
                  </pic:blipFill>
                  <pic:spPr bwMode="auto">
                    <a:xfrm>
                      <a:off x="0" y="0"/>
                      <a:ext cx="6438900" cy="1160780"/>
                    </a:xfrm>
                    <a:prstGeom prst="rect">
                      <a:avLst/>
                    </a:prstGeom>
                    <a:noFill/>
                  </pic:spPr>
                </pic:pic>
              </a:graphicData>
            </a:graphic>
          </wp:anchor>
        </w:drawing>
      </w:r>
    </w:p>
    <w:p>
      <w:pPr>
        <w:spacing w:after="0" w:line="166" w:lineRule="exact"/>
        <w:rPr>
          <w:sz w:val="20"/>
          <w:szCs w:val="20"/>
          <w:color w:val="auto"/>
        </w:rPr>
      </w:pPr>
    </w:p>
    <w:p>
      <w:pPr>
        <w:ind w:left="20" w:right="160"/>
        <w:spacing w:after="0" w:line="253" w:lineRule="auto"/>
        <w:rPr>
          <w:sz w:val="20"/>
          <w:szCs w:val="20"/>
          <w:color w:val="auto"/>
        </w:rPr>
      </w:pPr>
      <w:r>
        <w:rPr>
          <w:rFonts w:ascii="Arial" w:cs="Arial" w:eastAsia="Arial" w:hAnsi="Arial"/>
          <w:sz w:val="19"/>
          <w:szCs w:val="19"/>
          <w:color w:val="auto"/>
        </w:rPr>
        <w:t>Research and development expenses increased $3.7 million from $20.8 million for the year ended December 31, 2022 to $24.5 million for the year ended December 31, 2023. The increase was primarily attributable to a $2.3 million increase in clinical development costs driven by increased manufacturing and regulatory costs in support of CAN-2409 programs, a $0.7 million increase in employee compensation costs driven by stock compensation expense, and a $0.6</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107</w:t>
      </w:r>
    </w:p>
    <w:p>
      <w:pPr>
        <w:sectPr>
          <w:pgSz w:w="12240" w:h="15840" w:orient="portrait"/>
          <w:cols w:equalWidth="0" w:num="1">
            <w:col w:w="10120"/>
          </w:cols>
          <w:pgMar w:left="1060" w:top="1062" w:right="1060" w:bottom="173" w:gutter="0" w:footer="0" w:header="0"/>
        </w:sectPr>
      </w:pPr>
    </w:p>
    <w:bookmarkStart w:id="111" w:name="page112"/>
    <w:bookmarkEnd w:id="111"/>
    <w:p>
      <w:pPr>
        <w:ind w:left="20" w:right="840"/>
        <w:spacing w:after="0" w:line="281" w:lineRule="auto"/>
        <w:rPr>
          <w:sz w:val="20"/>
          <w:szCs w:val="20"/>
          <w:color w:val="auto"/>
        </w:rPr>
      </w:pPr>
      <w:r>
        <w:rPr>
          <w:rFonts w:ascii="Arial" w:cs="Arial" w:eastAsia="Arial" w:hAnsi="Arial"/>
          <w:sz w:val="19"/>
          <w:szCs w:val="19"/>
          <w:color w:val="auto"/>
        </w:rPr>
        <w:t>million increase in fixed asset-related expenses, including $0.4 million of impairment charges to manufacturing equipment.</w:t>
      </w:r>
    </w:p>
    <w:p>
      <w:pPr>
        <w:spacing w:after="0" w:line="89" w:lineRule="exact"/>
        <w:rPr>
          <w:sz w:val="20"/>
          <w:szCs w:val="20"/>
          <w:color w:val="auto"/>
        </w:rPr>
      </w:pPr>
    </w:p>
    <w:p>
      <w:pPr>
        <w:ind w:left="20"/>
        <w:spacing w:after="0"/>
        <w:rPr>
          <w:sz w:val="20"/>
          <w:szCs w:val="20"/>
          <w:color w:val="auto"/>
        </w:rPr>
      </w:pPr>
      <w:r>
        <w:rPr>
          <w:rFonts w:ascii="Arial" w:cs="Arial" w:eastAsia="Arial" w:hAnsi="Arial"/>
          <w:sz w:val="19"/>
          <w:szCs w:val="19"/>
          <w:b w:val="1"/>
          <w:bCs w:val="1"/>
          <w:i w:val="1"/>
          <w:iCs w:val="1"/>
          <w:color w:val="auto"/>
        </w:rPr>
        <w:t>General and Administrative Expenses</w:t>
      </w:r>
    </w:p>
    <w:p>
      <w:pPr>
        <w:spacing w:after="0" w:line="156" w:lineRule="exact"/>
        <w:rPr>
          <w:sz w:val="20"/>
          <w:szCs w:val="20"/>
          <w:color w:val="auto"/>
        </w:rPr>
      </w:pPr>
    </w:p>
    <w:p>
      <w:pPr>
        <w:ind w:left="20"/>
        <w:spacing w:after="0"/>
        <w:rPr>
          <w:sz w:val="20"/>
          <w:szCs w:val="20"/>
          <w:color w:val="auto"/>
        </w:rPr>
      </w:pPr>
      <w:r>
        <w:rPr>
          <w:rFonts w:ascii="Arial" w:cs="Arial" w:eastAsia="Arial" w:hAnsi="Arial"/>
          <w:sz w:val="19"/>
          <w:szCs w:val="19"/>
          <w:color w:val="auto"/>
        </w:rPr>
        <w:t>The following table summarizes our general and administrative expenses for the years ended December 31, 2023 and</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9"/>
          <w:szCs w:val="19"/>
          <w:color w:val="auto"/>
        </w:rPr>
        <w:t>2022 (in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76835</wp:posOffset>
                </wp:positionV>
                <wp:extent cx="6437630"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76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6.05pt" to="506.45pt,6.05pt" o:allowincell="f" strokecolor="#000000" strokeweight="0.75pt"/>
            </w:pict>
          </mc:Fallback>
        </mc:AlternateConten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4"/>
          </w:tcPr>
          <w:p>
            <w:pPr>
              <w:jc w:val="right"/>
              <w:ind w:right="87"/>
              <w:spacing w:after="0"/>
              <w:rPr>
                <w:sz w:val="20"/>
                <w:szCs w:val="20"/>
                <w:color w:val="auto"/>
              </w:rPr>
            </w:pPr>
            <w:r>
              <w:rPr>
                <w:rFonts w:ascii="Arial" w:cs="Arial" w:eastAsia="Arial" w:hAnsi="Arial"/>
                <w:sz w:val="16"/>
                <w:szCs w:val="16"/>
                <w:b w:val="1"/>
                <w:bCs w:val="1"/>
                <w:color w:val="auto"/>
              </w:rPr>
              <w:t>YEAR ENDED DECEMBER 31,</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INCREASE</w:t>
            </w:r>
          </w:p>
        </w:tc>
      </w:tr>
      <w:tr>
        <w:trPr>
          <w:trHeight w:val="174"/>
        </w:trPr>
        <w:tc>
          <w:tcPr>
            <w:tcW w:w="59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28"/>
              <w:spacing w:after="0" w:line="174" w:lineRule="exact"/>
              <w:rPr>
                <w:sz w:val="20"/>
                <w:szCs w:val="20"/>
                <w:color w:val="auto"/>
              </w:rPr>
            </w:pPr>
            <w:r>
              <w:rPr>
                <w:rFonts w:ascii="Arial" w:cs="Arial" w:eastAsia="Arial" w:hAnsi="Arial"/>
                <w:sz w:val="16"/>
                <w:szCs w:val="16"/>
                <w:b w:val="1"/>
                <w:bCs w:val="1"/>
                <w:color w:val="auto"/>
              </w:rPr>
              <w:t>2023</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27"/>
              <w:spacing w:after="0" w:line="174" w:lineRule="exact"/>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15"/>
                <w:szCs w:val="15"/>
                <w:color w:val="auto"/>
              </w:rPr>
            </w:pPr>
          </w:p>
        </w:tc>
        <w:tc>
          <w:tcPr>
            <w:tcW w:w="1300" w:type="dxa"/>
            <w:vAlign w:val="bottom"/>
            <w:gridSpan w:val="3"/>
          </w:tcPr>
          <w:p>
            <w:pPr>
              <w:jc w:val="right"/>
              <w:ind w:right="220"/>
              <w:spacing w:after="0" w:line="174" w:lineRule="exact"/>
              <w:rPr>
                <w:sz w:val="20"/>
                <w:szCs w:val="20"/>
                <w:color w:val="auto"/>
              </w:rPr>
            </w:pPr>
            <w:r>
              <w:rPr>
                <w:rFonts w:ascii="Arial" w:cs="Arial" w:eastAsia="Arial" w:hAnsi="Arial"/>
                <w:sz w:val="16"/>
                <w:szCs w:val="16"/>
                <w:b w:val="1"/>
                <w:bCs w:val="1"/>
                <w:color w:val="auto"/>
              </w:rPr>
              <w:t>(DECREASE)</w:t>
            </w:r>
          </w:p>
        </w:tc>
      </w:tr>
      <w:tr>
        <w:trPr>
          <w:trHeight w:val="191"/>
        </w:trPr>
        <w:tc>
          <w:tcPr>
            <w:tcW w:w="5960" w:type="dxa"/>
            <w:vAlign w:val="bottom"/>
          </w:tcPr>
          <w:p>
            <w:pPr>
              <w:ind w:left="20"/>
              <w:spacing w:after="0" w:line="191" w:lineRule="exact"/>
              <w:rPr>
                <w:sz w:val="20"/>
                <w:szCs w:val="20"/>
                <w:color w:val="auto"/>
              </w:rPr>
            </w:pPr>
            <w:r>
              <w:rPr>
                <w:rFonts w:ascii="Arial" w:cs="Arial" w:eastAsia="Arial" w:hAnsi="Arial"/>
                <w:sz w:val="19"/>
                <w:szCs w:val="19"/>
                <w:color w:val="auto"/>
              </w:rPr>
              <w:t>Employee-related</w:t>
            </w:r>
          </w:p>
        </w:tc>
        <w:tc>
          <w:tcPr>
            <w:tcW w:w="140" w:type="dxa"/>
            <w:vAlign w:val="bottom"/>
          </w:tcPr>
          <w:p>
            <w:pPr>
              <w:jc w:val="right"/>
              <w:spacing w:after="0" w:line="191" w:lineRule="exact"/>
              <w:rPr>
                <w:sz w:val="20"/>
                <w:szCs w:val="20"/>
                <w:color w:val="auto"/>
              </w:rPr>
            </w:pPr>
            <w:r>
              <w:rPr>
                <w:rFonts w:ascii="Arial" w:cs="Arial" w:eastAsia="Arial" w:hAnsi="Arial"/>
                <w:sz w:val="19"/>
                <w:szCs w:val="19"/>
                <w:color w:val="auto"/>
                <w:w w:val="75"/>
              </w:rPr>
              <w:t>$</w:t>
            </w:r>
          </w:p>
        </w:tc>
        <w:tc>
          <w:tcPr>
            <w:tcW w:w="1040" w:type="dxa"/>
            <w:vAlign w:val="bottom"/>
          </w:tcPr>
          <w:p>
            <w:pPr>
              <w:jc w:val="right"/>
              <w:spacing w:after="0" w:line="191" w:lineRule="exact"/>
              <w:rPr>
                <w:sz w:val="20"/>
                <w:szCs w:val="20"/>
                <w:color w:val="auto"/>
              </w:rPr>
            </w:pPr>
            <w:r>
              <w:rPr>
                <w:rFonts w:ascii="Arial" w:cs="Arial" w:eastAsia="Arial" w:hAnsi="Arial"/>
                <w:sz w:val="19"/>
                <w:szCs w:val="19"/>
                <w:color w:val="auto"/>
              </w:rPr>
              <w:t>7,573</w:t>
            </w:r>
          </w:p>
        </w:tc>
        <w:tc>
          <w:tcPr>
            <w:tcW w:w="240" w:type="dxa"/>
            <w:vAlign w:val="bottom"/>
          </w:tcPr>
          <w:p>
            <w:pPr>
              <w:spacing w:after="0"/>
              <w:rPr>
                <w:sz w:val="16"/>
                <w:szCs w:val="16"/>
                <w:color w:val="auto"/>
              </w:rPr>
            </w:pPr>
          </w:p>
        </w:tc>
        <w:tc>
          <w:tcPr>
            <w:tcW w:w="260" w:type="dxa"/>
            <w:vAlign w:val="bottom"/>
          </w:tcPr>
          <w:p>
            <w:pPr>
              <w:jc w:val="right"/>
              <w:ind w:right="45"/>
              <w:spacing w:after="0" w:line="191" w:lineRule="exact"/>
              <w:rPr>
                <w:sz w:val="20"/>
                <w:szCs w:val="20"/>
                <w:color w:val="auto"/>
              </w:rPr>
            </w:pPr>
            <w:r>
              <w:rPr>
                <w:rFonts w:ascii="Arial" w:cs="Arial" w:eastAsia="Arial" w:hAnsi="Arial"/>
                <w:sz w:val="19"/>
                <w:szCs w:val="19"/>
                <w:color w:val="auto"/>
                <w:w w:val="94"/>
              </w:rPr>
              <w:t>$</w:t>
            </w:r>
          </w:p>
        </w:tc>
        <w:tc>
          <w:tcPr>
            <w:tcW w:w="940" w:type="dxa"/>
            <w:vAlign w:val="bottom"/>
          </w:tcPr>
          <w:p>
            <w:pPr>
              <w:jc w:val="right"/>
              <w:spacing w:after="0" w:line="191" w:lineRule="exact"/>
              <w:rPr>
                <w:sz w:val="20"/>
                <w:szCs w:val="20"/>
                <w:color w:val="auto"/>
              </w:rPr>
            </w:pPr>
            <w:r>
              <w:rPr>
                <w:rFonts w:ascii="Arial" w:cs="Arial" w:eastAsia="Arial" w:hAnsi="Arial"/>
                <w:sz w:val="19"/>
                <w:szCs w:val="19"/>
                <w:color w:val="auto"/>
              </w:rPr>
              <w:t>6,455</w:t>
            </w:r>
          </w:p>
        </w:tc>
        <w:tc>
          <w:tcPr>
            <w:tcW w:w="380" w:type="dxa"/>
            <w:vAlign w:val="bottom"/>
            <w:gridSpan w:val="2"/>
          </w:tcPr>
          <w:p>
            <w:pPr>
              <w:jc w:val="right"/>
              <w:spacing w:after="0" w:line="191" w:lineRule="exact"/>
              <w:rPr>
                <w:sz w:val="20"/>
                <w:szCs w:val="20"/>
                <w:color w:val="auto"/>
              </w:rPr>
            </w:pPr>
            <w:r>
              <w:rPr>
                <w:rFonts w:ascii="Arial" w:cs="Arial" w:eastAsia="Arial" w:hAnsi="Arial"/>
                <w:sz w:val="19"/>
                <w:szCs w:val="19"/>
                <w:color w:val="auto"/>
              </w:rPr>
              <w:t>$</w:t>
            </w:r>
          </w:p>
        </w:tc>
        <w:tc>
          <w:tcPr>
            <w:tcW w:w="1040" w:type="dxa"/>
            <w:vAlign w:val="bottom"/>
          </w:tcPr>
          <w:p>
            <w:pPr>
              <w:jc w:val="right"/>
              <w:spacing w:after="0" w:line="191" w:lineRule="exact"/>
              <w:rPr>
                <w:sz w:val="20"/>
                <w:szCs w:val="20"/>
                <w:color w:val="auto"/>
              </w:rPr>
            </w:pPr>
            <w:r>
              <w:rPr>
                <w:rFonts w:ascii="Arial" w:cs="Arial" w:eastAsia="Arial" w:hAnsi="Arial"/>
                <w:sz w:val="19"/>
                <w:szCs w:val="19"/>
                <w:color w:val="auto"/>
              </w:rPr>
              <w:t>1,118</w:t>
            </w:r>
          </w:p>
        </w:tc>
        <w:tc>
          <w:tcPr>
            <w:tcW w:w="120" w:type="dxa"/>
            <w:vAlign w:val="bottom"/>
          </w:tcPr>
          <w:p>
            <w:pPr>
              <w:spacing w:after="0"/>
              <w:rPr>
                <w:sz w:val="16"/>
                <w:szCs w:val="16"/>
                <w:color w:val="auto"/>
              </w:rPr>
            </w:pPr>
          </w:p>
        </w:tc>
      </w:tr>
      <w:tr>
        <w:trPr>
          <w:trHeight w:val="218"/>
        </w:trPr>
        <w:tc>
          <w:tcPr>
            <w:tcW w:w="5960" w:type="dxa"/>
            <w:vAlign w:val="bottom"/>
          </w:tcPr>
          <w:p>
            <w:pPr>
              <w:ind w:left="20"/>
              <w:spacing w:after="0"/>
              <w:rPr>
                <w:sz w:val="20"/>
                <w:szCs w:val="20"/>
                <w:color w:val="auto"/>
              </w:rPr>
            </w:pPr>
            <w:r>
              <w:rPr>
                <w:rFonts w:ascii="Arial" w:cs="Arial" w:eastAsia="Arial" w:hAnsi="Arial"/>
                <w:sz w:val="19"/>
                <w:szCs w:val="19"/>
                <w:color w:val="auto"/>
              </w:rPr>
              <w:t>Professional and consulting fees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3,666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3,629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37</w:t>
            </w:r>
          </w:p>
        </w:tc>
        <w:tc>
          <w:tcPr>
            <w:tcW w:w="120" w:type="dxa"/>
            <w:vAlign w:val="bottom"/>
          </w:tcPr>
          <w:p>
            <w:pPr>
              <w:spacing w:after="0"/>
              <w:rPr>
                <w:sz w:val="18"/>
                <w:szCs w:val="18"/>
                <w:color w:val="auto"/>
              </w:rPr>
            </w:pPr>
          </w:p>
        </w:tc>
      </w:tr>
      <w:tr>
        <w:trPr>
          <w:trHeight w:val="218"/>
        </w:trPr>
        <w:tc>
          <w:tcPr>
            <w:tcW w:w="5960" w:type="dxa"/>
            <w:vAlign w:val="bottom"/>
          </w:tcPr>
          <w:p>
            <w:pPr>
              <w:ind w:left="20"/>
              <w:spacing w:after="0"/>
              <w:rPr>
                <w:sz w:val="20"/>
                <w:szCs w:val="20"/>
                <w:color w:val="auto"/>
              </w:rPr>
            </w:pPr>
            <w:r>
              <w:rPr>
                <w:rFonts w:ascii="Arial" w:cs="Arial" w:eastAsia="Arial" w:hAnsi="Arial"/>
                <w:sz w:val="19"/>
                <w:szCs w:val="19"/>
                <w:color w:val="auto"/>
              </w:rPr>
              <w:t>Insurance</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1,597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2,384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9"/>
                <w:szCs w:val="19"/>
                <w:color w:val="auto"/>
              </w:rPr>
              <w:t>(787)</w:t>
            </w:r>
          </w:p>
        </w:tc>
      </w:tr>
      <w:tr>
        <w:trPr>
          <w:trHeight w:val="218"/>
        </w:trPr>
        <w:tc>
          <w:tcPr>
            <w:tcW w:w="5960" w:type="dxa"/>
            <w:vAlign w:val="bottom"/>
          </w:tcPr>
          <w:p>
            <w:pPr>
              <w:ind w:left="20"/>
              <w:spacing w:after="0"/>
              <w:rPr>
                <w:sz w:val="20"/>
                <w:szCs w:val="20"/>
                <w:color w:val="auto"/>
              </w:rPr>
            </w:pPr>
            <w:r>
              <w:rPr>
                <w:rFonts w:ascii="Arial" w:cs="Arial" w:eastAsia="Arial" w:hAnsi="Arial"/>
                <w:sz w:val="19"/>
                <w:szCs w:val="19"/>
                <w:color w:val="auto"/>
              </w:rPr>
              <w:t>Information technology costs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263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76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187</w:t>
            </w:r>
          </w:p>
        </w:tc>
        <w:tc>
          <w:tcPr>
            <w:tcW w:w="120" w:type="dxa"/>
            <w:vAlign w:val="bottom"/>
          </w:tcPr>
          <w:p>
            <w:pPr>
              <w:spacing w:after="0"/>
              <w:rPr>
                <w:sz w:val="18"/>
                <w:szCs w:val="18"/>
                <w:color w:val="auto"/>
              </w:rPr>
            </w:pPr>
          </w:p>
        </w:tc>
      </w:tr>
      <w:tr>
        <w:trPr>
          <w:trHeight w:val="218"/>
        </w:trPr>
        <w:tc>
          <w:tcPr>
            <w:tcW w:w="5960" w:type="dxa"/>
            <w:vAlign w:val="bottom"/>
          </w:tcPr>
          <w:p>
            <w:pPr>
              <w:ind w:left="20"/>
              <w:spacing w:after="0"/>
              <w:rPr>
                <w:sz w:val="20"/>
                <w:szCs w:val="20"/>
                <w:color w:val="auto"/>
              </w:rPr>
            </w:pPr>
            <w:r>
              <w:rPr>
                <w:rFonts w:ascii="Arial" w:cs="Arial" w:eastAsia="Arial" w:hAnsi="Arial"/>
                <w:sz w:val="19"/>
                <w:szCs w:val="19"/>
                <w:color w:val="auto"/>
              </w:rPr>
              <w:t>Occupancy</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161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184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9"/>
                <w:szCs w:val="19"/>
                <w:color w:val="auto"/>
              </w:rPr>
              <w:t>(23)</w:t>
            </w:r>
          </w:p>
        </w:tc>
      </w:tr>
      <w:tr>
        <w:trPr>
          <w:trHeight w:val="218"/>
        </w:trPr>
        <w:tc>
          <w:tcPr>
            <w:tcW w:w="5960" w:type="dxa"/>
            <w:vAlign w:val="bottom"/>
          </w:tcPr>
          <w:p>
            <w:pPr>
              <w:ind w:left="20"/>
              <w:spacing w:after="0"/>
              <w:rPr>
                <w:sz w:val="20"/>
                <w:szCs w:val="20"/>
                <w:color w:val="auto"/>
              </w:rPr>
            </w:pPr>
            <w:r>
              <w:rPr>
                <w:rFonts w:ascii="Arial" w:cs="Arial" w:eastAsia="Arial" w:hAnsi="Arial"/>
                <w:sz w:val="19"/>
                <w:szCs w:val="19"/>
                <w:color w:val="auto"/>
              </w:rPr>
              <w:t>Recruiting</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159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775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9"/>
                <w:szCs w:val="19"/>
                <w:color w:val="auto"/>
              </w:rPr>
              <w:t>(616)</w:t>
            </w:r>
          </w:p>
        </w:tc>
      </w:tr>
      <w:tr>
        <w:trPr>
          <w:trHeight w:val="236"/>
        </w:trPr>
        <w:tc>
          <w:tcPr>
            <w:tcW w:w="5960" w:type="dxa"/>
            <w:vAlign w:val="bottom"/>
          </w:tcPr>
          <w:p>
            <w:pPr>
              <w:ind w:left="20"/>
              <w:spacing w:after="0"/>
              <w:rPr>
                <w:sz w:val="20"/>
                <w:szCs w:val="20"/>
                <w:color w:val="auto"/>
              </w:rPr>
            </w:pPr>
            <w:r>
              <w:rPr>
                <w:rFonts w:ascii="Arial" w:cs="Arial" w:eastAsia="Arial" w:hAnsi="Arial"/>
                <w:sz w:val="19"/>
                <w:szCs w:val="19"/>
                <w:color w:val="auto"/>
              </w:rPr>
              <w:t>Other</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466</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557</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9"/>
                <w:szCs w:val="19"/>
                <w:color w:val="auto"/>
              </w:rPr>
              <w:t>(91)</w:t>
            </w:r>
          </w:p>
        </w:tc>
      </w:tr>
      <w:tr>
        <w:trPr>
          <w:trHeight w:val="208"/>
        </w:trPr>
        <w:tc>
          <w:tcPr>
            <w:tcW w:w="59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19"/>
                <w:szCs w:val="19"/>
                <w:color w:val="auto"/>
                <w:w w:val="75"/>
              </w:rPr>
              <w:t>$</w:t>
            </w:r>
          </w:p>
        </w:tc>
        <w:tc>
          <w:tcPr>
            <w:tcW w:w="104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13,885</w:t>
            </w:r>
          </w:p>
        </w:tc>
        <w:tc>
          <w:tcPr>
            <w:tcW w:w="2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45"/>
              <w:spacing w:after="0" w:line="209" w:lineRule="exact"/>
              <w:rPr>
                <w:sz w:val="20"/>
                <w:szCs w:val="20"/>
                <w:color w:val="auto"/>
              </w:rPr>
            </w:pPr>
            <w:r>
              <w:rPr>
                <w:rFonts w:ascii="Arial" w:cs="Arial" w:eastAsia="Arial" w:hAnsi="Arial"/>
                <w:sz w:val="19"/>
                <w:szCs w:val="19"/>
                <w:color w:val="auto"/>
                <w:w w:val="94"/>
              </w:rPr>
              <w:t>$</w:t>
            </w:r>
          </w:p>
        </w:tc>
        <w:tc>
          <w:tcPr>
            <w:tcW w:w="94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14,060</w:t>
            </w:r>
          </w:p>
        </w:tc>
        <w:tc>
          <w:tcPr>
            <w:tcW w:w="2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19"/>
                <w:szCs w:val="19"/>
                <w:color w:val="auto"/>
                <w:w w:val="75"/>
              </w:rPr>
              <w:t>$</w:t>
            </w:r>
          </w:p>
        </w:tc>
        <w:tc>
          <w:tcPr>
            <w:tcW w:w="104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(175)</w:t>
            </w:r>
          </w:p>
        </w:tc>
        <w:tc>
          <w:tcPr>
            <w:tcW w:w="120" w:type="dxa"/>
            <w:vAlign w:val="bottom"/>
          </w:tcPr>
          <w:p>
            <w:pPr>
              <w:spacing w:after="0"/>
              <w:rPr>
                <w:sz w:val="18"/>
                <w:szCs w:val="18"/>
                <w:color w:val="auto"/>
              </w:rPr>
            </w:pPr>
          </w:p>
        </w:tc>
      </w:tr>
      <w:tr>
        <w:trPr>
          <w:trHeight w:val="20"/>
        </w:trPr>
        <w:tc>
          <w:tcPr>
            <w:tcW w:w="5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-1179195</wp:posOffset>
            </wp:positionV>
            <wp:extent cx="6438900" cy="11607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4">
                      <a:extLst>
                        <a:ext uri="{28A0092B-C50C-407E-A947-70E740481C1C}"/>
                      </a:extLst>
                    </a:blip>
                    <a:srcRect/>
                    <a:stretch>
                      <a:fillRect/>
                    </a:stretch>
                  </pic:blipFill>
                  <pic:spPr bwMode="auto">
                    <a:xfrm>
                      <a:off x="0" y="0"/>
                      <a:ext cx="6438900" cy="1160780"/>
                    </a:xfrm>
                    <a:prstGeom prst="rect">
                      <a:avLst/>
                    </a:prstGeom>
                    <a:noFill/>
                  </pic:spPr>
                </pic:pic>
              </a:graphicData>
            </a:graphic>
          </wp:anchor>
        </w:drawing>
      </w:r>
    </w:p>
    <w:p>
      <w:pPr>
        <w:spacing w:after="0" w:line="166" w:lineRule="exact"/>
        <w:rPr>
          <w:sz w:val="20"/>
          <w:szCs w:val="20"/>
          <w:color w:val="auto"/>
        </w:rPr>
      </w:pPr>
    </w:p>
    <w:p>
      <w:pPr>
        <w:ind w:left="20" w:right="140"/>
        <w:spacing w:after="0" w:line="250" w:lineRule="auto"/>
        <w:rPr>
          <w:sz w:val="20"/>
          <w:szCs w:val="20"/>
          <w:color w:val="auto"/>
        </w:rPr>
      </w:pPr>
      <w:r>
        <w:rPr>
          <w:rFonts w:ascii="Arial" w:cs="Arial" w:eastAsia="Arial" w:hAnsi="Arial"/>
          <w:sz w:val="19"/>
          <w:szCs w:val="19"/>
          <w:color w:val="auto"/>
        </w:rPr>
        <w:t>General and administrative expenses decreased $0.2 million from $14.1 million for the year ended December 31, 2022 to $13.9 million for the year ended December 31, 2023. The decrease was primarily attributable to a $0.8 million decrease in insurance costs, which was driven by a lower cost for directors and officers insurance, and a $0.6 million decrease in recruiting costs. These decreases were offset by a $1.1 million increase in employee compensation due to increased general and administrative headcount throughout the year.</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9"/>
          <w:szCs w:val="19"/>
          <w:b w:val="1"/>
          <w:bCs w:val="1"/>
          <w:i w:val="1"/>
          <w:iCs w:val="1"/>
          <w:color w:val="auto"/>
        </w:rPr>
        <w:t>Grant Income</w:t>
      </w:r>
    </w:p>
    <w:p>
      <w:pPr>
        <w:spacing w:after="0" w:line="156" w:lineRule="exact"/>
        <w:rPr>
          <w:sz w:val="20"/>
          <w:szCs w:val="20"/>
          <w:color w:val="auto"/>
        </w:rPr>
      </w:pPr>
    </w:p>
    <w:p>
      <w:pPr>
        <w:ind w:left="20" w:right="260"/>
        <w:spacing w:after="0" w:line="260" w:lineRule="auto"/>
        <w:rPr>
          <w:sz w:val="20"/>
          <w:szCs w:val="20"/>
          <w:color w:val="auto"/>
        </w:rPr>
      </w:pPr>
      <w:r>
        <w:rPr>
          <w:rFonts w:ascii="Arial" w:cs="Arial" w:eastAsia="Arial" w:hAnsi="Arial"/>
          <w:sz w:val="19"/>
          <w:szCs w:val="19"/>
          <w:color w:val="auto"/>
        </w:rPr>
        <w:t>There was no grant income for the year ended December 31, 2023, compared to $48,000 for the year ended December 31, 2022. Grant income for the year ended December 31, 2022 relates to the recognition of income from a grant from the Massachusetts Life Sciences Center.</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9"/>
          <w:szCs w:val="19"/>
          <w:b w:val="1"/>
          <w:bCs w:val="1"/>
          <w:i w:val="1"/>
          <w:iCs w:val="1"/>
          <w:color w:val="auto"/>
        </w:rPr>
        <w:t>Interest Income</w:t>
      </w:r>
    </w:p>
    <w:p>
      <w:pPr>
        <w:spacing w:after="0" w:line="156" w:lineRule="exact"/>
        <w:rPr>
          <w:sz w:val="20"/>
          <w:szCs w:val="20"/>
          <w:color w:val="auto"/>
        </w:rPr>
      </w:pPr>
    </w:p>
    <w:p>
      <w:pPr>
        <w:jc w:val="both"/>
        <w:ind w:left="20" w:right="160"/>
        <w:spacing w:after="0" w:line="253" w:lineRule="auto"/>
        <w:rPr>
          <w:sz w:val="20"/>
          <w:szCs w:val="20"/>
          <w:color w:val="auto"/>
        </w:rPr>
      </w:pPr>
      <w:r>
        <w:rPr>
          <w:rFonts w:ascii="Arial" w:cs="Arial" w:eastAsia="Arial" w:hAnsi="Arial"/>
          <w:sz w:val="19"/>
          <w:szCs w:val="19"/>
          <w:color w:val="auto"/>
        </w:rPr>
        <w:t>Interest income was $2.1 million for the year ended December 31, 2023, compared to $ 1.2 million for the year ended December 31, 2022, and represents earnings on our cash equivalents. The increase in interest income is the result of rising interest rates that have generated higher returns on our cash equivalents for the year ended December 31, 2023 compared to the year ended December 31, 2022.</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9"/>
          <w:szCs w:val="19"/>
          <w:b w:val="1"/>
          <w:bCs w:val="1"/>
          <w:i w:val="1"/>
          <w:iCs w:val="1"/>
          <w:color w:val="auto"/>
        </w:rPr>
        <w:t>Interest Expense</w:t>
      </w:r>
    </w:p>
    <w:p>
      <w:pPr>
        <w:spacing w:after="0" w:line="156" w:lineRule="exact"/>
        <w:rPr>
          <w:sz w:val="20"/>
          <w:szCs w:val="20"/>
          <w:color w:val="auto"/>
        </w:rPr>
      </w:pPr>
    </w:p>
    <w:p>
      <w:pPr>
        <w:ind w:left="20" w:right="200"/>
        <w:spacing w:after="0" w:line="253" w:lineRule="auto"/>
        <w:rPr>
          <w:sz w:val="20"/>
          <w:szCs w:val="20"/>
          <w:color w:val="auto"/>
        </w:rPr>
      </w:pPr>
      <w:r>
        <w:rPr>
          <w:rFonts w:ascii="Arial" w:cs="Arial" w:eastAsia="Arial" w:hAnsi="Arial"/>
          <w:sz w:val="19"/>
          <w:szCs w:val="19"/>
          <w:color w:val="auto"/>
        </w:rPr>
        <w:t>Interest expense was $2.6 million for the year ended December 31, 2023, compared to $1.7 million for the year ended December 31, 2022, and represents interest expense on our outstanding debt obligations. The increase in interest expense is the result of rising interest rates that are increasing the variable interest rate on our term loan for the year ended December 31, 2023 compared to the year ended December 31, 2022.</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9"/>
          <w:szCs w:val="19"/>
          <w:b w:val="1"/>
          <w:bCs w:val="1"/>
          <w:i w:val="1"/>
          <w:iCs w:val="1"/>
          <w:color w:val="auto"/>
        </w:rPr>
        <w:t>Change in Fair Value of Warrant Liability</w:t>
      </w:r>
    </w:p>
    <w:p>
      <w:pPr>
        <w:spacing w:after="0" w:line="156" w:lineRule="exact"/>
        <w:rPr>
          <w:sz w:val="20"/>
          <w:szCs w:val="20"/>
          <w:color w:val="auto"/>
        </w:rPr>
      </w:pPr>
    </w:p>
    <w:p>
      <w:pPr>
        <w:ind w:left="20" w:right="240"/>
        <w:spacing w:after="0" w:line="253" w:lineRule="auto"/>
        <w:rPr>
          <w:sz w:val="20"/>
          <w:szCs w:val="20"/>
          <w:color w:val="auto"/>
        </w:rPr>
      </w:pPr>
      <w:r>
        <w:rPr>
          <w:rFonts w:ascii="Arial" w:cs="Arial" w:eastAsia="Arial" w:hAnsi="Arial"/>
          <w:sz w:val="19"/>
          <w:szCs w:val="19"/>
          <w:color w:val="auto"/>
        </w:rPr>
        <w:t>The change in fair value of our warrant liability was a decrease in the fair value of $1.0 million for the year ended December 31, 2023, compared to a decrease in the fair value of $16.4 million for the year ended December 31, 2022. The change in the fair value of the warrant liability is primarily driven by changes in the underlying value of our stock price.</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9"/>
          <w:szCs w:val="19"/>
          <w:b w:val="1"/>
          <w:bCs w:val="1"/>
          <w:i w:val="1"/>
          <w:iCs w:val="1"/>
          <w:color w:val="auto"/>
        </w:rPr>
        <w:t>Liquidity and Capital Resources</w:t>
      </w:r>
    </w:p>
    <w:p>
      <w:pPr>
        <w:spacing w:after="0" w:line="156" w:lineRule="exact"/>
        <w:rPr>
          <w:sz w:val="20"/>
          <w:szCs w:val="20"/>
          <w:color w:val="auto"/>
        </w:rPr>
      </w:pPr>
    </w:p>
    <w:p>
      <w:pPr>
        <w:ind w:left="20" w:right="40"/>
        <w:spacing w:after="0" w:line="244" w:lineRule="auto"/>
        <w:rPr>
          <w:sz w:val="20"/>
          <w:szCs w:val="20"/>
          <w:color w:val="auto"/>
        </w:rPr>
      </w:pPr>
      <w:r>
        <w:rPr>
          <w:rFonts w:ascii="Arial" w:cs="Arial" w:eastAsia="Arial" w:hAnsi="Arial"/>
          <w:sz w:val="19"/>
          <w:szCs w:val="19"/>
          <w:color w:val="auto"/>
        </w:rPr>
        <w:t>Since our inception, we have not generated any revenue from product sales and have incurred significant operating losses. We expect to continue to incur significant expenses and operating losses for the foreseeable future as we advance the clinical development of our product candidates. We expect that our research and development and general and administrative costs will continue to increase significantly, including in connection with conducting clinical trials for our product candidates, developing our manufacturing capabilities which may include the cost of establishing a relationship with contract manufacturers to support commercial launch of our product candidate CAN-2409 and costs associated with equipping our laboratory and manufacturing facility to support clinical trials and commercialization and providing general and administrative support for our operations, including the cost associated with operating as a public company. As a result, we will need additional capital to fund our operations, which we may obtain from additional equity or debt financings, collaborations, licensing arrangements or other sources. Based on current plans and assumptions,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108</w:t>
      </w:r>
    </w:p>
    <w:p>
      <w:pPr>
        <w:sectPr>
          <w:pgSz w:w="12240" w:h="15840" w:orient="portrait"/>
          <w:cols w:equalWidth="0" w:num="1">
            <w:col w:w="10120"/>
          </w:cols>
          <w:pgMar w:left="1060" w:top="1062" w:right="1060" w:bottom="173" w:gutter="0" w:footer="0" w:header="0"/>
        </w:sectPr>
      </w:pPr>
    </w:p>
    <w:bookmarkStart w:id="112" w:name="page113"/>
    <w:bookmarkEnd w:id="112"/>
    <w:p>
      <w:pPr>
        <w:ind w:right="60"/>
        <w:spacing w:after="0" w:line="281" w:lineRule="auto"/>
        <w:rPr>
          <w:sz w:val="20"/>
          <w:szCs w:val="20"/>
          <w:color w:val="auto"/>
        </w:rPr>
      </w:pPr>
      <w:r>
        <w:rPr>
          <w:rFonts w:ascii="Arial" w:cs="Arial" w:eastAsia="Arial" w:hAnsi="Arial"/>
          <w:sz w:val="19"/>
          <w:szCs w:val="19"/>
          <w:color w:val="auto"/>
        </w:rPr>
        <w:t>we expect that our existing cash and cash equivalents will be sufficient to fund our current operating plan into the fourth quarter of 2024.</w:t>
      </w:r>
    </w:p>
    <w:p>
      <w:pPr>
        <w:spacing w:after="0" w:line="85" w:lineRule="exact"/>
        <w:rPr>
          <w:sz w:val="20"/>
          <w:szCs w:val="20"/>
          <w:color w:val="auto"/>
        </w:rPr>
      </w:pPr>
    </w:p>
    <w:p>
      <w:pPr>
        <w:ind w:right="40"/>
        <w:spacing w:after="0" w:line="246" w:lineRule="auto"/>
        <w:rPr>
          <w:sz w:val="20"/>
          <w:szCs w:val="20"/>
          <w:color w:val="auto"/>
        </w:rPr>
      </w:pPr>
      <w:r>
        <w:rPr>
          <w:rFonts w:ascii="Arial" w:cs="Arial" w:eastAsia="Arial" w:hAnsi="Arial"/>
          <w:sz w:val="19"/>
          <w:szCs w:val="19"/>
          <w:color w:val="auto"/>
        </w:rPr>
        <w:t>We do not currently have any approved products and have never generated any revenue from product sales. We have financed our operations primarily through proceeds from government grants and proceeds from the sale of convertible notes, common stock, and our convertible preferred stock. As of December 31, 2023, we have raised approximately $160.8 million, including $15.6 million of government grants, $66.1 million from the sale of convertible preferred stock, and $79.1 million from the sale of our common stock in our IPO. Our cash and cash equivalents totaled $35.4 million as of December 31, 2023. We had $21.3 million of debt as of December 31, 2023. Subsequent to December 31, 2023 and through March 21, 2024, we raised $0.2 million under our ATM Program (as defined below).</w:t>
      </w:r>
    </w:p>
    <w:p>
      <w:pPr>
        <w:spacing w:after="0" w:line="122" w:lineRule="exact"/>
        <w:rPr>
          <w:sz w:val="20"/>
          <w:szCs w:val="20"/>
          <w:color w:val="auto"/>
        </w:rPr>
      </w:pPr>
    </w:p>
    <w:p>
      <w:pPr>
        <w:ind w:right="60"/>
        <w:spacing w:after="0" w:line="244" w:lineRule="auto"/>
        <w:rPr>
          <w:sz w:val="20"/>
          <w:szCs w:val="20"/>
          <w:color w:val="auto"/>
        </w:rPr>
      </w:pPr>
      <w:r>
        <w:rPr>
          <w:rFonts w:ascii="Arial" w:cs="Arial" w:eastAsia="Arial" w:hAnsi="Arial"/>
          <w:sz w:val="19"/>
          <w:szCs w:val="19"/>
          <w:color w:val="auto"/>
        </w:rPr>
        <w:t>On February 24, 2022, we entered into a loan and security agreement Loan Agreement with SVB pursuant to which SVB agreed to provide term loans to us in an aggregate principal amount of $20.0 million. We borrowed $20.0 million upon entering into the Loan Agreement. We could have borrowed up to an additional aggregate principal amount not to exceed $5.0 million, at any time on or prior to December 31, 2022, upon the achievement of all of the following milestones, inclusively: (a) positive phase 2 clinical activity data from our CAN-2409 NSCLC clinical trial, (b) dosing of our first patient in our phase 3 CAN-2409 high-grade glioma clinical trial; and (c) receipt on or prior to December 31, 2022, of net cash proceeds in an amount equal to at least $75.0 million from the issuance and sale of equity securities to investors acceptable to SVB. We did not borrow any of the additional aggregate principal amount on or prior to December 31, 2022. The term loans are secured by substantially all of our properties, rights and assets, except for our intellectual property, which is subject to a negative pledge under the Loan Agreement.</w:t>
      </w:r>
    </w:p>
    <w:p>
      <w:pPr>
        <w:spacing w:after="0" w:line="124" w:lineRule="exact"/>
        <w:rPr>
          <w:sz w:val="20"/>
          <w:szCs w:val="20"/>
          <w:color w:val="auto"/>
        </w:rPr>
      </w:pPr>
    </w:p>
    <w:p>
      <w:pPr>
        <w:ind w:right="20"/>
        <w:spacing w:after="0" w:line="246" w:lineRule="auto"/>
        <w:rPr>
          <w:sz w:val="20"/>
          <w:szCs w:val="20"/>
          <w:color w:val="auto"/>
        </w:rPr>
      </w:pPr>
      <w:r>
        <w:rPr>
          <w:rFonts w:ascii="Arial" w:cs="Arial" w:eastAsia="Arial" w:hAnsi="Arial"/>
          <w:sz w:val="19"/>
          <w:szCs w:val="19"/>
          <w:color w:val="auto"/>
        </w:rPr>
        <w:t>The term loans bear interest at a floating rate per annum equal to the greater of (A) 5.75% and (B) the prime rate (as published in the money rates section of The Wall Street Journal) plus 2.50%. We are required to make monthly interest payments, and commencing on February 1, 2024, 24 consecutive installments of principal plus monthly payments of accrued interest. The term loans mature on January 1, 2026. Upon repayment in full of the term loans, we will be required to pay a final payment fee equal to 4.50% of the original principal amount of any funded term loan being repaid. The Loan Agreement permits voluntary prepayment of all, but not less than all, of the SVB term loans, subject to a prepayment premium of 1% to 3% based upon the timing of the prepayment.</w:t>
      </w:r>
    </w:p>
    <w:p>
      <w:pPr>
        <w:spacing w:after="0" w:line="8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On August 5, 2022, we filed a shelf registration statement on Form S-3 (as amended, the Shelf) with the SEC, which covers the offering, issuance and sale by us of up to an aggregate of $200.0 million of our common stock, preferred stock, debt securities, warrants and/or units of any combination thereof. We simultaneously entered into a sales agreement with Jefferies LLC, as sales agent, to provide for the issuance and sale by us of up to $75.0 million of our common stock from time to time in “at-the-market” offerings under the Shelf (the ATM Program). The Shelf was declared effective by the SEC on August 12, 2022. Subsequent to December 31, 2023 and through March 21, 2024, we have sold and issued 109,485 shares of common stock under the ATM Program, with total net proceeds of $0.2 million.</w:t>
      </w:r>
    </w:p>
    <w:p>
      <w:pPr>
        <w:spacing w:after="0" w:line="68" w:lineRule="exact"/>
        <w:rPr>
          <w:sz w:val="20"/>
          <w:szCs w:val="20"/>
          <w:color w:val="auto"/>
        </w:rPr>
      </w:pPr>
    </w:p>
    <w:p>
      <w:pPr>
        <w:spacing w:after="0" w:line="244" w:lineRule="auto"/>
        <w:rPr>
          <w:sz w:val="20"/>
          <w:szCs w:val="20"/>
          <w:color w:val="auto"/>
        </w:rPr>
      </w:pPr>
      <w:r>
        <w:rPr>
          <w:rFonts w:ascii="Arial" w:cs="Arial" w:eastAsia="Arial" w:hAnsi="Arial"/>
          <w:sz w:val="19"/>
          <w:szCs w:val="19"/>
          <w:color w:val="auto"/>
        </w:rPr>
        <w:t>As of December 31, 2023, we had an accumulated deficit of $137.0 million and have not generated any product sales. We do not know when, or if, we will generate revenue from product sales. We will not generate significant revenue from product sales unless and until we obtain regulatory approval and commercialize one of our current or future product candidates. Our primary uses of capital are, and we expect will continue to be, compensation and related expenses, third-party clinical and contract manufacturing costs, legal and other regulatory expenses, and general overhead costs. We expect that we will continue to generate losses for the foreseeable future, and we expect the losses to increase as we continue the development of, and seek regulatory approvals for, our product candidates, and begin to commercialize any approved products. We are subject to risks in the development of our products, and we may encounter unforeseen expenses, difficulties, complications, delays and other unknown factors that may adversely affect our business. We will require substantial additional financing to fund our operations and to continue to execute our strategy, and we will pursue a range of options to secure additional capital.</w:t>
      </w:r>
    </w:p>
    <w:p>
      <w:pPr>
        <w:spacing w:after="0" w:line="80" w:lineRule="exact"/>
        <w:rPr>
          <w:sz w:val="20"/>
          <w:szCs w:val="20"/>
          <w:color w:val="auto"/>
        </w:rPr>
      </w:pPr>
    </w:p>
    <w:p>
      <w:pPr>
        <w:ind w:right="180"/>
        <w:spacing w:after="0" w:line="248" w:lineRule="auto"/>
        <w:rPr>
          <w:sz w:val="20"/>
          <w:szCs w:val="20"/>
          <w:color w:val="auto"/>
        </w:rPr>
      </w:pPr>
      <w:r>
        <w:rPr>
          <w:rFonts w:ascii="Arial" w:cs="Arial" w:eastAsia="Arial" w:hAnsi="Arial"/>
          <w:sz w:val="19"/>
          <w:szCs w:val="19"/>
          <w:color w:val="auto"/>
        </w:rPr>
        <w:t>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If we are unable to raise capital when needed or on acceptable terms, it would have a negative impact on our financial condition and we could be forced to delay, reduce or eliminate our research, clinical trials, product development or future commercialization efforts.</w:t>
      </w:r>
    </w:p>
    <w:p>
      <w:pPr>
        <w:spacing w:after="0" w:line="1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Cash Flows</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summarizes our sources and uses of cash for the periods presented (in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92075</wp:posOffset>
                </wp:positionV>
                <wp:extent cx="6437630"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76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7.25pt" to="505.45pt,7.25pt" o:allowincell="f" strokecolor="#000000" strokeweight="0.7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109</w:t>
      </w:r>
    </w:p>
    <w:p>
      <w:pPr>
        <w:sectPr>
          <w:pgSz w:w="12240" w:h="15840" w:orient="portrait"/>
          <w:cols w:equalWidth="0" w:num="1">
            <w:col w:w="10060"/>
          </w:cols>
          <w:pgMar w:left="1080" w:top="1062" w:right="1100" w:bottom="173"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03"/>
        </w:trPr>
        <w:tc>
          <w:tcPr>
            <w:tcW w:w="6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60" w:type="dxa"/>
            <w:vAlign w:val="bottom"/>
            <w:gridSpan w:val="5"/>
          </w:tcPr>
          <w:p>
            <w:pPr>
              <w:jc w:val="right"/>
              <w:ind w:right="460"/>
              <w:spacing w:after="0"/>
              <w:rPr>
                <w:sz w:val="20"/>
                <w:szCs w:val="20"/>
                <w:color w:val="auto"/>
              </w:rPr>
            </w:pPr>
            <w:r>
              <w:rPr>
                <w:rFonts w:ascii="Arial" w:cs="Arial" w:eastAsia="Arial" w:hAnsi="Arial"/>
                <w:sz w:val="16"/>
                <w:szCs w:val="16"/>
                <w:b w:val="1"/>
                <w:bCs w:val="1"/>
                <w:color w:val="auto"/>
              </w:rPr>
              <w:t>YEARS ENDED DECEMBER 31,</w:t>
            </w:r>
          </w:p>
        </w:tc>
        <w:tc>
          <w:tcPr>
            <w:tcW w:w="0" w:type="dxa"/>
            <w:vAlign w:val="bottom"/>
          </w:tcPr>
          <w:p>
            <w:pPr>
              <w:spacing w:after="0"/>
              <w:rPr>
                <w:sz w:val="1"/>
                <w:szCs w:val="1"/>
                <w:color w:val="auto"/>
              </w:rPr>
            </w:pPr>
          </w:p>
        </w:tc>
      </w:tr>
      <w:tr>
        <w:trPr>
          <w:trHeight w:val="174"/>
        </w:trPr>
        <w:tc>
          <w:tcPr>
            <w:tcW w:w="6940" w:type="dxa"/>
            <w:vAlign w:val="bottom"/>
            <w:vMerge w:val="restart"/>
          </w:tcPr>
          <w:p>
            <w:pPr>
              <w:ind w:left="20"/>
              <w:spacing w:after="0"/>
              <w:rPr>
                <w:sz w:val="20"/>
                <w:szCs w:val="20"/>
                <w:color w:val="auto"/>
              </w:rPr>
            </w:pPr>
            <w:r>
              <w:rPr>
                <w:rFonts w:ascii="Arial" w:cs="Arial" w:eastAsia="Arial" w:hAnsi="Arial"/>
                <w:sz w:val="19"/>
                <w:szCs w:val="19"/>
                <w:color w:val="auto"/>
              </w:rPr>
              <w:t>Net cash used in operating activities</w:t>
            </w:r>
          </w:p>
        </w:tc>
        <w:tc>
          <w:tcPr>
            <w:tcW w:w="22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430"/>
              <w:spacing w:after="0" w:line="174" w:lineRule="exact"/>
              <w:rPr>
                <w:sz w:val="20"/>
                <w:szCs w:val="20"/>
                <w:color w:val="auto"/>
              </w:rPr>
            </w:pPr>
            <w:r>
              <w:rPr>
                <w:rFonts w:ascii="Arial" w:cs="Arial" w:eastAsia="Arial" w:hAnsi="Arial"/>
                <w:sz w:val="16"/>
                <w:szCs w:val="16"/>
                <w:b w:val="1"/>
                <w:bCs w:val="1"/>
                <w:color w:val="auto"/>
              </w:rPr>
              <w:t>2023</w:t>
            </w:r>
          </w:p>
        </w:tc>
        <w:tc>
          <w:tcPr>
            <w:tcW w:w="260" w:type="dxa"/>
            <w:vAlign w:val="bottom"/>
            <w:tcBorders>
              <w:top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28"/>
              <w:spacing w:after="0" w:line="174" w:lineRule="exact"/>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940" w:type="dxa"/>
            <w:vAlign w:val="bottom"/>
            <w:vMerge w:val="continue"/>
          </w:tcPr>
          <w:p>
            <w:pPr>
              <w:spacing w:after="0"/>
              <w:rPr>
                <w:sz w:val="16"/>
                <w:szCs w:val="16"/>
                <w:color w:val="auto"/>
              </w:rPr>
            </w:pPr>
          </w:p>
        </w:tc>
        <w:tc>
          <w:tcPr>
            <w:tcW w:w="220" w:type="dxa"/>
            <w:vAlign w:val="bottom"/>
          </w:tcPr>
          <w:p>
            <w:pPr>
              <w:jc w:val="right"/>
              <w:ind w:right="25"/>
              <w:spacing w:after="0" w:line="191" w:lineRule="exact"/>
              <w:rPr>
                <w:sz w:val="20"/>
                <w:szCs w:val="20"/>
                <w:color w:val="auto"/>
              </w:rPr>
            </w:pPr>
            <w:r>
              <w:rPr>
                <w:rFonts w:ascii="Arial" w:cs="Arial" w:eastAsia="Arial" w:hAnsi="Arial"/>
                <w:sz w:val="19"/>
                <w:szCs w:val="19"/>
                <w:color w:val="auto"/>
                <w:w w:val="75"/>
              </w:rPr>
              <w:t>$</w:t>
            </w:r>
          </w:p>
        </w:tc>
        <w:tc>
          <w:tcPr>
            <w:tcW w:w="1180" w:type="dxa"/>
            <w:vAlign w:val="bottom"/>
          </w:tcPr>
          <w:p>
            <w:pPr>
              <w:jc w:val="right"/>
              <w:spacing w:after="0" w:line="191" w:lineRule="exact"/>
              <w:rPr>
                <w:sz w:val="20"/>
                <w:szCs w:val="20"/>
                <w:color w:val="auto"/>
              </w:rPr>
            </w:pPr>
            <w:r>
              <w:rPr>
                <w:rFonts w:ascii="Arial" w:cs="Arial" w:eastAsia="Arial" w:hAnsi="Arial"/>
                <w:sz w:val="19"/>
                <w:szCs w:val="19"/>
                <w:color w:val="auto"/>
              </w:rPr>
              <w:t>(34,244)</w:t>
            </w:r>
          </w:p>
        </w:tc>
        <w:tc>
          <w:tcPr>
            <w:tcW w:w="260" w:type="dxa"/>
            <w:vAlign w:val="bottom"/>
          </w:tcPr>
          <w:p>
            <w:pPr>
              <w:spacing w:after="0"/>
              <w:rPr>
                <w:sz w:val="16"/>
                <w:szCs w:val="16"/>
                <w:color w:val="auto"/>
              </w:rPr>
            </w:pPr>
          </w:p>
        </w:tc>
        <w:tc>
          <w:tcPr>
            <w:tcW w:w="320" w:type="dxa"/>
            <w:vAlign w:val="bottom"/>
          </w:tcPr>
          <w:p>
            <w:pPr>
              <w:jc w:val="right"/>
              <w:ind w:right="125"/>
              <w:spacing w:after="0" w:line="191" w:lineRule="exact"/>
              <w:rPr>
                <w:sz w:val="20"/>
                <w:szCs w:val="20"/>
                <w:color w:val="auto"/>
              </w:rPr>
            </w:pPr>
            <w:r>
              <w:rPr>
                <w:rFonts w:ascii="Arial" w:cs="Arial" w:eastAsia="Arial" w:hAnsi="Arial"/>
                <w:sz w:val="19"/>
                <w:szCs w:val="19"/>
                <w:color w:val="auto"/>
                <w:w w:val="75"/>
              </w:rPr>
              <w:t>$</w:t>
            </w:r>
          </w:p>
        </w:tc>
        <w:tc>
          <w:tcPr>
            <w:tcW w:w="1080" w:type="dxa"/>
            <w:vAlign w:val="bottom"/>
          </w:tcPr>
          <w:p>
            <w:pPr>
              <w:jc w:val="right"/>
              <w:spacing w:after="0" w:line="191" w:lineRule="exact"/>
              <w:rPr>
                <w:sz w:val="20"/>
                <w:szCs w:val="20"/>
                <w:color w:val="auto"/>
              </w:rPr>
            </w:pPr>
            <w:r>
              <w:rPr>
                <w:rFonts w:ascii="Arial" w:cs="Arial" w:eastAsia="Arial" w:hAnsi="Arial"/>
                <w:sz w:val="19"/>
                <w:szCs w:val="19"/>
                <w:color w:val="auto"/>
              </w:rPr>
              <w:t>(31,419)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940" w:type="dxa"/>
            <w:vAlign w:val="bottom"/>
          </w:tcPr>
          <w:p>
            <w:pPr>
              <w:ind w:left="20"/>
              <w:spacing w:after="0"/>
              <w:rPr>
                <w:sz w:val="20"/>
                <w:szCs w:val="20"/>
                <w:color w:val="auto"/>
              </w:rPr>
            </w:pPr>
            <w:r>
              <w:rPr>
                <w:rFonts w:ascii="Arial" w:cs="Arial" w:eastAsia="Arial" w:hAnsi="Arial"/>
                <w:sz w:val="19"/>
                <w:szCs w:val="19"/>
                <w:color w:val="auto"/>
              </w:rPr>
              <w:t>Net cash used in investing activities</w:t>
            </w:r>
          </w:p>
        </w:tc>
        <w:tc>
          <w:tcPr>
            <w:tcW w:w="2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9"/>
                <w:szCs w:val="19"/>
                <w:color w:val="auto"/>
              </w:rPr>
              <w:t>(280)</w:t>
            </w: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9"/>
                <w:szCs w:val="19"/>
                <w:color w:val="auto"/>
              </w:rPr>
              <w:t>(1,297)</w:t>
            </w:r>
          </w:p>
        </w:tc>
        <w:tc>
          <w:tcPr>
            <w:tcW w:w="0" w:type="dxa"/>
            <w:vAlign w:val="bottom"/>
          </w:tcPr>
          <w:p>
            <w:pPr>
              <w:spacing w:after="0"/>
              <w:rPr>
                <w:sz w:val="1"/>
                <w:szCs w:val="1"/>
                <w:color w:val="auto"/>
              </w:rPr>
            </w:pPr>
          </w:p>
        </w:tc>
      </w:tr>
      <w:tr>
        <w:trPr>
          <w:trHeight w:val="236"/>
        </w:trPr>
        <w:tc>
          <w:tcPr>
            <w:tcW w:w="6940" w:type="dxa"/>
            <w:vAlign w:val="bottom"/>
          </w:tcPr>
          <w:p>
            <w:pPr>
              <w:ind w:left="20"/>
              <w:spacing w:after="0"/>
              <w:rPr>
                <w:sz w:val="20"/>
                <w:szCs w:val="20"/>
                <w:color w:val="auto"/>
              </w:rPr>
            </w:pPr>
            <w:r>
              <w:rPr>
                <w:rFonts w:ascii="Arial" w:cs="Arial" w:eastAsia="Arial" w:hAnsi="Arial"/>
                <w:sz w:val="19"/>
                <w:szCs w:val="19"/>
                <w:color w:val="auto"/>
              </w:rPr>
              <w:t>Net cash (used in) provided by financing activities</w:t>
            </w:r>
          </w:p>
        </w:tc>
        <w:tc>
          <w:tcPr>
            <w:tcW w:w="22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9"/>
                <w:szCs w:val="19"/>
                <w:color w:val="auto"/>
              </w:rPr>
              <w:t>(121)</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19,974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6940" w:type="dxa"/>
            <w:vAlign w:val="bottom"/>
          </w:tcPr>
          <w:p>
            <w:pPr>
              <w:ind w:left="20"/>
              <w:spacing w:after="0" w:line="209" w:lineRule="exact"/>
              <w:rPr>
                <w:sz w:val="20"/>
                <w:szCs w:val="20"/>
                <w:color w:val="auto"/>
              </w:rPr>
            </w:pPr>
            <w:r>
              <w:rPr>
                <w:rFonts w:ascii="Arial" w:cs="Arial" w:eastAsia="Arial" w:hAnsi="Arial"/>
                <w:sz w:val="19"/>
                <w:szCs w:val="19"/>
                <w:color w:val="auto"/>
              </w:rPr>
              <w:t>Net decrease in cash and cash equivalents</w:t>
            </w:r>
          </w:p>
        </w:tc>
        <w:tc>
          <w:tcPr>
            <w:tcW w:w="220" w:type="dxa"/>
            <w:vAlign w:val="bottom"/>
            <w:tcBorders>
              <w:top w:val="single" w:sz="8" w:color="auto"/>
              <w:bottom w:val="single" w:sz="8" w:color="auto"/>
            </w:tcBorders>
          </w:tcPr>
          <w:p>
            <w:pPr>
              <w:jc w:val="right"/>
              <w:ind w:right="25"/>
              <w:spacing w:after="0" w:line="209" w:lineRule="exact"/>
              <w:rPr>
                <w:sz w:val="20"/>
                <w:szCs w:val="20"/>
                <w:color w:val="auto"/>
              </w:rPr>
            </w:pPr>
            <w:r>
              <w:rPr>
                <w:rFonts w:ascii="Arial" w:cs="Arial" w:eastAsia="Arial" w:hAnsi="Arial"/>
                <w:sz w:val="19"/>
                <w:szCs w:val="19"/>
                <w:color w:val="auto"/>
                <w:w w:val="75"/>
              </w:rPr>
              <w:t>$</w:t>
            </w:r>
          </w:p>
        </w:tc>
        <w:tc>
          <w:tcPr>
            <w:tcW w:w="118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(34,645)</w:t>
            </w:r>
          </w:p>
        </w:tc>
        <w:tc>
          <w:tcPr>
            <w:tcW w:w="2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25"/>
              <w:spacing w:after="0" w:line="209" w:lineRule="exact"/>
              <w:rPr>
                <w:sz w:val="20"/>
                <w:szCs w:val="20"/>
                <w:color w:val="auto"/>
              </w:rPr>
            </w:pPr>
            <w:r>
              <w:rPr>
                <w:rFonts w:ascii="Arial" w:cs="Arial" w:eastAsia="Arial" w:hAnsi="Arial"/>
                <w:sz w:val="19"/>
                <w:szCs w:val="19"/>
                <w:color w:val="auto"/>
                <w:w w:val="75"/>
              </w:rPr>
              <w:t>$</w:t>
            </w:r>
          </w:p>
        </w:tc>
        <w:tc>
          <w:tcPr>
            <w:tcW w:w="108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(12,742)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9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-762000</wp:posOffset>
            </wp:positionV>
            <wp:extent cx="6426200" cy="5930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5">
                      <a:extLst>
                        <a:ext uri="{28A0092B-C50C-407E-A947-70E740481C1C}"/>
                      </a:extLst>
                    </a:blip>
                    <a:srcRect/>
                    <a:stretch>
                      <a:fillRect/>
                    </a:stretch>
                  </pic:blipFill>
                  <pic:spPr bwMode="auto">
                    <a:xfrm>
                      <a:off x="0" y="0"/>
                      <a:ext cx="6426200" cy="593090"/>
                    </a:xfrm>
                    <a:prstGeom prst="rect">
                      <a:avLst/>
                    </a:prstGeom>
                    <a:noFill/>
                  </pic:spPr>
                </pic:pic>
              </a:graphicData>
            </a:graphic>
          </wp:anchor>
        </w:drawing>
      </w:r>
    </w:p>
    <w:p>
      <w:pPr>
        <w:spacing w:after="0" w:line="118" w:lineRule="exact"/>
        <w:rPr>
          <w:sz w:val="20"/>
          <w:szCs w:val="20"/>
          <w:color w:val="auto"/>
        </w:rPr>
      </w:pPr>
    </w:p>
    <w:p>
      <w:pPr>
        <w:ind w:left="20" w:right="4560"/>
        <w:spacing w:after="0" w:line="417" w:lineRule="auto"/>
        <w:rPr>
          <w:sz w:val="20"/>
          <w:szCs w:val="20"/>
          <w:color w:val="auto"/>
        </w:rPr>
      </w:pPr>
      <w:r>
        <w:rPr>
          <w:rFonts w:ascii="Arial" w:cs="Arial" w:eastAsia="Arial" w:hAnsi="Arial"/>
          <w:sz w:val="19"/>
          <w:szCs w:val="19"/>
          <w:b w:val="1"/>
          <w:bCs w:val="1"/>
          <w:color w:val="auto"/>
        </w:rPr>
        <w:t xml:space="preserve">Cash Flows for the Years Ended December 31, 2023 and 2022 </w:t>
      </w:r>
      <w:r>
        <w:rPr>
          <w:rFonts w:ascii="Arial" w:cs="Arial" w:eastAsia="Arial" w:hAnsi="Arial"/>
          <w:sz w:val="19"/>
          <w:szCs w:val="19"/>
          <w:b w:val="1"/>
          <w:bCs w:val="1"/>
          <w:i w:val="1"/>
          <w:iCs w:val="1"/>
          <w:color w:val="auto"/>
        </w:rPr>
        <w:t>Operating Activities</w:t>
      </w:r>
    </w:p>
    <w:p>
      <w:pPr>
        <w:spacing w:after="0" w:line="2" w:lineRule="exact"/>
        <w:rPr>
          <w:sz w:val="20"/>
          <w:szCs w:val="20"/>
          <w:color w:val="auto"/>
        </w:rPr>
      </w:pPr>
    </w:p>
    <w:p>
      <w:pPr>
        <w:ind w:left="20" w:right="80"/>
        <w:spacing w:after="0" w:line="245" w:lineRule="auto"/>
        <w:rPr>
          <w:sz w:val="20"/>
          <w:szCs w:val="20"/>
          <w:color w:val="auto"/>
        </w:rPr>
      </w:pPr>
      <w:r>
        <w:rPr>
          <w:rFonts w:ascii="Arial" w:cs="Arial" w:eastAsia="Arial" w:hAnsi="Arial"/>
          <w:sz w:val="19"/>
          <w:szCs w:val="19"/>
          <w:color w:val="auto"/>
        </w:rPr>
        <w:t>Net cash used in operating activities for the year ended December 31, 2023 was $34.2 million, primarily consisting of a net loss of $37.9 million as we incurred expenses associated with our clinical programs, increased our headcount prior to the restructuring in the fourth quarter of 2023 and incurred costs associated with operating as a public company. In addition, we had non-cash income of $1.0 million as a result of the change in the fair value of our warrant liability. Non-cash income was partially offset by $5.2 million in non-cash charges primarily related to non-cash stock-based compensation and depreciation expense. Net cash used in operating activities was also impacted by $0.5 million in changes in operating assets and liabilities, primarily driven by a decrease of $0.5 million in lease-related liabilities and a decrease of $0.3 million in accrued expenses. These changes were partially offset by a decrease of $0.5 million in prepaid expenses and other current assets.</w:t>
      </w:r>
    </w:p>
    <w:p>
      <w:pPr>
        <w:spacing w:after="0" w:line="119" w:lineRule="exact"/>
        <w:rPr>
          <w:sz w:val="20"/>
          <w:szCs w:val="20"/>
          <w:color w:val="auto"/>
        </w:rPr>
      </w:pPr>
    </w:p>
    <w:p>
      <w:pPr>
        <w:ind w:left="20" w:right="100"/>
        <w:spacing w:after="0" w:line="245" w:lineRule="auto"/>
        <w:rPr>
          <w:sz w:val="20"/>
          <w:szCs w:val="20"/>
          <w:color w:val="auto"/>
        </w:rPr>
      </w:pPr>
      <w:r>
        <w:rPr>
          <w:rFonts w:ascii="Arial" w:cs="Arial" w:eastAsia="Arial" w:hAnsi="Arial"/>
          <w:sz w:val="19"/>
          <w:szCs w:val="19"/>
          <w:color w:val="auto"/>
        </w:rPr>
        <w:t>Net cash used in operating activities for the year ended December 31, 2022 was $31.4 million, primarily consisting of a net loss of $18.8 million as we incurred expenses associated with our clinical programs, increased our headcount and incurred costs associated with operating as a public company. In addition, we had non-cash income of $16.4 million as a result of the change in the fair value of our warrant liability, which was partially offset by $3.1 million of non-cash stock-based compensation and depreciation expense. Net cash used in operating activities was also impacted by $0.1 million in changes in operating assets and liabilities, primarily driven by an increase of $1.3 million in accrued expenses and a decrease in prepaid expenses and other current assets of $0.4 million. These changes were partially offset by a decrease of $1.2 million in accounts payable and a decrease of $0.5 million in lease-related liabilities.</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9"/>
          <w:szCs w:val="19"/>
          <w:b w:val="1"/>
          <w:bCs w:val="1"/>
          <w:i w:val="1"/>
          <w:iCs w:val="1"/>
          <w:color w:val="auto"/>
        </w:rPr>
        <w:t>Investing Activities</w:t>
      </w:r>
    </w:p>
    <w:p>
      <w:pPr>
        <w:spacing w:after="0" w:line="156" w:lineRule="exact"/>
        <w:rPr>
          <w:sz w:val="20"/>
          <w:szCs w:val="20"/>
          <w:color w:val="auto"/>
        </w:rPr>
      </w:pPr>
    </w:p>
    <w:p>
      <w:pPr>
        <w:ind w:left="20" w:right="580"/>
        <w:spacing w:after="0" w:line="281" w:lineRule="auto"/>
        <w:rPr>
          <w:sz w:val="20"/>
          <w:szCs w:val="20"/>
          <w:color w:val="auto"/>
        </w:rPr>
      </w:pPr>
      <w:r>
        <w:rPr>
          <w:rFonts w:ascii="Arial" w:cs="Arial" w:eastAsia="Arial" w:hAnsi="Arial"/>
          <w:sz w:val="19"/>
          <w:szCs w:val="19"/>
          <w:color w:val="auto"/>
        </w:rPr>
        <w:t>Net cash used in investing activities for the year ended December 31, 2023 was $0.3 million, and consisted of the purchase of fixed assets, which was partially offset by proceeds from the sale of fixed assets.</w:t>
      </w:r>
    </w:p>
    <w:p>
      <w:pPr>
        <w:spacing w:after="0" w:line="105" w:lineRule="exact"/>
        <w:rPr>
          <w:sz w:val="20"/>
          <w:szCs w:val="20"/>
          <w:color w:val="auto"/>
        </w:rPr>
      </w:pPr>
    </w:p>
    <w:p>
      <w:pPr>
        <w:ind w:left="20" w:right="200"/>
        <w:spacing w:after="0" w:line="281" w:lineRule="auto"/>
        <w:rPr>
          <w:sz w:val="20"/>
          <w:szCs w:val="20"/>
          <w:color w:val="auto"/>
        </w:rPr>
      </w:pPr>
      <w:r>
        <w:rPr>
          <w:rFonts w:ascii="Arial" w:cs="Arial" w:eastAsia="Arial" w:hAnsi="Arial"/>
          <w:sz w:val="19"/>
          <w:szCs w:val="19"/>
          <w:color w:val="auto"/>
        </w:rPr>
        <w:t>Net cash used in investing activities for the year ended December 31, 2022 was $1.3 million, which was attributable to the use of $1.3 million for purchases of fixed assets.</w:t>
      </w:r>
    </w:p>
    <w:p>
      <w:pPr>
        <w:spacing w:after="0" w:line="89" w:lineRule="exact"/>
        <w:rPr>
          <w:sz w:val="20"/>
          <w:szCs w:val="20"/>
          <w:color w:val="auto"/>
        </w:rPr>
      </w:pPr>
    </w:p>
    <w:p>
      <w:pPr>
        <w:ind w:left="20"/>
        <w:spacing w:after="0"/>
        <w:rPr>
          <w:sz w:val="20"/>
          <w:szCs w:val="20"/>
          <w:color w:val="auto"/>
        </w:rPr>
      </w:pPr>
      <w:r>
        <w:rPr>
          <w:rFonts w:ascii="Arial" w:cs="Arial" w:eastAsia="Arial" w:hAnsi="Arial"/>
          <w:sz w:val="19"/>
          <w:szCs w:val="19"/>
          <w:b w:val="1"/>
          <w:bCs w:val="1"/>
          <w:i w:val="1"/>
          <w:iCs w:val="1"/>
          <w:color w:val="auto"/>
        </w:rPr>
        <w:t>Financing Activities</w:t>
      </w:r>
    </w:p>
    <w:p>
      <w:pPr>
        <w:spacing w:after="0" w:line="156" w:lineRule="exact"/>
        <w:rPr>
          <w:sz w:val="20"/>
          <w:szCs w:val="20"/>
          <w:color w:val="auto"/>
        </w:rPr>
      </w:pPr>
    </w:p>
    <w:p>
      <w:pPr>
        <w:ind w:left="20" w:right="340"/>
        <w:spacing w:after="0" w:line="281" w:lineRule="auto"/>
        <w:rPr>
          <w:sz w:val="20"/>
          <w:szCs w:val="20"/>
          <w:color w:val="auto"/>
        </w:rPr>
      </w:pPr>
      <w:r>
        <w:rPr>
          <w:rFonts w:ascii="Arial" w:cs="Arial" w:eastAsia="Arial" w:hAnsi="Arial"/>
          <w:sz w:val="19"/>
          <w:szCs w:val="19"/>
          <w:color w:val="auto"/>
        </w:rPr>
        <w:t>Net cash used in financing activities for the year ended December 31, 2023 was $0.1 million, consisting of payments related to tax withholding for vested restricted stock units.</w:t>
      </w:r>
    </w:p>
    <w:p>
      <w:pPr>
        <w:spacing w:after="0" w:line="85" w:lineRule="exact"/>
        <w:rPr>
          <w:sz w:val="20"/>
          <w:szCs w:val="20"/>
          <w:color w:val="auto"/>
        </w:rPr>
      </w:pPr>
    </w:p>
    <w:p>
      <w:pPr>
        <w:ind w:left="20" w:right="120"/>
        <w:spacing w:after="0" w:line="281" w:lineRule="auto"/>
        <w:rPr>
          <w:sz w:val="20"/>
          <w:szCs w:val="20"/>
          <w:color w:val="auto"/>
        </w:rPr>
      </w:pPr>
      <w:r>
        <w:rPr>
          <w:rFonts w:ascii="Arial" w:cs="Arial" w:eastAsia="Arial" w:hAnsi="Arial"/>
          <w:sz w:val="19"/>
          <w:szCs w:val="19"/>
          <w:color w:val="auto"/>
        </w:rPr>
        <w:t>Net cash provided by financing activities for the year ended December 31, 2022 was $20.0 million, primarily consisting of $19.9 million of net proceeds from a term loan with SVB.</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Funding Requirements</w:t>
      </w:r>
    </w:p>
    <w:p>
      <w:pPr>
        <w:spacing w:after="0" w:line="164" w:lineRule="exact"/>
        <w:rPr>
          <w:sz w:val="20"/>
          <w:szCs w:val="20"/>
          <w:color w:val="auto"/>
        </w:rPr>
      </w:pPr>
    </w:p>
    <w:p>
      <w:pPr>
        <w:ind w:left="20" w:right="80"/>
        <w:spacing w:after="0" w:line="250" w:lineRule="auto"/>
        <w:rPr>
          <w:sz w:val="20"/>
          <w:szCs w:val="20"/>
          <w:color w:val="auto"/>
        </w:rPr>
      </w:pPr>
      <w:r>
        <w:rPr>
          <w:rFonts w:ascii="Arial" w:cs="Arial" w:eastAsia="Arial" w:hAnsi="Arial"/>
          <w:sz w:val="19"/>
          <w:szCs w:val="19"/>
          <w:color w:val="auto"/>
        </w:rPr>
        <w:t>We expect our operating expenses to increase substantially in the future in connection with our ongoing activities, particularly as we advance CAN-2409 and CAN-3110 through research and development, clinical trials, and develop our manufacturing capabilities, as we research and develop additional product candidates including preclinical activities and as we prepare for marketing approval and commercialization. We also expect to incur additional costs associated with operating as a public company.</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9"/>
          <w:szCs w:val="19"/>
          <w:color w:val="auto"/>
        </w:rPr>
        <w:t>Specifically, our costs and expenses will increase as we:</w:t>
      </w:r>
    </w:p>
    <w:p>
      <w:pPr>
        <w:spacing w:after="0" w:line="173" w:lineRule="exact"/>
        <w:rPr>
          <w:sz w:val="20"/>
          <w:szCs w:val="20"/>
          <w:color w:val="auto"/>
        </w:rPr>
      </w:pPr>
    </w:p>
    <w:p>
      <w:pPr>
        <w:ind w:left="740" w:hanging="360"/>
        <w:spacing w:after="0"/>
        <w:tabs>
          <w:tab w:leader="none" w:pos="740" w:val="left"/>
        </w:tabs>
        <w:numPr>
          <w:ilvl w:val="0"/>
          <w:numId w:val="78"/>
        </w:numPr>
        <w:rPr>
          <w:rFonts w:ascii="Arial" w:cs="Arial" w:eastAsia="Arial" w:hAnsi="Arial"/>
          <w:sz w:val="19"/>
          <w:szCs w:val="19"/>
          <w:color w:val="auto"/>
        </w:rPr>
      </w:pPr>
      <w:r>
        <w:rPr>
          <w:rFonts w:ascii="Arial" w:cs="Arial" w:eastAsia="Arial" w:hAnsi="Arial"/>
          <w:sz w:val="19"/>
          <w:szCs w:val="19"/>
          <w:color w:val="auto"/>
        </w:rPr>
        <w:t>advance the clinical development of CAN-2409 and CAN-3110;</w:t>
      </w:r>
    </w:p>
    <w:p>
      <w:pPr>
        <w:spacing w:after="0" w:line="172" w:lineRule="exact"/>
        <w:rPr>
          <w:rFonts w:ascii="Arial" w:cs="Arial" w:eastAsia="Arial" w:hAnsi="Arial"/>
          <w:sz w:val="19"/>
          <w:szCs w:val="19"/>
          <w:color w:val="auto"/>
        </w:rPr>
      </w:pPr>
    </w:p>
    <w:p>
      <w:pPr>
        <w:ind w:left="740" w:right="280" w:hanging="360"/>
        <w:spacing w:after="0" w:line="253" w:lineRule="auto"/>
        <w:tabs>
          <w:tab w:leader="none" w:pos="740" w:val="left"/>
        </w:tabs>
        <w:numPr>
          <w:ilvl w:val="0"/>
          <w:numId w:val="78"/>
        </w:numPr>
        <w:rPr>
          <w:rFonts w:ascii="Arial" w:cs="Arial" w:eastAsia="Arial" w:hAnsi="Arial"/>
          <w:sz w:val="19"/>
          <w:szCs w:val="19"/>
          <w:color w:val="auto"/>
        </w:rPr>
      </w:pPr>
      <w:r>
        <w:rPr>
          <w:rFonts w:ascii="Arial" w:cs="Arial" w:eastAsia="Arial" w:hAnsi="Arial"/>
          <w:sz w:val="19"/>
          <w:szCs w:val="19"/>
          <w:color w:val="auto"/>
        </w:rPr>
        <w:t>develop our manufacturing capabilities, including through relationships with contract manufacturers for commercial manufacturing of our product candidate CAN-2409 and the development, construction and qualification of our clinical manufacturing capabilities, internally or through CDMOs for our product candidate CAN-3110;</w:t>
      </w:r>
    </w:p>
    <w:p>
      <w:pPr>
        <w:spacing w:after="0" w:line="125" w:lineRule="exact"/>
        <w:rPr>
          <w:rFonts w:ascii="Arial" w:cs="Arial" w:eastAsia="Arial" w:hAnsi="Arial"/>
          <w:sz w:val="19"/>
          <w:szCs w:val="19"/>
          <w:color w:val="auto"/>
        </w:rPr>
      </w:pPr>
    </w:p>
    <w:p>
      <w:pPr>
        <w:ind w:left="740" w:right="100" w:hanging="360"/>
        <w:spacing w:after="0" w:line="281" w:lineRule="auto"/>
        <w:tabs>
          <w:tab w:leader="none" w:pos="740" w:val="left"/>
        </w:tabs>
        <w:numPr>
          <w:ilvl w:val="0"/>
          <w:numId w:val="78"/>
        </w:numPr>
        <w:rPr>
          <w:rFonts w:ascii="Arial" w:cs="Arial" w:eastAsia="Arial" w:hAnsi="Arial"/>
          <w:sz w:val="19"/>
          <w:szCs w:val="19"/>
          <w:color w:val="auto"/>
        </w:rPr>
      </w:pPr>
      <w:r>
        <w:rPr>
          <w:rFonts w:ascii="Arial" w:cs="Arial" w:eastAsia="Arial" w:hAnsi="Arial"/>
          <w:sz w:val="19"/>
          <w:szCs w:val="19"/>
          <w:color w:val="auto"/>
        </w:rPr>
        <w:t>pursue the preclinical and clinical development of other product candidates using our enLIGHTEN™ Discovery Platform, an HSV-based platform; and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110</w:t>
      </w:r>
    </w:p>
    <w:p>
      <w:pPr>
        <w:sectPr>
          <w:pgSz w:w="12240" w:h="15840" w:orient="portrait"/>
          <w:cols w:equalWidth="0" w:num="1">
            <w:col w:w="10120"/>
          </w:cols>
          <w:pgMar w:left="1060" w:top="1061" w:right="1060" w:bottom="173" w:gutter="0" w:footer="0" w:header="0"/>
        </w:sectPr>
      </w:pPr>
    </w:p>
    <w:bookmarkStart w:id="114" w:name="page115"/>
    <w:bookmarkEnd w:id="114"/>
    <w:p>
      <w:pPr>
        <w:ind w:left="720" w:right="280" w:hanging="360"/>
        <w:spacing w:after="0" w:line="281" w:lineRule="auto"/>
        <w:tabs>
          <w:tab w:leader="none" w:pos="720" w:val="left"/>
        </w:tabs>
        <w:numPr>
          <w:ilvl w:val="0"/>
          <w:numId w:val="79"/>
        </w:numPr>
        <w:rPr>
          <w:rFonts w:ascii="Arial" w:cs="Arial" w:eastAsia="Arial" w:hAnsi="Arial"/>
          <w:sz w:val="19"/>
          <w:szCs w:val="19"/>
          <w:color w:val="auto"/>
        </w:rPr>
      </w:pPr>
      <w:r>
        <w:rPr>
          <w:rFonts w:ascii="Arial" w:cs="Arial" w:eastAsia="Arial" w:hAnsi="Arial"/>
          <w:sz w:val="19"/>
          <w:szCs w:val="19"/>
          <w:color w:val="auto"/>
        </w:rPr>
        <w:t>expand our operational, financial, and management systems and increase personnel, including personnel to support our operations as a public company.</w:t>
      </w:r>
    </w:p>
    <w:p>
      <w:pPr>
        <w:spacing w:after="0" w:line="85" w:lineRule="exact"/>
        <w:rPr>
          <w:sz w:val="20"/>
          <w:szCs w:val="20"/>
          <w:color w:val="auto"/>
        </w:rPr>
      </w:pPr>
    </w:p>
    <w:p>
      <w:pPr>
        <w:ind w:right="240"/>
        <w:spacing w:after="0" w:line="253" w:lineRule="auto"/>
        <w:rPr>
          <w:sz w:val="20"/>
          <w:szCs w:val="20"/>
          <w:color w:val="auto"/>
        </w:rPr>
      </w:pPr>
      <w:r>
        <w:rPr>
          <w:rFonts w:ascii="Arial" w:cs="Arial" w:eastAsia="Arial" w:hAnsi="Arial"/>
          <w:sz w:val="19"/>
          <w:szCs w:val="19"/>
          <w:color w:val="auto"/>
        </w:rPr>
        <w:t>We believe that our existing cash and cash equivalents as of December 31, 2023 will enable us to fund our operating expenses and capital expense requirements into the fourth quarter of 2024. We have based this estimate on assumptions that may prove to be incorrect, and we could utilize our available capital resources sooner than we currently expect.</w:t>
      </w:r>
    </w:p>
    <w:p>
      <w:pPr>
        <w:spacing w:after="0" w:line="113" w:lineRule="exact"/>
        <w:rPr>
          <w:sz w:val="20"/>
          <w:szCs w:val="20"/>
          <w:color w:val="auto"/>
        </w:rPr>
      </w:pPr>
    </w:p>
    <w:p>
      <w:pPr>
        <w:ind w:right="100"/>
        <w:spacing w:after="0" w:line="260" w:lineRule="auto"/>
        <w:rPr>
          <w:sz w:val="20"/>
          <w:szCs w:val="20"/>
          <w:color w:val="auto"/>
        </w:rPr>
      </w:pPr>
      <w:r>
        <w:rPr>
          <w:rFonts w:ascii="Arial" w:cs="Arial" w:eastAsia="Arial" w:hAnsi="Arial"/>
          <w:sz w:val="19"/>
          <w:szCs w:val="19"/>
          <w:color w:val="auto"/>
        </w:rPr>
        <w:t>Because of the numerous risks and uncertainties associated with the research, development, and commercialization of therapeutics, it is difficult to estimate with certainty the amount of our working capital requirements. Our future funding requirements will depend on many factors, including:</w:t>
      </w:r>
    </w:p>
    <w:p>
      <w:pPr>
        <w:spacing w:after="0" w:line="118" w:lineRule="exact"/>
        <w:rPr>
          <w:sz w:val="20"/>
          <w:szCs w:val="20"/>
          <w:color w:val="auto"/>
        </w:rPr>
      </w:pPr>
    </w:p>
    <w:p>
      <w:pPr>
        <w:ind w:left="720" w:hanging="360"/>
        <w:spacing w:after="0"/>
        <w:tabs>
          <w:tab w:leader="none" w:pos="720" w:val="left"/>
        </w:tabs>
        <w:numPr>
          <w:ilvl w:val="0"/>
          <w:numId w:val="80"/>
        </w:numPr>
        <w:rPr>
          <w:rFonts w:ascii="Arial" w:cs="Arial" w:eastAsia="Arial" w:hAnsi="Arial"/>
          <w:sz w:val="19"/>
          <w:szCs w:val="19"/>
          <w:color w:val="auto"/>
        </w:rPr>
      </w:pPr>
      <w:r>
        <w:rPr>
          <w:rFonts w:ascii="Arial" w:cs="Arial" w:eastAsia="Arial" w:hAnsi="Arial"/>
          <w:sz w:val="19"/>
          <w:szCs w:val="19"/>
          <w:color w:val="auto"/>
        </w:rPr>
        <w:t>the progress, costs, and results of our clinical development and clinical trials for CAN-2409 and CAN-3110;</w:t>
      </w:r>
    </w:p>
    <w:p>
      <w:pPr>
        <w:spacing w:after="0" w:line="172" w:lineRule="exact"/>
        <w:rPr>
          <w:rFonts w:ascii="Arial" w:cs="Arial" w:eastAsia="Arial" w:hAnsi="Arial"/>
          <w:sz w:val="19"/>
          <w:szCs w:val="19"/>
          <w:color w:val="auto"/>
        </w:rPr>
      </w:pPr>
    </w:p>
    <w:p>
      <w:pPr>
        <w:ind w:left="720" w:hanging="360"/>
        <w:spacing w:after="0"/>
        <w:tabs>
          <w:tab w:leader="none" w:pos="720" w:val="left"/>
        </w:tabs>
        <w:numPr>
          <w:ilvl w:val="0"/>
          <w:numId w:val="80"/>
        </w:numPr>
        <w:rPr>
          <w:rFonts w:ascii="Arial" w:cs="Arial" w:eastAsia="Arial" w:hAnsi="Arial"/>
          <w:sz w:val="19"/>
          <w:szCs w:val="19"/>
          <w:color w:val="auto"/>
        </w:rPr>
      </w:pPr>
      <w:r>
        <w:rPr>
          <w:rFonts w:ascii="Arial" w:cs="Arial" w:eastAsia="Arial" w:hAnsi="Arial"/>
          <w:sz w:val="19"/>
          <w:szCs w:val="19"/>
          <w:color w:val="auto"/>
        </w:rPr>
        <w:t>the progress, costs, and results of our additional research and preclinical development programs;</w:t>
      </w:r>
    </w:p>
    <w:p>
      <w:pPr>
        <w:spacing w:after="0" w:line="172" w:lineRule="exact"/>
        <w:rPr>
          <w:rFonts w:ascii="Arial" w:cs="Arial" w:eastAsia="Arial" w:hAnsi="Arial"/>
          <w:sz w:val="19"/>
          <w:szCs w:val="19"/>
          <w:color w:val="auto"/>
        </w:rPr>
      </w:pPr>
    </w:p>
    <w:p>
      <w:pPr>
        <w:ind w:left="720" w:hanging="360"/>
        <w:spacing w:after="0"/>
        <w:tabs>
          <w:tab w:leader="none" w:pos="720" w:val="left"/>
        </w:tabs>
        <w:numPr>
          <w:ilvl w:val="0"/>
          <w:numId w:val="80"/>
        </w:numPr>
        <w:rPr>
          <w:rFonts w:ascii="Arial" w:cs="Arial" w:eastAsia="Arial" w:hAnsi="Arial"/>
          <w:sz w:val="19"/>
          <w:szCs w:val="19"/>
          <w:color w:val="auto"/>
        </w:rPr>
      </w:pPr>
      <w:r>
        <w:rPr>
          <w:rFonts w:ascii="Arial" w:cs="Arial" w:eastAsia="Arial" w:hAnsi="Arial"/>
          <w:sz w:val="19"/>
          <w:szCs w:val="19"/>
          <w:color w:val="auto"/>
        </w:rPr>
        <w:t>the costs, timing and outcome of regulatory review of our product candidates;</w:t>
      </w:r>
    </w:p>
    <w:p>
      <w:pPr>
        <w:spacing w:after="0" w:line="172" w:lineRule="exact"/>
        <w:rPr>
          <w:rFonts w:ascii="Arial" w:cs="Arial" w:eastAsia="Arial" w:hAnsi="Arial"/>
          <w:sz w:val="19"/>
          <w:szCs w:val="19"/>
          <w:color w:val="auto"/>
        </w:rPr>
      </w:pPr>
    </w:p>
    <w:p>
      <w:pPr>
        <w:ind w:left="720" w:hanging="360"/>
        <w:spacing w:after="0"/>
        <w:tabs>
          <w:tab w:leader="none" w:pos="720" w:val="left"/>
        </w:tabs>
        <w:numPr>
          <w:ilvl w:val="0"/>
          <w:numId w:val="80"/>
        </w:numPr>
        <w:rPr>
          <w:rFonts w:ascii="Arial" w:cs="Arial" w:eastAsia="Arial" w:hAnsi="Arial"/>
          <w:sz w:val="19"/>
          <w:szCs w:val="19"/>
          <w:color w:val="auto"/>
        </w:rPr>
      </w:pPr>
      <w:r>
        <w:rPr>
          <w:rFonts w:ascii="Arial" w:cs="Arial" w:eastAsia="Arial" w:hAnsi="Arial"/>
          <w:sz w:val="19"/>
          <w:szCs w:val="19"/>
          <w:color w:val="auto"/>
        </w:rPr>
        <w:t>our ability to establish and maintain collaborations on favorable terms, if at all;</w:t>
      </w:r>
    </w:p>
    <w:p>
      <w:pPr>
        <w:spacing w:after="0" w:line="172" w:lineRule="exact"/>
        <w:rPr>
          <w:rFonts w:ascii="Arial" w:cs="Arial" w:eastAsia="Arial" w:hAnsi="Arial"/>
          <w:sz w:val="19"/>
          <w:szCs w:val="19"/>
          <w:color w:val="auto"/>
        </w:rPr>
      </w:pPr>
    </w:p>
    <w:p>
      <w:pPr>
        <w:ind w:left="720" w:right="480" w:hanging="360"/>
        <w:spacing w:after="0" w:line="281" w:lineRule="auto"/>
        <w:tabs>
          <w:tab w:leader="none" w:pos="720" w:val="left"/>
        </w:tabs>
        <w:numPr>
          <w:ilvl w:val="0"/>
          <w:numId w:val="80"/>
        </w:numPr>
        <w:rPr>
          <w:rFonts w:ascii="Arial" w:cs="Arial" w:eastAsia="Arial" w:hAnsi="Arial"/>
          <w:sz w:val="19"/>
          <w:szCs w:val="19"/>
          <w:color w:val="auto"/>
        </w:rPr>
      </w:pPr>
      <w:r>
        <w:rPr>
          <w:rFonts w:ascii="Arial" w:cs="Arial" w:eastAsia="Arial" w:hAnsi="Arial"/>
          <w:sz w:val="19"/>
          <w:szCs w:val="19"/>
          <w:color w:val="auto"/>
        </w:rPr>
        <w:t>the outcome, timing and cost of meeting regulatory requirements established by the FDA and comparable foreign regulatory authorities, if applicable, for our product candidates;</w:t>
      </w:r>
    </w:p>
    <w:p>
      <w:pPr>
        <w:spacing w:after="0" w:line="98" w:lineRule="exact"/>
        <w:rPr>
          <w:rFonts w:ascii="Arial" w:cs="Arial" w:eastAsia="Arial" w:hAnsi="Arial"/>
          <w:sz w:val="19"/>
          <w:szCs w:val="19"/>
          <w:color w:val="auto"/>
        </w:rPr>
      </w:pPr>
    </w:p>
    <w:p>
      <w:pPr>
        <w:ind w:left="720" w:hanging="360"/>
        <w:spacing w:after="0"/>
        <w:tabs>
          <w:tab w:leader="none" w:pos="720" w:val="left"/>
        </w:tabs>
        <w:numPr>
          <w:ilvl w:val="0"/>
          <w:numId w:val="80"/>
        </w:numPr>
        <w:rPr>
          <w:rFonts w:ascii="Arial" w:cs="Arial" w:eastAsia="Arial" w:hAnsi="Arial"/>
          <w:sz w:val="19"/>
          <w:szCs w:val="19"/>
          <w:color w:val="auto"/>
        </w:rPr>
      </w:pPr>
      <w:r>
        <w:rPr>
          <w:rFonts w:ascii="Arial" w:cs="Arial" w:eastAsia="Arial" w:hAnsi="Arial"/>
          <w:sz w:val="19"/>
          <w:szCs w:val="19"/>
          <w:color w:val="auto"/>
        </w:rPr>
        <w:t>the costs and timing of internal and external process development for our manufacturing capabilities;</w:t>
      </w:r>
    </w:p>
    <w:p>
      <w:pPr>
        <w:spacing w:after="0" w:line="172" w:lineRule="exact"/>
        <w:rPr>
          <w:rFonts w:ascii="Arial" w:cs="Arial" w:eastAsia="Arial" w:hAnsi="Arial"/>
          <w:sz w:val="19"/>
          <w:szCs w:val="19"/>
          <w:color w:val="auto"/>
        </w:rPr>
      </w:pPr>
    </w:p>
    <w:p>
      <w:pPr>
        <w:ind w:left="720" w:right="420" w:hanging="360"/>
        <w:spacing w:after="0" w:line="281" w:lineRule="auto"/>
        <w:tabs>
          <w:tab w:leader="none" w:pos="720" w:val="left"/>
        </w:tabs>
        <w:numPr>
          <w:ilvl w:val="0"/>
          <w:numId w:val="80"/>
        </w:numPr>
        <w:rPr>
          <w:rFonts w:ascii="Arial" w:cs="Arial" w:eastAsia="Arial" w:hAnsi="Arial"/>
          <w:sz w:val="19"/>
          <w:szCs w:val="19"/>
          <w:color w:val="auto"/>
        </w:rPr>
      </w:pPr>
      <w:r>
        <w:rPr>
          <w:rFonts w:ascii="Arial" w:cs="Arial" w:eastAsia="Arial" w:hAnsi="Arial"/>
          <w:sz w:val="19"/>
          <w:szCs w:val="19"/>
          <w:color w:val="auto"/>
        </w:rPr>
        <w:t>the scope, progress, results, and costs of any product candidates that we may derive from our HSV-based platform or with collaborators;</w:t>
      </w:r>
    </w:p>
    <w:p>
      <w:pPr>
        <w:spacing w:after="0" w:line="98" w:lineRule="exact"/>
        <w:rPr>
          <w:rFonts w:ascii="Arial" w:cs="Arial" w:eastAsia="Arial" w:hAnsi="Arial"/>
          <w:sz w:val="19"/>
          <w:szCs w:val="19"/>
          <w:color w:val="auto"/>
        </w:rPr>
      </w:pPr>
    </w:p>
    <w:p>
      <w:pPr>
        <w:ind w:left="720" w:right="480" w:hanging="360"/>
        <w:spacing w:after="0" w:line="260" w:lineRule="auto"/>
        <w:tabs>
          <w:tab w:leader="none" w:pos="720" w:val="left"/>
        </w:tabs>
        <w:numPr>
          <w:ilvl w:val="0"/>
          <w:numId w:val="80"/>
        </w:numPr>
        <w:rPr>
          <w:rFonts w:ascii="Arial" w:cs="Arial" w:eastAsia="Arial" w:hAnsi="Arial"/>
          <w:sz w:val="19"/>
          <w:szCs w:val="19"/>
          <w:color w:val="auto"/>
        </w:rPr>
      </w:pPr>
      <w:r>
        <w:rPr>
          <w:rFonts w:ascii="Arial" w:cs="Arial" w:eastAsia="Arial" w:hAnsi="Arial"/>
          <w:sz w:val="19"/>
          <w:szCs w:val="19"/>
          <w:color w:val="auto"/>
        </w:rPr>
        <w:t>the costs of preparing, filing and prosecuting patent applications, obtaining, maintaining and enforcing our intellectual property rights and defending intellectual property-related claims; hire additional personnel in research, manufacturing, and regulatory and clinical development, as well as management personnel;</w:t>
      </w:r>
    </w:p>
    <w:p>
      <w:pPr>
        <w:spacing w:after="0" w:line="118" w:lineRule="exact"/>
        <w:rPr>
          <w:rFonts w:ascii="Arial" w:cs="Arial" w:eastAsia="Arial" w:hAnsi="Arial"/>
          <w:sz w:val="19"/>
          <w:szCs w:val="19"/>
          <w:color w:val="auto"/>
        </w:rPr>
      </w:pPr>
    </w:p>
    <w:p>
      <w:pPr>
        <w:ind w:left="720" w:hanging="360"/>
        <w:spacing w:after="0"/>
        <w:tabs>
          <w:tab w:leader="none" w:pos="720" w:val="left"/>
        </w:tabs>
        <w:numPr>
          <w:ilvl w:val="0"/>
          <w:numId w:val="80"/>
        </w:numPr>
        <w:rPr>
          <w:rFonts w:ascii="Arial" w:cs="Arial" w:eastAsia="Arial" w:hAnsi="Arial"/>
          <w:sz w:val="19"/>
          <w:szCs w:val="19"/>
          <w:color w:val="auto"/>
        </w:rPr>
      </w:pPr>
      <w:r>
        <w:rPr>
          <w:rFonts w:ascii="Arial" w:cs="Arial" w:eastAsia="Arial" w:hAnsi="Arial"/>
          <w:sz w:val="19"/>
          <w:szCs w:val="19"/>
          <w:color w:val="auto"/>
        </w:rPr>
        <w:t>the extent to which we in-license or acquire rights to other products, product candidates, or technologies;</w:t>
      </w:r>
    </w:p>
    <w:p>
      <w:pPr>
        <w:spacing w:after="0" w:line="172" w:lineRule="exact"/>
        <w:rPr>
          <w:rFonts w:ascii="Arial" w:cs="Arial" w:eastAsia="Arial" w:hAnsi="Arial"/>
          <w:sz w:val="19"/>
          <w:szCs w:val="19"/>
          <w:color w:val="auto"/>
        </w:rPr>
      </w:pPr>
    </w:p>
    <w:p>
      <w:pPr>
        <w:ind w:left="720" w:hanging="360"/>
        <w:spacing w:after="0"/>
        <w:tabs>
          <w:tab w:leader="none" w:pos="720" w:val="left"/>
        </w:tabs>
        <w:numPr>
          <w:ilvl w:val="0"/>
          <w:numId w:val="80"/>
        </w:numPr>
        <w:rPr>
          <w:rFonts w:ascii="Arial" w:cs="Arial" w:eastAsia="Arial" w:hAnsi="Arial"/>
          <w:sz w:val="19"/>
          <w:szCs w:val="19"/>
          <w:color w:val="auto"/>
        </w:rPr>
      </w:pPr>
      <w:r>
        <w:rPr>
          <w:rFonts w:ascii="Arial" w:cs="Arial" w:eastAsia="Arial" w:hAnsi="Arial"/>
          <w:sz w:val="19"/>
          <w:szCs w:val="19"/>
          <w:color w:val="auto"/>
        </w:rPr>
        <w:t>additions or departures of key scientific or management personnel;</w:t>
      </w:r>
    </w:p>
    <w:p>
      <w:pPr>
        <w:spacing w:after="0" w:line="172" w:lineRule="exact"/>
        <w:rPr>
          <w:rFonts w:ascii="Arial" w:cs="Arial" w:eastAsia="Arial" w:hAnsi="Arial"/>
          <w:sz w:val="19"/>
          <w:szCs w:val="19"/>
          <w:color w:val="auto"/>
        </w:rPr>
      </w:pPr>
    </w:p>
    <w:p>
      <w:pPr>
        <w:ind w:left="720" w:right="200" w:hanging="360"/>
        <w:spacing w:after="0" w:line="281" w:lineRule="auto"/>
        <w:tabs>
          <w:tab w:leader="none" w:pos="720" w:val="left"/>
        </w:tabs>
        <w:numPr>
          <w:ilvl w:val="0"/>
          <w:numId w:val="80"/>
        </w:numPr>
        <w:rPr>
          <w:rFonts w:ascii="Arial" w:cs="Arial" w:eastAsia="Arial" w:hAnsi="Arial"/>
          <w:sz w:val="19"/>
          <w:szCs w:val="19"/>
          <w:color w:val="auto"/>
        </w:rPr>
      </w:pPr>
      <w:r>
        <w:rPr>
          <w:rFonts w:ascii="Arial" w:cs="Arial" w:eastAsia="Arial" w:hAnsi="Arial"/>
          <w:sz w:val="19"/>
          <w:szCs w:val="19"/>
          <w:color w:val="auto"/>
        </w:rPr>
        <w:t>the costs and timing of future commercialization activities, including product manufacturing, marketing, sales, and distribution for any of our product candidates for which we obtain marketing approval;</w:t>
      </w:r>
    </w:p>
    <w:p>
      <w:pPr>
        <w:spacing w:after="0" w:line="98" w:lineRule="exact"/>
        <w:rPr>
          <w:rFonts w:ascii="Arial" w:cs="Arial" w:eastAsia="Arial" w:hAnsi="Arial"/>
          <w:sz w:val="19"/>
          <w:szCs w:val="19"/>
          <w:color w:val="auto"/>
        </w:rPr>
      </w:pPr>
    </w:p>
    <w:p>
      <w:pPr>
        <w:ind w:left="720" w:right="340" w:hanging="360"/>
        <w:spacing w:after="0" w:line="281" w:lineRule="auto"/>
        <w:tabs>
          <w:tab w:leader="none" w:pos="720" w:val="left"/>
        </w:tabs>
        <w:numPr>
          <w:ilvl w:val="0"/>
          <w:numId w:val="80"/>
        </w:numPr>
        <w:rPr>
          <w:rFonts w:ascii="Arial" w:cs="Arial" w:eastAsia="Arial" w:hAnsi="Arial"/>
          <w:sz w:val="19"/>
          <w:szCs w:val="19"/>
          <w:color w:val="auto"/>
        </w:rPr>
      </w:pPr>
      <w:r>
        <w:rPr>
          <w:rFonts w:ascii="Arial" w:cs="Arial" w:eastAsia="Arial" w:hAnsi="Arial"/>
          <w:sz w:val="19"/>
          <w:szCs w:val="19"/>
          <w:color w:val="auto"/>
        </w:rPr>
        <w:t>the amount of revenue, if any, received from commercial sales of our product candidates, should any of our product candidates receive marketing approval; and</w:t>
      </w:r>
    </w:p>
    <w:p>
      <w:pPr>
        <w:spacing w:after="0" w:line="98" w:lineRule="exact"/>
        <w:rPr>
          <w:rFonts w:ascii="Arial" w:cs="Arial" w:eastAsia="Arial" w:hAnsi="Arial"/>
          <w:sz w:val="19"/>
          <w:szCs w:val="19"/>
          <w:color w:val="auto"/>
        </w:rPr>
      </w:pPr>
    </w:p>
    <w:p>
      <w:pPr>
        <w:ind w:left="720" w:hanging="360"/>
        <w:spacing w:after="0"/>
        <w:tabs>
          <w:tab w:leader="none" w:pos="720" w:val="left"/>
        </w:tabs>
        <w:numPr>
          <w:ilvl w:val="0"/>
          <w:numId w:val="80"/>
        </w:numPr>
        <w:rPr>
          <w:rFonts w:ascii="Arial" w:cs="Arial" w:eastAsia="Arial" w:hAnsi="Arial"/>
          <w:sz w:val="19"/>
          <w:szCs w:val="19"/>
          <w:color w:val="auto"/>
        </w:rPr>
      </w:pPr>
      <w:r>
        <w:rPr>
          <w:rFonts w:ascii="Arial" w:cs="Arial" w:eastAsia="Arial" w:hAnsi="Arial"/>
          <w:sz w:val="19"/>
          <w:szCs w:val="19"/>
          <w:color w:val="auto"/>
        </w:rPr>
        <w:t>the costs of operating as a public company.</w:t>
      </w:r>
    </w:p>
    <w:p>
      <w:pPr>
        <w:spacing w:after="0" w:line="160" w:lineRule="exact"/>
        <w:rPr>
          <w:sz w:val="20"/>
          <w:szCs w:val="20"/>
          <w:color w:val="auto"/>
        </w:rPr>
      </w:pPr>
    </w:p>
    <w:p>
      <w:pPr>
        <w:spacing w:after="0" w:line="242" w:lineRule="auto"/>
        <w:rPr>
          <w:sz w:val="20"/>
          <w:szCs w:val="20"/>
          <w:color w:val="auto"/>
        </w:rPr>
      </w:pPr>
      <w:r>
        <w:rPr>
          <w:rFonts w:ascii="Arial" w:cs="Arial" w:eastAsia="Arial" w:hAnsi="Arial"/>
          <w:sz w:val="19"/>
          <w:szCs w:val="19"/>
          <w:color w:val="auto"/>
        </w:rPr>
        <w:t>Until such time as we can generate significant revenue from product sales, if ever, we expect to finance our cash needs through a combination of public or private equity or debt financings and other sources, which may include collaborations strategic alliances and licensing arrangements with third parties. We do not have any committed external source of funds. To the extent that we raise additional capital through the sale of equity or convertible debt securities, your ownership interest may be diluted, and the terms of these securities may include liquidation or other preferences that could adversely affect your rights as a common stockholder. Debt financing and equity financing, if available, may involve agreements that include restrictive covenants limiting or restricting our ability to take specific actions, such as incurring additional debt, making capital expenditures or declaring dividends, that could adversely impact our ability to conduct our business, in addition to those restrictive covenants contained in the Loan Agreement. If we raise additional funds through other sources, such as collaboration agreements, strategic alliances, licensing arrangements or marketing and distribution arrangements, we may have to relinquish valuable rights to our technologies, future revenue streams, product development, and research programs or product candidates, or grant licenses on terms that may not be favorable to us. If we are unable to raise additional funds when needed, we may be required to delay, limit, reduce, or terminate our product development or future commercialization efforts or grant rights to develop and market products or product candidates that we would otherwise prefer to develop and market ourselves.</w:t>
      </w:r>
    </w:p>
    <w:p>
      <w:pPr>
        <w:spacing w:after="0" w:line="1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Contractual Obligations and Commitments</w:t>
      </w:r>
    </w:p>
    <w:p>
      <w:pPr>
        <w:spacing w:after="0" w:line="164" w:lineRule="exact"/>
        <w:rPr>
          <w:sz w:val="20"/>
          <w:szCs w:val="20"/>
          <w:color w:val="auto"/>
        </w:rPr>
      </w:pPr>
    </w:p>
    <w:p>
      <w:pPr>
        <w:ind w:right="60"/>
        <w:spacing w:after="0" w:line="281" w:lineRule="auto"/>
        <w:rPr>
          <w:sz w:val="20"/>
          <w:szCs w:val="20"/>
          <w:color w:val="auto"/>
        </w:rPr>
      </w:pPr>
      <w:r>
        <w:rPr>
          <w:rFonts w:ascii="Arial" w:cs="Arial" w:eastAsia="Arial" w:hAnsi="Arial"/>
          <w:sz w:val="19"/>
          <w:szCs w:val="19"/>
          <w:color w:val="auto"/>
        </w:rPr>
        <w:t>Our primary contractual obligations are our facility lease, the Loan Agreement with SVB, and the Periphagen Note. The table below summarizes the contractual obligations that will become due as of December 31, 2023 (in thousands):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111</w:t>
      </w:r>
    </w:p>
    <w:p>
      <w:pPr>
        <w:sectPr>
          <w:pgSz w:w="12240" w:h="15840" w:orient="portrait"/>
          <w:cols w:equalWidth="0" w:num="1">
            <w:col w:w="10060"/>
          </w:cols>
          <w:pgMar w:left="1080" w:top="1075" w:right="1100" w:bottom="173"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03"/>
        </w:trPr>
        <w:tc>
          <w:tcPr>
            <w:tcW w:w="5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6"/>
          </w:tcPr>
          <w:p>
            <w:pPr>
              <w:ind w:left="40"/>
              <w:spacing w:after="0"/>
              <w:rPr>
                <w:sz w:val="20"/>
                <w:szCs w:val="20"/>
                <w:color w:val="auto"/>
              </w:rPr>
            </w:pPr>
            <w:r>
              <w:rPr>
                <w:rFonts w:ascii="Arial" w:cs="Arial" w:eastAsia="Arial" w:hAnsi="Arial"/>
                <w:sz w:val="16"/>
                <w:szCs w:val="16"/>
                <w:b w:val="1"/>
                <w:bCs w:val="1"/>
                <w:color w:val="auto"/>
              </w:rPr>
              <w:t>PAYMENTS DUE BY PERIOD</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60" w:type="dxa"/>
            <w:vAlign w:val="bottom"/>
            <w:gridSpan w:val="5"/>
          </w:tcPr>
          <w:p>
            <w:pPr>
              <w:ind w:left="420"/>
              <w:spacing w:after="0" w:line="155" w:lineRule="exact"/>
              <w:rPr>
                <w:sz w:val="20"/>
                <w:szCs w:val="20"/>
                <w:color w:val="auto"/>
              </w:rPr>
            </w:pPr>
            <w:r>
              <w:rPr>
                <w:rFonts w:ascii="Arial" w:cs="Arial" w:eastAsia="Arial" w:hAnsi="Arial"/>
                <w:sz w:val="16"/>
                <w:szCs w:val="16"/>
                <w:b w:val="1"/>
                <w:bCs w:val="1"/>
                <w:color w:val="auto"/>
              </w:rPr>
              <w:t>(in thousands)</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3"/>
          </w:tcPr>
          <w:p>
            <w:pPr>
              <w:ind w:left="60"/>
              <w:spacing w:after="0"/>
              <w:rPr>
                <w:sz w:val="20"/>
                <w:szCs w:val="20"/>
                <w:color w:val="auto"/>
              </w:rPr>
            </w:pPr>
            <w:r>
              <w:rPr>
                <w:rFonts w:ascii="Arial" w:cs="Arial" w:eastAsia="Arial" w:hAnsi="Arial"/>
                <w:sz w:val="16"/>
                <w:szCs w:val="16"/>
                <w:b w:val="1"/>
                <w:bCs w:val="1"/>
                <w:color w:val="auto"/>
              </w:rPr>
              <w:t>LESS THAN</w:t>
            </w:r>
          </w:p>
        </w:tc>
        <w:tc>
          <w:tcPr>
            <w:tcW w:w="160" w:type="dxa"/>
            <w:vAlign w:val="bottom"/>
          </w:tcPr>
          <w:p>
            <w:pPr>
              <w:spacing w:after="0"/>
              <w:rPr>
                <w:sz w:val="15"/>
                <w:szCs w:val="15"/>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1 TO 3</w:t>
            </w:r>
          </w:p>
        </w:tc>
        <w:tc>
          <w:tcPr>
            <w:tcW w:w="160" w:type="dxa"/>
            <w:vAlign w:val="bottom"/>
          </w:tcPr>
          <w:p>
            <w:pPr>
              <w:spacing w:after="0"/>
              <w:rPr>
                <w:sz w:val="15"/>
                <w:szCs w:val="15"/>
                <w:color w:val="auto"/>
              </w:rPr>
            </w:pPr>
          </w:p>
        </w:tc>
        <w:tc>
          <w:tcPr>
            <w:tcW w:w="860" w:type="dxa"/>
            <w:vAlign w:val="bottom"/>
          </w:tcPr>
          <w:p>
            <w:pPr>
              <w:jc w:val="right"/>
              <w:ind w:right="170"/>
              <w:spacing w:after="0"/>
              <w:rPr>
                <w:sz w:val="20"/>
                <w:szCs w:val="20"/>
                <w:color w:val="auto"/>
              </w:rPr>
            </w:pPr>
            <w:r>
              <w:rPr>
                <w:rFonts w:ascii="Arial" w:cs="Arial" w:eastAsia="Arial" w:hAnsi="Arial"/>
                <w:sz w:val="16"/>
                <w:szCs w:val="16"/>
                <w:b w:val="1"/>
                <w:bCs w:val="1"/>
                <w:color w:val="auto"/>
              </w:rPr>
              <w:t>3 TO 5</w:t>
            </w:r>
          </w:p>
        </w:tc>
        <w:tc>
          <w:tcPr>
            <w:tcW w:w="0" w:type="dxa"/>
            <w:vAlign w:val="bottom"/>
          </w:tcPr>
          <w:p>
            <w:pPr>
              <w:spacing w:after="0"/>
              <w:rPr>
                <w:sz w:val="1"/>
                <w:szCs w:val="1"/>
                <w:color w:val="auto"/>
              </w:rPr>
            </w:pPr>
          </w:p>
        </w:tc>
      </w:tr>
      <w:tr>
        <w:trPr>
          <w:trHeight w:val="203"/>
        </w:trPr>
        <w:tc>
          <w:tcPr>
            <w:tcW w:w="5180" w:type="dxa"/>
            <w:vAlign w:val="bottom"/>
            <w:vMerge w:val="restart"/>
          </w:tcPr>
          <w:p>
            <w:pPr>
              <w:spacing w:after="0"/>
              <w:rPr>
                <w:sz w:val="20"/>
                <w:szCs w:val="20"/>
                <w:color w:val="auto"/>
              </w:rPr>
            </w:pPr>
            <w:r>
              <w:rPr>
                <w:rFonts w:ascii="Arial" w:cs="Arial" w:eastAsia="Arial" w:hAnsi="Arial"/>
                <w:sz w:val="19"/>
                <w:szCs w:val="19"/>
                <w:color w:val="auto"/>
              </w:rPr>
              <w:t>Operating lease obligation (1)</w:t>
            </w:r>
          </w:p>
        </w:tc>
        <w:tc>
          <w:tcPr>
            <w:tcW w:w="160" w:type="dxa"/>
            <w:vAlign w:val="bottom"/>
          </w:tcPr>
          <w:p>
            <w:pPr>
              <w:spacing w:after="0"/>
              <w:rPr>
                <w:sz w:val="17"/>
                <w:szCs w:val="17"/>
                <w:color w:val="auto"/>
              </w:rPr>
            </w:pPr>
          </w:p>
        </w:tc>
        <w:tc>
          <w:tcPr>
            <w:tcW w:w="1100" w:type="dxa"/>
            <w:vAlign w:val="bottom"/>
            <w:gridSpan w:val="2"/>
          </w:tcPr>
          <w:p>
            <w:pPr>
              <w:ind w:left="8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7"/>
                <w:szCs w:val="17"/>
                <w:color w:val="auto"/>
              </w:rPr>
            </w:pPr>
          </w:p>
        </w:tc>
        <w:tc>
          <w:tcPr>
            <w:tcW w:w="1100" w:type="dxa"/>
            <w:vAlign w:val="bottom"/>
            <w:gridSpan w:val="2"/>
          </w:tcPr>
          <w:p>
            <w:pPr>
              <w:ind w:left="60"/>
              <w:spacing w:after="0"/>
              <w:rPr>
                <w:sz w:val="20"/>
                <w:szCs w:val="20"/>
                <w:color w:val="auto"/>
              </w:rPr>
            </w:pPr>
            <w:r>
              <w:rPr>
                <w:rFonts w:ascii="Arial" w:cs="Arial" w:eastAsia="Arial" w:hAnsi="Arial"/>
                <w:sz w:val="16"/>
                <w:szCs w:val="16"/>
                <w:b w:val="1"/>
                <w:bCs w:val="1"/>
                <w:color w:val="auto"/>
              </w:rPr>
              <w:t>1 YEAR</w:t>
            </w:r>
          </w:p>
        </w:tc>
        <w:tc>
          <w:tcPr>
            <w:tcW w:w="160" w:type="dxa"/>
            <w:vAlign w:val="bottom"/>
          </w:tcPr>
          <w:p>
            <w:pPr>
              <w:spacing w:after="0"/>
              <w:rPr>
                <w:sz w:val="17"/>
                <w:szCs w:val="17"/>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7"/>
              </w:rPr>
              <w:t>YEARS</w:t>
            </w:r>
          </w:p>
        </w:tc>
        <w:tc>
          <w:tcPr>
            <w:tcW w:w="160" w:type="dxa"/>
            <w:vAlign w:val="bottom"/>
          </w:tcPr>
          <w:p>
            <w:pPr>
              <w:spacing w:after="0"/>
              <w:rPr>
                <w:sz w:val="17"/>
                <w:szCs w:val="17"/>
                <w:color w:val="auto"/>
              </w:rPr>
            </w:pPr>
          </w:p>
        </w:tc>
        <w:tc>
          <w:tcPr>
            <w:tcW w:w="860" w:type="dxa"/>
            <w:vAlign w:val="bottom"/>
          </w:tcPr>
          <w:p>
            <w:pPr>
              <w:jc w:val="right"/>
              <w:ind w:right="150"/>
              <w:spacing w:after="0"/>
              <w:rPr>
                <w:sz w:val="20"/>
                <w:szCs w:val="20"/>
                <w:color w:val="auto"/>
              </w:rPr>
            </w:pPr>
            <w:r>
              <w:rPr>
                <w:rFonts w:ascii="Arial" w:cs="Arial" w:eastAsia="Arial" w:hAnsi="Arial"/>
                <w:sz w:val="16"/>
                <w:szCs w:val="16"/>
                <w:b w:val="1"/>
                <w:bCs w:val="1"/>
                <w:color w:val="auto"/>
              </w:rPr>
              <w:t>YEARS</w:t>
            </w:r>
          </w:p>
        </w:tc>
        <w:tc>
          <w:tcPr>
            <w:tcW w:w="0" w:type="dxa"/>
            <w:vAlign w:val="bottom"/>
          </w:tcPr>
          <w:p>
            <w:pPr>
              <w:spacing w:after="0"/>
              <w:rPr>
                <w:sz w:val="1"/>
                <w:szCs w:val="1"/>
                <w:color w:val="auto"/>
              </w:rPr>
            </w:pPr>
          </w:p>
        </w:tc>
      </w:tr>
      <w:tr>
        <w:trPr>
          <w:trHeight w:val="191"/>
        </w:trPr>
        <w:tc>
          <w:tcPr>
            <w:tcW w:w="5180" w:type="dxa"/>
            <w:vAlign w:val="bottom"/>
            <w:vMerge w:val="continue"/>
          </w:tcPr>
          <w:p>
            <w:pPr>
              <w:spacing w:after="0"/>
              <w:rPr>
                <w:sz w:val="16"/>
                <w:szCs w:val="16"/>
                <w:color w:val="auto"/>
              </w:rPr>
            </w:pPr>
          </w:p>
        </w:tc>
        <w:tc>
          <w:tcPr>
            <w:tcW w:w="16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9"/>
                <w:szCs w:val="19"/>
                <w:color w:val="auto"/>
                <w:w w:val="75"/>
              </w:rPr>
              <w:t>$</w:t>
            </w:r>
          </w:p>
        </w:tc>
        <w:tc>
          <w:tcPr>
            <w:tcW w:w="86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9"/>
                <w:szCs w:val="19"/>
                <w:color w:val="auto"/>
              </w:rPr>
              <w:t>1,626</w:t>
            </w:r>
          </w:p>
        </w:tc>
        <w:tc>
          <w:tcPr>
            <w:tcW w:w="240" w:type="dxa"/>
            <w:vAlign w:val="bottom"/>
          </w:tcPr>
          <w:p>
            <w:pPr>
              <w:spacing w:after="0"/>
              <w:rPr>
                <w:sz w:val="16"/>
                <w:szCs w:val="16"/>
                <w:color w:val="auto"/>
              </w:rPr>
            </w:pPr>
          </w:p>
        </w:tc>
        <w:tc>
          <w:tcPr>
            <w:tcW w:w="16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9"/>
                <w:szCs w:val="19"/>
                <w:color w:val="auto"/>
                <w:w w:val="75"/>
              </w:rPr>
              <w:t>$</w:t>
            </w:r>
          </w:p>
        </w:tc>
        <w:tc>
          <w:tcPr>
            <w:tcW w:w="86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9"/>
                <w:szCs w:val="19"/>
                <w:color w:val="auto"/>
              </w:rPr>
              <w:t>598</w:t>
            </w:r>
          </w:p>
        </w:tc>
        <w:tc>
          <w:tcPr>
            <w:tcW w:w="240" w:type="dxa"/>
            <w:vAlign w:val="bottom"/>
          </w:tcPr>
          <w:p>
            <w:pPr>
              <w:spacing w:after="0"/>
              <w:rPr>
                <w:sz w:val="16"/>
                <w:szCs w:val="16"/>
                <w:color w:val="auto"/>
              </w:rPr>
            </w:pPr>
          </w:p>
        </w:tc>
        <w:tc>
          <w:tcPr>
            <w:tcW w:w="16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9"/>
                <w:szCs w:val="19"/>
                <w:color w:val="auto"/>
                <w:w w:val="75"/>
              </w:rPr>
              <w:t>$</w:t>
            </w:r>
          </w:p>
        </w:tc>
        <w:tc>
          <w:tcPr>
            <w:tcW w:w="86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9"/>
                <w:szCs w:val="19"/>
                <w:color w:val="auto"/>
              </w:rPr>
              <w:t>1,028</w:t>
            </w:r>
          </w:p>
        </w:tc>
        <w:tc>
          <w:tcPr>
            <w:tcW w:w="240" w:type="dxa"/>
            <w:vAlign w:val="bottom"/>
          </w:tcPr>
          <w:p>
            <w:pPr>
              <w:spacing w:after="0"/>
              <w:rPr>
                <w:sz w:val="16"/>
                <w:szCs w:val="16"/>
                <w:color w:val="auto"/>
              </w:rPr>
            </w:pPr>
          </w:p>
        </w:tc>
        <w:tc>
          <w:tcPr>
            <w:tcW w:w="16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9"/>
                <w:szCs w:val="19"/>
                <w:color w:val="auto"/>
                <w:w w:val="75"/>
              </w:rPr>
              <w:t>$</w:t>
            </w:r>
          </w:p>
        </w:tc>
        <w:tc>
          <w:tcPr>
            <w:tcW w:w="86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8"/>
        </w:trPr>
        <w:tc>
          <w:tcPr>
            <w:tcW w:w="5180" w:type="dxa"/>
            <w:vAlign w:val="bottom"/>
          </w:tcPr>
          <w:p>
            <w:pPr>
              <w:spacing w:after="0"/>
              <w:rPr>
                <w:sz w:val="20"/>
                <w:szCs w:val="20"/>
                <w:color w:val="auto"/>
              </w:rPr>
            </w:pPr>
            <w:r>
              <w:rPr>
                <w:rFonts w:ascii="Arial" w:cs="Arial" w:eastAsia="Arial" w:hAnsi="Arial"/>
                <w:sz w:val="19"/>
                <w:szCs w:val="19"/>
                <w:color w:val="auto"/>
              </w:rPr>
              <w:t>Loan Agreement with SVB (2)</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22,514</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10,976</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11,538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36"/>
        </w:trPr>
        <w:tc>
          <w:tcPr>
            <w:tcW w:w="5180" w:type="dxa"/>
            <w:vAlign w:val="bottom"/>
          </w:tcPr>
          <w:p>
            <w:pPr>
              <w:spacing w:after="0"/>
              <w:rPr>
                <w:sz w:val="20"/>
                <w:szCs w:val="20"/>
                <w:color w:val="auto"/>
              </w:rPr>
            </w:pPr>
            <w:r>
              <w:rPr>
                <w:rFonts w:ascii="Arial" w:cs="Arial" w:eastAsia="Arial" w:hAnsi="Arial"/>
                <w:sz w:val="19"/>
                <w:szCs w:val="19"/>
                <w:color w:val="auto"/>
              </w:rPr>
              <w:t>Periphagen Note (3)</w:t>
            </w:r>
          </w:p>
        </w:tc>
        <w:tc>
          <w:tcPr>
            <w:tcW w:w="16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9"/>
                <w:szCs w:val="19"/>
                <w:color w:val="auto"/>
              </w:rPr>
              <w:t>1,352</w:t>
            </w:r>
          </w:p>
        </w:tc>
        <w:tc>
          <w:tcPr>
            <w:tcW w:w="16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1,352</w:t>
            </w:r>
          </w:p>
        </w:tc>
        <w:tc>
          <w:tcPr>
            <w:tcW w:w="0" w:type="dxa"/>
            <w:vAlign w:val="bottom"/>
          </w:tcPr>
          <w:p>
            <w:pPr>
              <w:spacing w:after="0"/>
              <w:rPr>
                <w:sz w:val="1"/>
                <w:szCs w:val="1"/>
                <w:color w:val="auto"/>
              </w:rPr>
            </w:pPr>
          </w:p>
        </w:tc>
      </w:tr>
      <w:tr>
        <w:trPr>
          <w:trHeight w:val="208"/>
        </w:trPr>
        <w:tc>
          <w:tcPr>
            <w:tcW w:w="5180" w:type="dxa"/>
            <w:vAlign w:val="bottom"/>
          </w:tcPr>
          <w:p>
            <w:pPr>
              <w:spacing w:after="0" w:line="209" w:lineRule="exact"/>
              <w:rPr>
                <w:sz w:val="20"/>
                <w:szCs w:val="20"/>
                <w:color w:val="auto"/>
              </w:rPr>
            </w:pPr>
            <w:r>
              <w:rPr>
                <w:rFonts w:ascii="Arial" w:cs="Arial" w:eastAsia="Arial" w:hAnsi="Arial"/>
                <w:sz w:val="19"/>
                <w:szCs w:val="19"/>
                <w:color w:val="auto"/>
              </w:rPr>
              <w:t>Total</w:t>
            </w:r>
          </w:p>
        </w:tc>
        <w:tc>
          <w:tcPr>
            <w:tcW w:w="16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19"/>
                <w:szCs w:val="19"/>
                <w:color w:val="auto"/>
                <w:w w:val="75"/>
              </w:rPr>
              <w:t>$</w:t>
            </w:r>
          </w:p>
        </w:tc>
        <w:tc>
          <w:tcPr>
            <w:tcW w:w="86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25,492</w:t>
            </w: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19"/>
                <w:szCs w:val="19"/>
                <w:color w:val="auto"/>
                <w:w w:val="75"/>
              </w:rPr>
              <w:t>$</w:t>
            </w:r>
          </w:p>
        </w:tc>
        <w:tc>
          <w:tcPr>
            <w:tcW w:w="86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11,574</w:t>
            </w: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19"/>
                <w:szCs w:val="19"/>
                <w:color w:val="auto"/>
                <w:w w:val="75"/>
              </w:rPr>
              <w:t>$</w:t>
            </w:r>
          </w:p>
        </w:tc>
        <w:tc>
          <w:tcPr>
            <w:tcW w:w="86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12,566</w:t>
            </w: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19"/>
                <w:szCs w:val="19"/>
                <w:color w:val="auto"/>
                <w:w w:val="75"/>
              </w:rPr>
              <w:t>$</w:t>
            </w:r>
          </w:p>
        </w:tc>
        <w:tc>
          <w:tcPr>
            <w:tcW w:w="86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1,352</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-608330</wp:posOffset>
            </wp:positionV>
            <wp:extent cx="6426200" cy="5930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6">
                      <a:extLst>
                        <a:ext uri="{28A0092B-C50C-407E-A947-70E740481C1C}"/>
                      </a:extLst>
                    </a:blip>
                    <a:srcRect/>
                    <a:stretch>
                      <a:fillRect/>
                    </a:stretch>
                  </pic:blipFill>
                  <pic:spPr bwMode="auto">
                    <a:xfrm>
                      <a:off x="0" y="0"/>
                      <a:ext cx="6426200" cy="593090"/>
                    </a:xfrm>
                    <a:prstGeom prst="rect">
                      <a:avLst/>
                    </a:prstGeom>
                    <a:noFill/>
                  </pic:spPr>
                </pic:pic>
              </a:graphicData>
            </a:graphic>
          </wp:anchor>
        </w:drawing>
      </w:r>
    </w:p>
    <w:p>
      <w:pPr>
        <w:spacing w:after="0" w:line="85" w:lineRule="exact"/>
        <w:rPr>
          <w:sz w:val="20"/>
          <w:szCs w:val="20"/>
          <w:color w:val="auto"/>
        </w:rPr>
      </w:pPr>
    </w:p>
    <w:p>
      <w:pPr>
        <w:ind w:left="980" w:right="640" w:hanging="491"/>
        <w:spacing w:after="0" w:line="280" w:lineRule="auto"/>
        <w:tabs>
          <w:tab w:leader="none" w:pos="9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Represents future minimum lease payments under our operating lease for office and laboratory space at our Needham, Massachusetts facility. Our facility lease extends to August of 2026.</w:t>
      </w:r>
    </w:p>
    <w:p>
      <w:pPr>
        <w:spacing w:after="0" w:line="58" w:lineRule="exact"/>
        <w:rPr>
          <w:rFonts w:ascii="Arial" w:cs="Arial" w:eastAsia="Arial" w:hAnsi="Arial"/>
          <w:sz w:val="16"/>
          <w:szCs w:val="16"/>
          <w:color w:val="auto"/>
        </w:rPr>
      </w:pPr>
    </w:p>
    <w:p>
      <w:pPr>
        <w:ind w:left="980" w:right="160" w:hanging="491"/>
        <w:spacing w:after="0" w:line="280" w:lineRule="auto"/>
        <w:tabs>
          <w:tab w:leader="none" w:pos="9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Represents future principal, interest payments, and the final payment fee on our Loan Agreement with SVB, which matures on January 1, 2026.</w:t>
      </w:r>
    </w:p>
    <w:p>
      <w:pPr>
        <w:spacing w:after="0" w:line="58" w:lineRule="exact"/>
        <w:rPr>
          <w:rFonts w:ascii="Arial" w:cs="Arial" w:eastAsia="Arial" w:hAnsi="Arial"/>
          <w:sz w:val="16"/>
          <w:szCs w:val="16"/>
          <w:color w:val="auto"/>
        </w:rPr>
      </w:pPr>
    </w:p>
    <w:p>
      <w:pPr>
        <w:ind w:left="980" w:hanging="491"/>
        <w:spacing w:after="0" w:line="282" w:lineRule="auto"/>
        <w:tabs>
          <w:tab w:leader="none" w:pos="9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Represents a $1.0 million promissory note plus interest under the terms of our asset purchase agreements with Periphagen, Inc. The promissory note is due upon maturity in November 2027.</w:t>
      </w:r>
    </w:p>
    <w:p>
      <w:pPr>
        <w:spacing w:after="0" w:line="93" w:lineRule="exact"/>
        <w:rPr>
          <w:sz w:val="20"/>
          <w:szCs w:val="20"/>
          <w:color w:val="auto"/>
        </w:rPr>
      </w:pPr>
    </w:p>
    <w:p>
      <w:pPr>
        <w:ind w:right="740"/>
        <w:spacing w:after="0" w:line="281" w:lineRule="auto"/>
        <w:rPr>
          <w:sz w:val="20"/>
          <w:szCs w:val="20"/>
          <w:color w:val="auto"/>
        </w:rPr>
      </w:pPr>
      <w:r>
        <w:rPr>
          <w:rFonts w:ascii="Arial" w:cs="Arial" w:eastAsia="Arial" w:hAnsi="Arial"/>
          <w:sz w:val="19"/>
          <w:szCs w:val="19"/>
          <w:color w:val="auto"/>
        </w:rPr>
        <w:t>See our financial statements and related footnotes elsewhere in this Annual Report on Form 10-K for additional information on these agreements.</w:t>
      </w:r>
    </w:p>
    <w:p>
      <w:pPr>
        <w:spacing w:after="0" w:line="85" w:lineRule="exact"/>
        <w:rPr>
          <w:sz w:val="20"/>
          <w:szCs w:val="20"/>
          <w:color w:val="auto"/>
        </w:rPr>
      </w:pPr>
    </w:p>
    <w:p>
      <w:pPr>
        <w:ind w:right="100"/>
        <w:spacing w:after="0" w:line="248" w:lineRule="auto"/>
        <w:rPr>
          <w:sz w:val="20"/>
          <w:szCs w:val="20"/>
          <w:color w:val="auto"/>
        </w:rPr>
      </w:pPr>
      <w:r>
        <w:rPr>
          <w:rFonts w:ascii="Arial" w:cs="Arial" w:eastAsia="Arial" w:hAnsi="Arial"/>
          <w:sz w:val="19"/>
          <w:szCs w:val="19"/>
          <w:color w:val="auto"/>
        </w:rPr>
        <w:t>We also enter into contracts in the normal course of business with hospitals, clinics, universities, and other third parties for clinical trials and testing and with construction contractors and process developers for the construction of our manufacturing facility. These contracts do not contain minimum purchase commitments and are cancelable by us upon prior written notice. Payments due upon cancelation consist only of payments for services provided or expenses incurred, including noncancelable obligations of our service providers, up to the date of cancelation. These payments are not included in the table above as the amount and timing of such payments are not known.</w:t>
      </w:r>
    </w:p>
    <w:p>
      <w:pPr>
        <w:spacing w:after="0" w:line="1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Critical Accounting Estimates</w:t>
      </w:r>
    </w:p>
    <w:p>
      <w:pPr>
        <w:spacing w:after="0" w:line="164" w:lineRule="exact"/>
        <w:rPr>
          <w:sz w:val="20"/>
          <w:szCs w:val="20"/>
          <w:color w:val="auto"/>
        </w:rPr>
      </w:pPr>
    </w:p>
    <w:p>
      <w:pPr>
        <w:ind w:right="60"/>
        <w:spacing w:after="0" w:line="244" w:lineRule="auto"/>
        <w:rPr>
          <w:sz w:val="20"/>
          <w:szCs w:val="20"/>
          <w:color w:val="auto"/>
        </w:rPr>
      </w:pPr>
      <w:r>
        <w:rPr>
          <w:rFonts w:ascii="Arial" w:cs="Arial" w:eastAsia="Arial" w:hAnsi="Arial"/>
          <w:sz w:val="19"/>
          <w:szCs w:val="19"/>
          <w:color w:val="auto"/>
        </w:rPr>
        <w:t>Our management’s discussion and analysis of financial condition and results of operations is based on our financial statements, which have been prepared in accordance with U.S. GAAP. The preparation of our financial statements and related disclosures requires us to make estimates and assumptions that affect the reported amounts of assets and liabilities, costs and expenses, and the disclosure of contingent assets and liabilities in our financial statements. These items are monitored and analyzed by us for changes in facts and circumstances, and material changes in these estimates could occur in the future. We base our estimates on historical experience, known trends and events, and on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materially differ from these estimates under different assumptions or conditions.</w:t>
      </w:r>
    </w:p>
    <w:p>
      <w:pPr>
        <w:spacing w:after="0" w:line="124" w:lineRule="exact"/>
        <w:rPr>
          <w:sz w:val="20"/>
          <w:szCs w:val="20"/>
          <w:color w:val="auto"/>
        </w:rPr>
      </w:pPr>
    </w:p>
    <w:p>
      <w:pPr>
        <w:ind w:right="280"/>
        <w:spacing w:after="0" w:line="253" w:lineRule="auto"/>
        <w:rPr>
          <w:sz w:val="20"/>
          <w:szCs w:val="20"/>
          <w:color w:val="auto"/>
        </w:rPr>
      </w:pPr>
      <w:r>
        <w:rPr>
          <w:rFonts w:ascii="Arial" w:cs="Arial" w:eastAsia="Arial" w:hAnsi="Arial"/>
          <w:sz w:val="19"/>
          <w:szCs w:val="19"/>
          <w:color w:val="auto"/>
        </w:rPr>
        <w:t>While our significant accounting policies are described in more detail in the notes to our consolidated financial statements included elsewhere in this Annual Report on Form 10-K, we believe that the following accounting policies are those most significant to the judgments and estimates used in the preparation of our consolidated financial statements.</w:t>
      </w:r>
    </w:p>
    <w:p>
      <w:pPr>
        <w:spacing w:after="0" w:line="10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Accrued Research and Development Expenses</w:t>
      </w:r>
    </w:p>
    <w:p>
      <w:pPr>
        <w:spacing w:after="0" w:line="164"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As part of the process of preparing our financial statements, we are required to estimate our accrued research and development expenses. This process involves reviewing open contracts and purchase orders, communicating with our personnel to identify services that have been performed on our behalf, and estimating the level of service performed and the associated costs incurred for the services when we have not yet been invoiced or otherwise notified of the actual costs. Most of our service providers invoice us in arrears for services performed, on a pre-determined schedule or when contractual milestones are met; however, some require advance payments. We make estimates of our accrued expenses as of each balance sheet date in our financial statements based on facts and circumstances known to us at that time. We periodically confirm the accuracy of these estimates with the service providers and make adjustments, if necessary. Examples of estimated accrued research and development expenses include fees paid to the following:</w:t>
      </w:r>
    </w:p>
    <w:p>
      <w:pPr>
        <w:spacing w:after="0" w:line="121" w:lineRule="exact"/>
        <w:rPr>
          <w:sz w:val="20"/>
          <w:szCs w:val="20"/>
          <w:color w:val="auto"/>
        </w:rPr>
      </w:pPr>
    </w:p>
    <w:p>
      <w:pPr>
        <w:ind w:left="720" w:hanging="360"/>
        <w:spacing w:after="0"/>
        <w:tabs>
          <w:tab w:leader="none" w:pos="720" w:val="left"/>
        </w:tabs>
        <w:numPr>
          <w:ilvl w:val="0"/>
          <w:numId w:val="82"/>
        </w:numPr>
        <w:rPr>
          <w:rFonts w:ascii="Arial" w:cs="Arial" w:eastAsia="Arial" w:hAnsi="Arial"/>
          <w:sz w:val="19"/>
          <w:szCs w:val="19"/>
          <w:color w:val="auto"/>
        </w:rPr>
      </w:pPr>
      <w:r>
        <w:rPr>
          <w:rFonts w:ascii="Arial" w:cs="Arial" w:eastAsia="Arial" w:hAnsi="Arial"/>
          <w:sz w:val="19"/>
          <w:szCs w:val="19"/>
          <w:color w:val="auto"/>
        </w:rPr>
        <w:t>clinical trial sites where patients are being treated with our product candidates;</w:t>
      </w:r>
    </w:p>
    <w:p>
      <w:pPr>
        <w:spacing w:after="0" w:line="172" w:lineRule="exact"/>
        <w:rPr>
          <w:rFonts w:ascii="Arial" w:cs="Arial" w:eastAsia="Arial" w:hAnsi="Arial"/>
          <w:sz w:val="19"/>
          <w:szCs w:val="19"/>
          <w:color w:val="auto"/>
        </w:rPr>
      </w:pPr>
    </w:p>
    <w:p>
      <w:pPr>
        <w:ind w:left="720" w:hanging="360"/>
        <w:spacing w:after="0"/>
        <w:tabs>
          <w:tab w:leader="none" w:pos="720" w:val="left"/>
        </w:tabs>
        <w:numPr>
          <w:ilvl w:val="0"/>
          <w:numId w:val="82"/>
        </w:numPr>
        <w:rPr>
          <w:rFonts w:ascii="Arial" w:cs="Arial" w:eastAsia="Arial" w:hAnsi="Arial"/>
          <w:sz w:val="19"/>
          <w:szCs w:val="19"/>
          <w:color w:val="auto"/>
        </w:rPr>
      </w:pPr>
      <w:r>
        <w:rPr>
          <w:rFonts w:ascii="Arial" w:cs="Arial" w:eastAsia="Arial" w:hAnsi="Arial"/>
          <w:sz w:val="19"/>
          <w:szCs w:val="19"/>
          <w:color w:val="auto"/>
        </w:rPr>
        <w:t>consultants providing services related to process development, regulatory and other services; and</w:t>
      </w:r>
    </w:p>
    <w:p>
      <w:pPr>
        <w:spacing w:after="0" w:line="172" w:lineRule="exact"/>
        <w:rPr>
          <w:rFonts w:ascii="Arial" w:cs="Arial" w:eastAsia="Arial" w:hAnsi="Arial"/>
          <w:sz w:val="19"/>
          <w:szCs w:val="19"/>
          <w:color w:val="auto"/>
        </w:rPr>
      </w:pPr>
    </w:p>
    <w:p>
      <w:pPr>
        <w:ind w:left="720" w:hanging="360"/>
        <w:spacing w:after="0"/>
        <w:tabs>
          <w:tab w:leader="none" w:pos="720" w:val="left"/>
        </w:tabs>
        <w:numPr>
          <w:ilvl w:val="0"/>
          <w:numId w:val="82"/>
        </w:numPr>
        <w:rPr>
          <w:rFonts w:ascii="Arial" w:cs="Arial" w:eastAsia="Arial" w:hAnsi="Arial"/>
          <w:sz w:val="19"/>
          <w:szCs w:val="19"/>
          <w:color w:val="auto"/>
        </w:rPr>
      </w:pPr>
      <w:r>
        <w:rPr>
          <w:rFonts w:ascii="Arial" w:cs="Arial" w:eastAsia="Arial" w:hAnsi="Arial"/>
          <w:sz w:val="19"/>
          <w:szCs w:val="19"/>
          <w:color w:val="auto"/>
        </w:rPr>
        <w:t>CDMOs who are manufacturing commercial-scale quantities of our product candidates</w:t>
      </w:r>
    </w:p>
    <w:p>
      <w:pPr>
        <w:spacing w:after="0" w:line="160" w:lineRule="exact"/>
        <w:rPr>
          <w:sz w:val="20"/>
          <w:szCs w:val="20"/>
          <w:color w:val="auto"/>
        </w:rPr>
      </w:pPr>
    </w:p>
    <w:p>
      <w:pPr>
        <w:jc w:val="both"/>
        <w:ind w:right="20"/>
        <w:spacing w:after="0" w:line="260" w:lineRule="auto"/>
        <w:rPr>
          <w:sz w:val="20"/>
          <w:szCs w:val="20"/>
          <w:color w:val="auto"/>
        </w:rPr>
      </w:pPr>
      <w:r>
        <w:rPr>
          <w:rFonts w:ascii="Arial" w:cs="Arial" w:eastAsia="Arial" w:hAnsi="Arial"/>
          <w:sz w:val="19"/>
          <w:szCs w:val="19"/>
          <w:color w:val="auto"/>
        </w:rPr>
        <w:t>Actual services performed may vary from our estimates, resulting in adjustments to research and development costs or inventories in future periods. Changes in these estimates that result in material changes to our accruals could materially affect our results of operations.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112</w:t>
      </w:r>
    </w:p>
    <w:p>
      <w:pPr>
        <w:sectPr>
          <w:pgSz w:w="12240" w:h="15840" w:orient="portrait"/>
          <w:cols w:equalWidth="0" w:num="1">
            <w:col w:w="10060"/>
          </w:cols>
          <w:pgMar w:left="1080" w:top="1061" w:right="1100" w:bottom="173" w:gutter="0" w:footer="0" w:header="0"/>
        </w:sectPr>
      </w:pPr>
    </w:p>
    <w:bookmarkStart w:id="116" w:name="page117"/>
    <w:bookmarkEnd w:id="116"/>
    <w:p>
      <w:pPr>
        <w:spacing w:after="0"/>
        <w:rPr>
          <w:sz w:val="20"/>
          <w:szCs w:val="20"/>
          <w:color w:val="auto"/>
        </w:rPr>
      </w:pPr>
      <w:r>
        <w:rPr>
          <w:rFonts w:ascii="Arial" w:cs="Arial" w:eastAsia="Arial" w:hAnsi="Arial"/>
          <w:sz w:val="19"/>
          <w:szCs w:val="19"/>
          <w:b w:val="1"/>
          <w:bCs w:val="1"/>
          <w:color w:val="auto"/>
        </w:rPr>
        <w:t>Determination of Fair Value of Warrants</w:t>
      </w:r>
    </w:p>
    <w:p>
      <w:pPr>
        <w:spacing w:after="0" w:line="164" w:lineRule="exact"/>
        <w:rPr>
          <w:sz w:val="20"/>
          <w:szCs w:val="20"/>
          <w:color w:val="auto"/>
        </w:rPr>
      </w:pPr>
    </w:p>
    <w:p>
      <w:pPr>
        <w:spacing w:after="0" w:line="243" w:lineRule="auto"/>
        <w:rPr>
          <w:sz w:val="20"/>
          <w:szCs w:val="20"/>
          <w:color w:val="auto"/>
        </w:rPr>
      </w:pPr>
      <w:r>
        <w:rPr>
          <w:rFonts w:ascii="Arial" w:cs="Arial" w:eastAsia="Arial" w:hAnsi="Arial"/>
          <w:sz w:val="19"/>
          <w:szCs w:val="19"/>
          <w:color w:val="auto"/>
        </w:rPr>
        <w:t>In connection with the Series B convertible preferred stock issuance in November 2018, the Company issued warrants to purchase shares of common stock of which certain warrants are shown as a liability on the balance sheet. The fair value of the warrants was determined based on significant inputs not observable in the market. The fair value of the warrants uses various valuation methods, including the Monte Carlo method, the option-pricing method, probability-weighted expected return and the hybrid method, all of which incorporate assumptions and estimates, to value the common stock warrants. The hybrid method is often used when a company is expecting a liquidity event in the near future and is a combination of the option-pricing and probability-weighted expected return methods. Estimates and assumptions impacting the fair value measurement include the fair value per share of the underlying shares of common stock prior to the IPO, risk-free interest rate, expected dividend yield, expected volatility of the price of the underlying preferred stock, and the remaining contractual term of the warrants. The most significant assumption in the model impacting the fair value of the common stock warrants is the fair value of the Company’s common stock as of each remeasurement date. Prior to the IPO, the Company determined the fair value per share of the underlying common stock by taking into consideration the most recent sales of preferred stock, results obtained from third-party valuations and additional factors that were deemed relevant.</w:t>
      </w:r>
    </w:p>
    <w:p>
      <w:pPr>
        <w:spacing w:after="0" w:line="11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Stock-Based Compensation</w:t>
      </w:r>
    </w:p>
    <w:p>
      <w:pPr>
        <w:spacing w:after="0" w:line="164" w:lineRule="exact"/>
        <w:rPr>
          <w:sz w:val="20"/>
          <w:szCs w:val="20"/>
          <w:color w:val="auto"/>
        </w:rPr>
      </w:pPr>
    </w:p>
    <w:p>
      <w:pPr>
        <w:ind w:right="260"/>
        <w:spacing w:after="0" w:line="250" w:lineRule="auto"/>
        <w:rPr>
          <w:sz w:val="20"/>
          <w:szCs w:val="20"/>
          <w:color w:val="auto"/>
        </w:rPr>
      </w:pPr>
      <w:r>
        <w:rPr>
          <w:rFonts w:ascii="Arial" w:cs="Arial" w:eastAsia="Arial" w:hAnsi="Arial"/>
          <w:sz w:val="19"/>
          <w:szCs w:val="19"/>
          <w:color w:val="auto"/>
        </w:rPr>
        <w:t>We measure stock options and other stock-based awards granted to our employees, directors, consultants, advisors based on the fair value on the date of the grant, awards, net of actual forfeitures, over the requisite service period, which is generally the vesting period of the respective award. For stock-based awards granted to non-employees, compensation expense is recognized over the vesting period which approximates the period over which services are rendered by such non-employees.</w:t>
      </w:r>
    </w:p>
    <w:p>
      <w:pPr>
        <w:spacing w:after="0" w:line="114" w:lineRule="exact"/>
        <w:rPr>
          <w:sz w:val="20"/>
          <w:szCs w:val="20"/>
          <w:color w:val="auto"/>
        </w:rPr>
      </w:pPr>
    </w:p>
    <w:p>
      <w:pPr>
        <w:spacing w:after="0" w:line="253" w:lineRule="auto"/>
        <w:rPr>
          <w:sz w:val="20"/>
          <w:szCs w:val="20"/>
          <w:color w:val="auto"/>
        </w:rPr>
      </w:pPr>
      <w:r>
        <w:rPr>
          <w:rFonts w:ascii="Arial" w:cs="Arial" w:eastAsia="Arial" w:hAnsi="Arial"/>
          <w:sz w:val="19"/>
          <w:szCs w:val="19"/>
          <w:color w:val="auto"/>
        </w:rPr>
        <w:t>We estimate the fair value of each stock option grant on the date of grant using the Black-Scholes option-pricing model, which uses as inputs the fair value of our common stock and assumptions we make for the expected volatility of our common stock, the expected term of our stock options, the risk-free interest rate for a period that approximates the expected term of our stock options, and our expected dividend yield.</w:t>
      </w:r>
    </w:p>
    <w:p>
      <w:pPr>
        <w:spacing w:after="0" w:line="10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Recent Accounting Pronouncements</w:t>
      </w:r>
    </w:p>
    <w:p>
      <w:pPr>
        <w:spacing w:after="0" w:line="164" w:lineRule="exact"/>
        <w:rPr>
          <w:sz w:val="20"/>
          <w:szCs w:val="20"/>
          <w:color w:val="auto"/>
        </w:rPr>
      </w:pPr>
    </w:p>
    <w:p>
      <w:pPr>
        <w:ind w:right="120"/>
        <w:spacing w:after="0" w:line="260" w:lineRule="auto"/>
        <w:rPr>
          <w:sz w:val="20"/>
          <w:szCs w:val="20"/>
          <w:color w:val="auto"/>
        </w:rPr>
      </w:pPr>
      <w:r>
        <w:rPr>
          <w:rFonts w:ascii="Arial" w:cs="Arial" w:eastAsia="Arial" w:hAnsi="Arial"/>
          <w:sz w:val="19"/>
          <w:szCs w:val="19"/>
          <w:color w:val="auto"/>
        </w:rPr>
        <w:t>A description of recent accounting pronouncements that may potentially impact our financial position, results of operations, or cash flows is disclosed in Note 2 to our audited consolidated financial statements included elsewhere in this Annual Report on form 10-K.</w:t>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Emerging Growth Company Status</w:t>
      </w:r>
    </w:p>
    <w:p>
      <w:pPr>
        <w:spacing w:after="0" w:line="164" w:lineRule="exact"/>
        <w:rPr>
          <w:sz w:val="20"/>
          <w:szCs w:val="20"/>
          <w:color w:val="auto"/>
        </w:rPr>
      </w:pPr>
    </w:p>
    <w:p>
      <w:pPr>
        <w:ind w:right="40"/>
        <w:spacing w:after="0" w:line="246" w:lineRule="auto"/>
        <w:rPr>
          <w:sz w:val="20"/>
          <w:szCs w:val="20"/>
          <w:color w:val="auto"/>
        </w:rPr>
      </w:pPr>
      <w:r>
        <w:rPr>
          <w:rFonts w:ascii="Arial" w:cs="Arial" w:eastAsia="Arial" w:hAnsi="Arial"/>
          <w:sz w:val="19"/>
          <w:szCs w:val="19"/>
          <w:color w:val="auto"/>
        </w:rPr>
        <w:t>In April 2012, the Jumpstart Our Business Startups Act of 2012 (the JOBS Act) was enacted. Section 107 of the JOBS Act provides that an “emerging growth company,” or an EGC, can take advantage of the extended transition period provided in Section 7(a)(2)(B) of the Securities Act of 1933, as amended (the Securities Act) for complying with new or revised accounting standards. Thus, an EGC can delay the adoption of certain accounting standards until those standards would otherwise apply to private companies. We have elected to use the extended transition period for new or revised accounting standards during the period in which we remain an emerging growth company; however, we may adopt certain new or revised accounting standards early.</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color w:val="auto"/>
        </w:rPr>
        <w:t>We will remain an emerging growth company until the earliest to occur of: (1) the last day of the fiscal year in which we</w:t>
      </w:r>
    </w:p>
    <w:p>
      <w:pPr>
        <w:spacing w:after="0" w:line="24" w:lineRule="exact"/>
        <w:rPr>
          <w:sz w:val="20"/>
          <w:szCs w:val="20"/>
          <w:color w:val="auto"/>
        </w:rPr>
      </w:pPr>
    </w:p>
    <w:p>
      <w:pPr>
        <w:spacing w:after="0"/>
        <w:rPr>
          <w:sz w:val="20"/>
          <w:szCs w:val="20"/>
          <w:color w:val="auto"/>
        </w:rPr>
      </w:pPr>
      <w:r>
        <w:rPr>
          <w:rFonts w:ascii="Arial" w:cs="Arial" w:eastAsia="Arial" w:hAnsi="Arial"/>
          <w:sz w:val="19"/>
          <w:szCs w:val="19"/>
          <w:color w:val="auto"/>
        </w:rPr>
        <w:t>have more than $1.235 billion in annual revenue; (2) the date we qualify as a “large accelerated filer,” with at least</w:t>
      </w:r>
    </w:p>
    <w:p>
      <w:pPr>
        <w:spacing w:after="0"/>
        <w:rPr>
          <w:sz w:val="20"/>
          <w:szCs w:val="20"/>
          <w:color w:val="auto"/>
        </w:rPr>
      </w:pPr>
      <w:r>
        <w:rPr>
          <w:rFonts w:ascii="Arial" w:cs="Arial" w:eastAsia="Arial" w:hAnsi="Arial"/>
          <w:sz w:val="19"/>
          <w:szCs w:val="19"/>
          <w:color w:val="auto"/>
        </w:rPr>
        <w:t>$700.0 million of equity securities held by non-affiliates; (3) the date on which we have issued more than $1.0 billion in</w:t>
      </w:r>
    </w:p>
    <w:p>
      <w:pPr>
        <w:spacing w:after="0"/>
        <w:rPr>
          <w:sz w:val="20"/>
          <w:szCs w:val="20"/>
          <w:color w:val="auto"/>
        </w:rPr>
      </w:pPr>
      <w:r>
        <w:rPr>
          <w:rFonts w:ascii="Arial" w:cs="Arial" w:eastAsia="Arial" w:hAnsi="Arial"/>
          <w:sz w:val="19"/>
          <w:szCs w:val="19"/>
          <w:color w:val="auto"/>
        </w:rPr>
        <w:t>non-convertible debt securities during the prior three-year period; and (4) the last day of the fiscal year ending after the</w:t>
      </w:r>
    </w:p>
    <w:p>
      <w:pPr>
        <w:spacing w:after="0"/>
        <w:rPr>
          <w:sz w:val="20"/>
          <w:szCs w:val="20"/>
          <w:color w:val="auto"/>
        </w:rPr>
      </w:pPr>
      <w:r>
        <w:rPr>
          <w:rFonts w:ascii="Arial" w:cs="Arial" w:eastAsia="Arial" w:hAnsi="Arial"/>
          <w:sz w:val="19"/>
          <w:szCs w:val="19"/>
          <w:color w:val="auto"/>
        </w:rPr>
        <w:t>fifth anniversary of our initial public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113</w:t>
      </w:r>
    </w:p>
    <w:p>
      <w:pPr>
        <w:sectPr>
          <w:pgSz w:w="12240" w:h="15840" w:orient="portrait"/>
          <w:cols w:equalWidth="0" w:num="1">
            <w:col w:w="10020"/>
          </w:cols>
          <w:pgMar w:left="1080" w:top="1058" w:right="1140" w:bottom="173" w:gutter="0" w:footer="0" w:header="0"/>
        </w:sectPr>
      </w:pPr>
    </w:p>
    <w:bookmarkStart w:id="117" w:name="page118"/>
    <w:bookmarkEnd w:id="117"/>
    <w:p>
      <w:pPr>
        <w:spacing w:after="0"/>
        <w:rPr>
          <w:sz w:val="20"/>
          <w:szCs w:val="20"/>
          <w:color w:val="auto"/>
        </w:rPr>
      </w:pPr>
      <w:r>
        <w:rPr>
          <w:rFonts w:ascii="Arial" w:cs="Arial" w:eastAsia="Arial" w:hAnsi="Arial"/>
          <w:sz w:val="19"/>
          <w:szCs w:val="19"/>
          <w:b w:val="1"/>
          <w:bCs w:val="1"/>
          <w:color w:val="auto"/>
        </w:rPr>
        <w:t>Item 7A. Quantitative and Qualitative Disclosures about Market Risk.</w:t>
      </w:r>
    </w:p>
    <w:p>
      <w:pPr>
        <w:spacing w:after="0" w:line="164" w:lineRule="exact"/>
        <w:rPr>
          <w:sz w:val="20"/>
          <w:szCs w:val="20"/>
          <w:color w:val="auto"/>
        </w:rPr>
      </w:pPr>
    </w:p>
    <w:p>
      <w:pPr>
        <w:ind w:right="300"/>
        <w:spacing w:after="0" w:line="281" w:lineRule="auto"/>
        <w:rPr>
          <w:sz w:val="20"/>
          <w:szCs w:val="20"/>
          <w:color w:val="auto"/>
        </w:rPr>
      </w:pPr>
      <w:r>
        <w:rPr>
          <w:rFonts w:ascii="Arial" w:cs="Arial" w:eastAsia="Arial" w:hAnsi="Arial"/>
          <w:sz w:val="19"/>
          <w:szCs w:val="19"/>
          <w:color w:val="auto"/>
        </w:rPr>
        <w:t>We are a smaller reporting company as defined by Rule 12b-2 of the Securities Exchange Act of 1934, as amended, and are not required to provide the information under this item.</w:t>
      </w:r>
    </w:p>
    <w:p>
      <w:pPr>
        <w:spacing w:after="0" w:line="8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8. Financial Statements and Supplementary Data.</w:t>
      </w:r>
    </w:p>
    <w:p>
      <w:pPr>
        <w:spacing w:after="0" w:line="164" w:lineRule="exact"/>
        <w:rPr>
          <w:sz w:val="20"/>
          <w:szCs w:val="20"/>
          <w:color w:val="auto"/>
        </w:rPr>
      </w:pPr>
    </w:p>
    <w:p>
      <w:pPr>
        <w:ind w:right="360"/>
        <w:spacing w:after="0" w:line="281" w:lineRule="auto"/>
        <w:rPr>
          <w:sz w:val="20"/>
          <w:szCs w:val="20"/>
          <w:color w:val="auto"/>
        </w:rPr>
      </w:pPr>
      <w:r>
        <w:rPr>
          <w:rFonts w:ascii="Arial" w:cs="Arial" w:eastAsia="Arial" w:hAnsi="Arial"/>
          <w:sz w:val="19"/>
          <w:szCs w:val="19"/>
          <w:color w:val="auto"/>
        </w:rPr>
        <w:t>Our consolidated financial statements, together with the report of our independent registered public accounting firm, appear beginning on page F-1 of this Annual Report for the year ended December 31, 2023.</w:t>
      </w:r>
    </w:p>
    <w:p>
      <w:pPr>
        <w:spacing w:after="0" w:line="8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 Changes in and Disagreements with Accountants on Accounting and Financial Disclosure.</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color w:val="auto"/>
        </w:rPr>
        <w:t>None.</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9A. Controls and Procedures.</w:t>
      </w:r>
    </w:p>
    <w:p>
      <w:pPr>
        <w:spacing w:after="0" w:line="1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Limitations on Effectiveness of Controls and Procedures</w:t>
      </w:r>
    </w:p>
    <w:p>
      <w:pPr>
        <w:spacing w:after="0" w:line="124" w:lineRule="exact"/>
        <w:rPr>
          <w:sz w:val="20"/>
          <w:szCs w:val="20"/>
          <w:color w:val="auto"/>
        </w:rPr>
      </w:pPr>
    </w:p>
    <w:p>
      <w:pPr>
        <w:ind w:right="20"/>
        <w:spacing w:after="0" w:line="260" w:lineRule="auto"/>
        <w:rPr>
          <w:sz w:val="20"/>
          <w:szCs w:val="20"/>
          <w:color w:val="auto"/>
        </w:rPr>
      </w:pPr>
      <w:r>
        <w:rPr>
          <w:rFonts w:ascii="Arial" w:cs="Arial" w:eastAsia="Arial" w:hAnsi="Arial"/>
          <w:sz w:val="19"/>
          <w:szCs w:val="19"/>
          <w:color w:val="auto"/>
        </w:rPr>
        <w:t>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Evaluation of Disclosure Controls and Procedures</w:t>
      </w:r>
    </w:p>
    <w:p>
      <w:pPr>
        <w:spacing w:after="0" w:line="164" w:lineRule="exact"/>
        <w:rPr>
          <w:sz w:val="20"/>
          <w:szCs w:val="20"/>
          <w:color w:val="auto"/>
        </w:rPr>
      </w:pPr>
    </w:p>
    <w:p>
      <w:pPr>
        <w:ind w:right="60"/>
        <w:spacing w:after="0" w:line="244" w:lineRule="auto"/>
        <w:rPr>
          <w:sz w:val="20"/>
          <w:szCs w:val="20"/>
          <w:color w:val="auto"/>
        </w:rPr>
      </w:pPr>
      <w:r>
        <w:rPr>
          <w:rFonts w:ascii="Arial" w:cs="Arial" w:eastAsia="Arial" w:hAnsi="Arial"/>
          <w:sz w:val="19"/>
          <w:szCs w:val="19"/>
          <w:color w:val="auto"/>
        </w:rPr>
        <w:t>Our management is responsible for establishing and maintaining adequate internal control over financial reporting (as defined in Rule 13a-15(f) under the Securities and Exchange Act of 1934, as amended). We maintain “disclosure controls and procedures,” as defined in Rules 13a-15(e) and 15d-15(e) under the Securities Exchange Act of 1934, as amended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and principal financial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120" w:lineRule="exact"/>
        <w:rPr>
          <w:sz w:val="20"/>
          <w:szCs w:val="20"/>
          <w:color w:val="auto"/>
        </w:rPr>
      </w:pPr>
    </w:p>
    <w:p>
      <w:pPr>
        <w:ind w:right="120"/>
        <w:spacing w:after="0" w:line="250" w:lineRule="auto"/>
        <w:rPr>
          <w:sz w:val="20"/>
          <w:szCs w:val="20"/>
          <w:color w:val="auto"/>
        </w:rPr>
      </w:pPr>
      <w:r>
        <w:rPr>
          <w:rFonts w:ascii="Arial" w:cs="Arial" w:eastAsia="Arial" w:hAnsi="Arial"/>
          <w:sz w:val="19"/>
          <w:szCs w:val="19"/>
          <w:color w:val="auto"/>
        </w:rPr>
        <w:t>Our management, with the participation of our Chief Executive Officer and Chief Financial Officer (our principal executive officer and principal financial officer, respectively), evaluated the effectiveness of our disclosure controls and procedures as of December 31, 2023. Based on the evaluation of our disclosure controls and procedures as of December 31, 2023, our Chief Executive Officer and Chief Financial Officer concluded that, as of such date, our disclosure controls and procedures were effective at the reasonable assurance level.</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Management's Report on Internal Control Over Financial Reporting</w:t>
      </w:r>
    </w:p>
    <w:p>
      <w:pPr>
        <w:spacing w:after="0" w:line="124" w:lineRule="exact"/>
        <w:rPr>
          <w:sz w:val="20"/>
          <w:szCs w:val="20"/>
          <w:color w:val="auto"/>
        </w:rPr>
      </w:pPr>
    </w:p>
    <w:p>
      <w:pPr>
        <w:spacing w:after="0" w:line="246" w:lineRule="auto"/>
        <w:rPr>
          <w:sz w:val="20"/>
          <w:szCs w:val="20"/>
          <w:color w:val="auto"/>
        </w:rPr>
      </w:pPr>
      <w:r>
        <w:rPr>
          <w:rFonts w:ascii="Arial" w:cs="Arial" w:eastAsia="Arial" w:hAnsi="Arial"/>
          <w:sz w:val="19"/>
          <w:szCs w:val="19"/>
          <w:color w:val="auto"/>
        </w:rPr>
        <w:t>Our management is responsible for establishing and maintaining adequate internal control over financial reporting. Internal control over financial reporting is defined in Rules 13a-15(f) and 15d-15(f) under the Exchange Act as a process designed by, or under the supervision of, a company’s principal executive officer and principal financial officer, or persons performing similar functions, and effected by a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95" w:lineRule="exact"/>
        <w:rPr>
          <w:sz w:val="20"/>
          <w:szCs w:val="20"/>
          <w:color w:val="auto"/>
        </w:rPr>
      </w:pPr>
    </w:p>
    <w:p>
      <w:pPr>
        <w:ind w:left="980" w:right="160" w:hanging="491"/>
        <w:spacing w:after="0" w:line="281" w:lineRule="auto"/>
        <w:tabs>
          <w:tab w:leader="none" w:pos="980" w:val="left"/>
        </w:tabs>
        <w:numPr>
          <w:ilvl w:val="0"/>
          <w:numId w:val="83"/>
        </w:numPr>
        <w:rPr>
          <w:rFonts w:ascii="Arial" w:cs="Arial" w:eastAsia="Arial" w:hAnsi="Arial"/>
          <w:sz w:val="19"/>
          <w:szCs w:val="19"/>
          <w:color w:val="auto"/>
        </w:rPr>
      </w:pPr>
      <w:r>
        <w:rPr>
          <w:rFonts w:ascii="Arial" w:cs="Arial" w:eastAsia="Arial" w:hAnsi="Arial"/>
          <w:sz w:val="19"/>
          <w:szCs w:val="19"/>
          <w:color w:val="auto"/>
        </w:rPr>
        <w:t>pertain to the maintenance of records that in reasonable detail accurately and fairly reflect the transactions and dispositions of a company’s assets;</w:t>
      </w:r>
    </w:p>
    <w:p>
      <w:pPr>
        <w:spacing w:after="0" w:line="58" w:lineRule="exact"/>
        <w:rPr>
          <w:rFonts w:ascii="Arial" w:cs="Arial" w:eastAsia="Arial" w:hAnsi="Arial"/>
          <w:sz w:val="19"/>
          <w:szCs w:val="19"/>
          <w:color w:val="auto"/>
        </w:rPr>
      </w:pPr>
    </w:p>
    <w:p>
      <w:pPr>
        <w:ind w:left="980" w:right="20" w:hanging="491"/>
        <w:spacing w:after="0" w:line="253" w:lineRule="auto"/>
        <w:tabs>
          <w:tab w:leader="none" w:pos="980" w:val="left"/>
        </w:tabs>
        <w:numPr>
          <w:ilvl w:val="0"/>
          <w:numId w:val="83"/>
        </w:numPr>
        <w:rPr>
          <w:rFonts w:ascii="Arial" w:cs="Arial" w:eastAsia="Arial" w:hAnsi="Arial"/>
          <w:sz w:val="19"/>
          <w:szCs w:val="19"/>
          <w:color w:val="auto"/>
        </w:rPr>
      </w:pPr>
      <w:r>
        <w:rPr>
          <w:rFonts w:ascii="Arial" w:cs="Arial" w:eastAsia="Arial" w:hAnsi="Arial"/>
          <w:sz w:val="19"/>
          <w:szCs w:val="19"/>
          <w:color w:val="auto"/>
        </w:rPr>
        <w:t>provide reasonable assurance that transactions are recorded as necessary to permit preparation of financial statements in accordance with generally accepted accounting principles, and that a company’s receipts and expenditures are being made only in accordance with authorizations of the company’s management and directors; and</w:t>
      </w:r>
    </w:p>
    <w:p>
      <w:pPr>
        <w:spacing w:after="0" w:line="85" w:lineRule="exact"/>
        <w:rPr>
          <w:rFonts w:ascii="Arial" w:cs="Arial" w:eastAsia="Arial" w:hAnsi="Arial"/>
          <w:sz w:val="19"/>
          <w:szCs w:val="19"/>
          <w:color w:val="auto"/>
        </w:rPr>
      </w:pPr>
    </w:p>
    <w:p>
      <w:pPr>
        <w:ind w:left="980" w:right="200" w:hanging="491"/>
        <w:spacing w:after="0" w:line="281" w:lineRule="auto"/>
        <w:tabs>
          <w:tab w:leader="none" w:pos="980" w:val="left"/>
        </w:tabs>
        <w:numPr>
          <w:ilvl w:val="0"/>
          <w:numId w:val="83"/>
        </w:numPr>
        <w:rPr>
          <w:rFonts w:ascii="Arial" w:cs="Arial" w:eastAsia="Arial" w:hAnsi="Arial"/>
          <w:sz w:val="19"/>
          <w:szCs w:val="19"/>
          <w:color w:val="auto"/>
        </w:rPr>
      </w:pPr>
      <w:r>
        <w:rPr>
          <w:rFonts w:ascii="Arial" w:cs="Arial" w:eastAsia="Arial" w:hAnsi="Arial"/>
          <w:sz w:val="19"/>
          <w:szCs w:val="19"/>
          <w:color w:val="auto"/>
        </w:rPr>
        <w:t>provide reasonable assurance regarding prevention or timely detection of unauthorized acquisition, use or disposition of our assets that could have a material effect on the financial statements.</w:t>
      </w:r>
    </w:p>
    <w:p>
      <w:pPr>
        <w:spacing w:after="0" w:line="45" w:lineRule="exact"/>
        <w:rPr>
          <w:sz w:val="20"/>
          <w:szCs w:val="20"/>
          <w:color w:val="auto"/>
        </w:rPr>
      </w:pPr>
    </w:p>
    <w:p>
      <w:pPr>
        <w:ind w:right="220"/>
        <w:spacing w:after="0" w:line="253" w:lineRule="auto"/>
        <w:rPr>
          <w:sz w:val="20"/>
          <w:szCs w:val="20"/>
          <w:color w:val="auto"/>
        </w:rPr>
      </w:pPr>
      <w:r>
        <w:rPr>
          <w:rFonts w:ascii="Arial" w:cs="Arial" w:eastAsia="Arial" w:hAnsi="Arial"/>
          <w:sz w:val="19"/>
          <w:szCs w:val="19"/>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the degree of compliance with the policies or procedures may deteriorate. Under the supervision of and with the participation of our principal executive officer and principal financial</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114</w:t>
      </w:r>
    </w:p>
    <w:p>
      <w:pPr>
        <w:sectPr>
          <w:pgSz w:w="12240" w:h="15840" w:orient="portrait"/>
          <w:cols w:equalWidth="0" w:num="1">
            <w:col w:w="10060"/>
          </w:cols>
          <w:pgMar w:left="1080" w:top="1058" w:right="1100" w:bottom="173" w:gutter="0" w:footer="0" w:header="0"/>
        </w:sectPr>
      </w:pPr>
    </w:p>
    <w:bookmarkStart w:id="118" w:name="page119"/>
    <w:bookmarkEnd w:id="118"/>
    <w:p>
      <w:pPr>
        <w:ind w:right="160"/>
        <w:spacing w:after="0" w:line="253" w:lineRule="auto"/>
        <w:rPr>
          <w:sz w:val="20"/>
          <w:szCs w:val="20"/>
          <w:color w:val="auto"/>
        </w:rPr>
      </w:pPr>
      <w:r>
        <w:rPr>
          <w:rFonts w:ascii="Arial" w:cs="Arial" w:eastAsia="Arial" w:hAnsi="Arial"/>
          <w:sz w:val="19"/>
          <w:szCs w:val="19"/>
          <w:color w:val="auto"/>
        </w:rPr>
        <w:t>officer, our management assessed the effectiveness of our internal control over financial reporting as of December 31, 2023 based on the criteria set forth by the Committee of Sponsoring Organizations of the Treadway Commission in Internal Control—Integrated Framework (2013). Based on this assessment, management concluded that our internal control over financial reporting was effective as of December 31, 2023.</w:t>
      </w:r>
    </w:p>
    <w:p>
      <w:pPr>
        <w:spacing w:after="0" w:line="73"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This Annual Report on Form 10-K does not include an attestation report of our independent registered public accounting firm on internal control over financial reporting due to an exemption established by the JOBS Act for “emerging growth companies.”</w:t>
      </w:r>
    </w:p>
    <w:p>
      <w:pPr>
        <w:spacing w:after="0" w:line="6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Changes in Internal Control Over Financial Reporting</w:t>
      </w:r>
    </w:p>
    <w:p>
      <w:pPr>
        <w:spacing w:after="0" w:line="222" w:lineRule="exact"/>
        <w:rPr>
          <w:sz w:val="20"/>
          <w:szCs w:val="20"/>
          <w:color w:val="auto"/>
        </w:rPr>
      </w:pPr>
    </w:p>
    <w:p>
      <w:pPr>
        <w:ind w:right="40"/>
        <w:spacing w:after="0" w:line="260" w:lineRule="auto"/>
        <w:rPr>
          <w:sz w:val="20"/>
          <w:szCs w:val="20"/>
          <w:color w:val="auto"/>
        </w:rPr>
      </w:pPr>
      <w:r>
        <w:rPr>
          <w:rFonts w:ascii="Arial" w:cs="Arial" w:eastAsia="Arial" w:hAnsi="Arial"/>
          <w:sz w:val="19"/>
          <w:szCs w:val="19"/>
          <w:color w:val="auto"/>
        </w:rPr>
        <w:t>There was no change in our internal control over financial reporting (as defined in Rules 13a-15(f) and 15(d)-15(f) under the Exchange Act) that occurred during the three months ended December 31, 2023 that has materially affected, or is reasonably likely to materially affect, our internal control over financial reporting.</w:t>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9B. Other Information.</w:t>
      </w:r>
    </w:p>
    <w:p>
      <w:pPr>
        <w:spacing w:after="0" w:line="164" w:lineRule="exact"/>
        <w:rPr>
          <w:sz w:val="20"/>
          <w:szCs w:val="20"/>
          <w:color w:val="auto"/>
        </w:rPr>
      </w:pPr>
    </w:p>
    <w:p>
      <w:pPr>
        <w:ind w:right="160"/>
        <w:spacing w:after="0" w:line="260" w:lineRule="auto"/>
        <w:rPr>
          <w:sz w:val="20"/>
          <w:szCs w:val="20"/>
          <w:color w:val="auto"/>
        </w:rPr>
      </w:pPr>
      <w:r>
        <w:rPr>
          <w:rFonts w:ascii="Arial" w:cs="Arial" w:eastAsia="Arial" w:hAnsi="Arial"/>
          <w:sz w:val="19"/>
          <w:szCs w:val="19"/>
          <w:color w:val="auto"/>
        </w:rPr>
        <w:t>During the three month period ended December 31, 2023, none of our directors or officers (as defined in Rule 16a-1(f) of the Securities Exchange Act of 1934, as amended) adopted, terminated or modified a Rule 10b5-1 trading arrangement or any “non-Rule 10b5-1 trading agreement” (as defined in Item 408(c) of Regulation S-K).</w:t>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9C. Disclosure Regarding Foreign Jurisdictions that Prevent Inspections.</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115</w:t>
      </w:r>
    </w:p>
    <w:p>
      <w:pPr>
        <w:sectPr>
          <w:pgSz w:w="12240" w:h="15840" w:orient="portrait"/>
          <w:cols w:equalWidth="0" w:num="1">
            <w:col w:w="10080"/>
          </w:cols>
          <w:pgMar w:left="1080" w:top="1062" w:right="1080" w:bottom="173" w:gutter="0" w:footer="0" w:header="0"/>
        </w:sectPr>
      </w:pPr>
    </w:p>
    <w:bookmarkStart w:id="119" w:name="page120"/>
    <w:bookmarkEnd w:id="119"/>
    <w:p>
      <w:pPr>
        <w:ind w:left="4680"/>
        <w:spacing w:after="0"/>
        <w:rPr>
          <w:sz w:val="20"/>
          <w:szCs w:val="20"/>
          <w:color w:val="auto"/>
        </w:rPr>
      </w:pPr>
      <w:r>
        <w:rPr>
          <w:rFonts w:ascii="Arial" w:cs="Arial" w:eastAsia="Arial" w:hAnsi="Arial"/>
          <w:sz w:val="19"/>
          <w:szCs w:val="19"/>
          <w:b w:val="1"/>
          <w:bCs w:val="1"/>
          <w:color w:val="auto"/>
        </w:rPr>
        <w:t>PART III</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10. Directors, Executive Officers and Corporate Governance.</w:t>
      </w:r>
    </w:p>
    <w:p>
      <w:pPr>
        <w:spacing w:after="0" w:line="164"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information required by this Item 10 will be included in our Definitive Proxy Statement to be filed with the Securities and Exchange Commission (SEC) with respect to our 2024 Annual Meeting of Stockholders and is incorporated herein by reference.</w:t>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11. Executive Compensation.</w:t>
      </w:r>
    </w:p>
    <w:p>
      <w:pPr>
        <w:spacing w:after="0" w:line="164" w:lineRule="exact"/>
        <w:rPr>
          <w:sz w:val="20"/>
          <w:szCs w:val="20"/>
          <w:color w:val="auto"/>
        </w:rPr>
      </w:pPr>
    </w:p>
    <w:p>
      <w:pPr>
        <w:ind w:right="60"/>
        <w:spacing w:after="0" w:line="281" w:lineRule="auto"/>
        <w:rPr>
          <w:sz w:val="20"/>
          <w:szCs w:val="20"/>
          <w:color w:val="auto"/>
        </w:rPr>
      </w:pPr>
      <w:r>
        <w:rPr>
          <w:rFonts w:ascii="Arial" w:cs="Arial" w:eastAsia="Arial" w:hAnsi="Arial"/>
          <w:sz w:val="19"/>
          <w:szCs w:val="19"/>
          <w:color w:val="auto"/>
        </w:rPr>
        <w:t>The information required by this Item 11 will be included in our Definitive Proxy Statement to be filed with the SEC with respect to our 2024 Annual Meeting of Stockholders and is incorporated herein by reference.</w:t>
      </w:r>
    </w:p>
    <w:p>
      <w:pPr>
        <w:spacing w:after="0" w:line="8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12. Security Ownership of Certain Beneficial Owners and Management and Related Stockholder Matters.</w:t>
      </w:r>
    </w:p>
    <w:p>
      <w:pPr>
        <w:spacing w:after="0" w:line="164" w:lineRule="exact"/>
        <w:rPr>
          <w:sz w:val="20"/>
          <w:szCs w:val="20"/>
          <w:color w:val="auto"/>
        </w:rPr>
      </w:pPr>
    </w:p>
    <w:p>
      <w:pPr>
        <w:ind w:right="60"/>
        <w:spacing w:after="0" w:line="281" w:lineRule="auto"/>
        <w:rPr>
          <w:sz w:val="20"/>
          <w:szCs w:val="20"/>
          <w:color w:val="auto"/>
        </w:rPr>
      </w:pPr>
      <w:r>
        <w:rPr>
          <w:rFonts w:ascii="Arial" w:cs="Arial" w:eastAsia="Arial" w:hAnsi="Arial"/>
          <w:sz w:val="19"/>
          <w:szCs w:val="19"/>
          <w:color w:val="auto"/>
        </w:rPr>
        <w:t>The information required by this Item 12 will be included in our Definitive Proxy Statement to be filed with the SEC with respect to our 2024 Annual Meeting of Stockholders and is incorporated herein by reference.</w:t>
      </w:r>
    </w:p>
    <w:p>
      <w:pPr>
        <w:spacing w:after="0" w:line="8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13. Certain Relationships and Related Transactions, and Director Independence.</w:t>
      </w:r>
    </w:p>
    <w:p>
      <w:pPr>
        <w:spacing w:after="0" w:line="164" w:lineRule="exact"/>
        <w:rPr>
          <w:sz w:val="20"/>
          <w:szCs w:val="20"/>
          <w:color w:val="auto"/>
        </w:rPr>
      </w:pPr>
    </w:p>
    <w:p>
      <w:pPr>
        <w:ind w:right="60"/>
        <w:spacing w:after="0" w:line="281" w:lineRule="auto"/>
        <w:rPr>
          <w:sz w:val="20"/>
          <w:szCs w:val="20"/>
          <w:color w:val="auto"/>
        </w:rPr>
      </w:pPr>
      <w:r>
        <w:rPr>
          <w:rFonts w:ascii="Arial" w:cs="Arial" w:eastAsia="Arial" w:hAnsi="Arial"/>
          <w:sz w:val="19"/>
          <w:szCs w:val="19"/>
          <w:color w:val="auto"/>
        </w:rPr>
        <w:t>The information required by this Item 13 will be included in our Definitive Proxy Statement to be filed with the SEC with respect to our 2024 Annual Meeting of Stockholders and is incorporated herein by reference.</w:t>
      </w:r>
    </w:p>
    <w:p>
      <w:pPr>
        <w:spacing w:after="0" w:line="8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14. Principal Accountant Fees and Services.</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color w:val="auto"/>
        </w:rPr>
        <w:t>Our independent public accounting firm is KPMG LLP, Boston, Massachusetts, PCAOB Auditor ID 185.</w:t>
      </w:r>
    </w:p>
    <w:p>
      <w:pPr>
        <w:spacing w:after="0" w:line="160" w:lineRule="exact"/>
        <w:rPr>
          <w:sz w:val="20"/>
          <w:szCs w:val="20"/>
          <w:color w:val="auto"/>
        </w:rPr>
      </w:pPr>
    </w:p>
    <w:p>
      <w:pPr>
        <w:ind w:right="60"/>
        <w:spacing w:after="0" w:line="281" w:lineRule="auto"/>
        <w:rPr>
          <w:sz w:val="20"/>
          <w:szCs w:val="20"/>
          <w:color w:val="auto"/>
        </w:rPr>
      </w:pPr>
      <w:r>
        <w:rPr>
          <w:rFonts w:ascii="Arial" w:cs="Arial" w:eastAsia="Arial" w:hAnsi="Arial"/>
          <w:sz w:val="19"/>
          <w:szCs w:val="19"/>
          <w:color w:val="auto"/>
        </w:rPr>
        <w:t>The information required by this Item 14 will be included in our Definitive Proxy Statement to be filed with the SEC with respect to our 2024 Annual Meeting of Stockholders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116</w:t>
      </w:r>
    </w:p>
    <w:p>
      <w:pPr>
        <w:sectPr>
          <w:pgSz w:w="12240" w:h="15840" w:orient="portrait"/>
          <w:cols w:equalWidth="0" w:num="1">
            <w:col w:w="10000"/>
          </w:cols>
          <w:pgMar w:left="1080" w:top="1058" w:right="1160" w:bottom="173" w:gutter="0" w:footer="0" w:header="0"/>
        </w:sectPr>
      </w:pPr>
    </w:p>
    <w:bookmarkStart w:id="120" w:name="page121"/>
    <w:bookmarkEnd w:id="120"/>
    <w:p>
      <w:pPr>
        <w:ind w:left="4700"/>
        <w:spacing w:after="0"/>
        <w:rPr>
          <w:sz w:val="20"/>
          <w:szCs w:val="20"/>
          <w:color w:val="auto"/>
        </w:rPr>
      </w:pPr>
      <w:r>
        <w:rPr>
          <w:rFonts w:ascii="Arial" w:cs="Arial" w:eastAsia="Arial" w:hAnsi="Arial"/>
          <w:sz w:val="19"/>
          <w:szCs w:val="19"/>
          <w:b w:val="1"/>
          <w:bCs w:val="1"/>
          <w:color w:val="auto"/>
        </w:rPr>
        <w:t>PART IV</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15. Exhibits and Financial Statement Schedules.</w:t>
      </w:r>
    </w:p>
    <w:p>
      <w:pPr>
        <w:spacing w:after="0" w:line="164" w:lineRule="exact"/>
        <w:rPr>
          <w:sz w:val="20"/>
          <w:szCs w:val="20"/>
          <w:color w:val="auto"/>
        </w:rPr>
      </w:pPr>
    </w:p>
    <w:p>
      <w:pPr>
        <w:ind w:right="20"/>
        <w:spacing w:after="0" w:line="281" w:lineRule="auto"/>
        <w:rPr>
          <w:sz w:val="20"/>
          <w:szCs w:val="20"/>
          <w:color w:val="auto"/>
        </w:rPr>
      </w:pPr>
      <w:r>
        <w:rPr>
          <w:rFonts w:ascii="Arial" w:cs="Arial" w:eastAsia="Arial" w:hAnsi="Arial"/>
          <w:sz w:val="19"/>
          <w:szCs w:val="19"/>
          <w:color w:val="auto"/>
        </w:rPr>
        <w:t>For a list of the financial statements included herein, see Index to the Consolidated Financial Statements on page F-1 of this Annual Report on Form 10-K, incorporated into this Item by reference.</w:t>
      </w:r>
    </w:p>
    <w:p>
      <w:pPr>
        <w:spacing w:after="0" w:line="85" w:lineRule="exact"/>
        <w:rPr>
          <w:sz w:val="20"/>
          <w:szCs w:val="20"/>
          <w:color w:val="auto"/>
        </w:rPr>
      </w:pPr>
    </w:p>
    <w:p>
      <w:pPr>
        <w:ind w:right="820"/>
        <w:spacing w:after="0" w:line="281" w:lineRule="auto"/>
        <w:rPr>
          <w:sz w:val="20"/>
          <w:szCs w:val="20"/>
          <w:color w:val="auto"/>
        </w:rPr>
      </w:pPr>
      <w:r>
        <w:rPr>
          <w:rFonts w:ascii="Arial" w:cs="Arial" w:eastAsia="Arial" w:hAnsi="Arial"/>
          <w:sz w:val="19"/>
          <w:szCs w:val="19"/>
          <w:color w:val="auto"/>
        </w:rPr>
        <w:t>Financial statement schedules have been omitted because they are either not required or not applicable or the information is included in the consolidated financial statements or the notes thereto.</w:t>
      </w:r>
    </w:p>
    <w:p>
      <w:pPr>
        <w:spacing w:after="0" w:line="8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Exhibits:</w:t>
      </w: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20" w:type="dxa"/>
            <w:vAlign w:val="bottom"/>
            <w:gridSpan w:val="2"/>
          </w:tcPr>
          <w:p>
            <w:pPr>
              <w:ind w:left="280"/>
              <w:spacing w:after="0"/>
              <w:rPr>
                <w:sz w:val="20"/>
                <w:szCs w:val="20"/>
                <w:color w:val="auto"/>
              </w:rPr>
            </w:pPr>
            <w:r>
              <w:rPr>
                <w:rFonts w:ascii="Arial" w:cs="Arial" w:eastAsia="Arial" w:hAnsi="Arial"/>
                <w:sz w:val="16"/>
                <w:szCs w:val="16"/>
                <w:b w:val="1"/>
                <w:bCs w:val="1"/>
                <w:color w:val="auto"/>
              </w:rPr>
              <w:t>Exhibit</w:t>
            </w: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20" w:type="dxa"/>
            <w:vAlign w:val="bottom"/>
            <w:gridSpan w:val="2"/>
          </w:tcPr>
          <w:p>
            <w:pPr>
              <w:ind w:left="260"/>
              <w:spacing w:after="0"/>
              <w:rPr>
                <w:sz w:val="20"/>
                <w:szCs w:val="20"/>
                <w:color w:val="auto"/>
              </w:rPr>
            </w:pPr>
            <w:r>
              <w:rPr>
                <w:rFonts w:ascii="Arial" w:cs="Arial" w:eastAsia="Arial" w:hAnsi="Arial"/>
                <w:sz w:val="16"/>
                <w:szCs w:val="16"/>
                <w:b w:val="1"/>
                <w:bCs w:val="1"/>
                <w:color w:val="auto"/>
              </w:rPr>
              <w:t>Number</w:t>
            </w: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0" w:type="dxa"/>
            <w:vAlign w:val="bottom"/>
            <w:gridSpan w:val="29"/>
          </w:tcPr>
          <w:p>
            <w:pPr>
              <w:ind w:left="18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93"/>
        </w:trPr>
        <w:tc>
          <w:tcPr>
            <w:tcW w:w="1120" w:type="dxa"/>
            <w:vAlign w:val="bottom"/>
            <w:tcBorders>
              <w:top w:val="single" w:sz="8" w:color="auto"/>
            </w:tcBorders>
          </w:tcPr>
          <w:p>
            <w:pPr>
              <w:spacing w:after="0" w:line="193" w:lineRule="exact"/>
              <w:rPr>
                <w:sz w:val="20"/>
                <w:szCs w:val="20"/>
                <w:color w:val="auto"/>
              </w:rPr>
            </w:pPr>
            <w:r>
              <w:rPr>
                <w:rFonts w:ascii="Arial" w:cs="Arial" w:eastAsia="Arial" w:hAnsi="Arial"/>
                <w:sz w:val="19"/>
                <w:szCs w:val="19"/>
                <w:color w:val="auto"/>
              </w:rPr>
              <w:t>3.1</w:t>
            </w:r>
          </w:p>
        </w:tc>
        <w:tc>
          <w:tcPr>
            <w:tcW w:w="200" w:type="dxa"/>
            <w:vAlign w:val="bottom"/>
          </w:tcPr>
          <w:p>
            <w:pPr>
              <w:spacing w:after="0"/>
              <w:rPr>
                <w:sz w:val="16"/>
                <w:szCs w:val="16"/>
                <w:color w:val="auto"/>
              </w:rPr>
            </w:pPr>
          </w:p>
        </w:tc>
        <w:tc>
          <w:tcPr>
            <w:tcW w:w="8760" w:type="dxa"/>
            <w:vAlign w:val="bottom"/>
            <w:tcBorders>
              <w:top w:val="single" w:sz="8" w:color="auto"/>
            </w:tcBorders>
            <w:gridSpan w:val="35"/>
          </w:tcPr>
          <w:p>
            <w:pPr>
              <w:spacing w:after="0" w:line="193" w:lineRule="exact"/>
              <w:rPr>
                <w:sz w:val="20"/>
                <w:szCs w:val="20"/>
                <w:color w:val="auto"/>
              </w:rPr>
            </w:pPr>
            <w:r>
              <w:rPr>
                <w:rFonts w:ascii="Arial" w:cs="Arial" w:eastAsia="Arial" w:hAnsi="Arial"/>
                <w:sz w:val="19"/>
                <w:szCs w:val="19"/>
                <w:color w:val="0000FF"/>
              </w:rPr>
              <w:t>Amended and Restated Certificate of Incorporation of Candel Therapeutics, Inc. (incorporated by</w:t>
            </w:r>
          </w:p>
        </w:tc>
        <w:tc>
          <w:tcPr>
            <w:tcW w:w="0" w:type="dxa"/>
            <w:vAlign w:val="bottom"/>
          </w:tcPr>
          <w:p>
            <w:pPr>
              <w:spacing w:after="0"/>
              <w:rPr>
                <w:sz w:val="1"/>
                <w:szCs w:val="1"/>
                <w:color w:val="auto"/>
              </w:rPr>
            </w:pPr>
          </w:p>
        </w:tc>
      </w:tr>
      <w:tr>
        <w:trPr>
          <w:trHeight w:val="198"/>
        </w:trPr>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160" w:type="dxa"/>
            <w:vAlign w:val="bottom"/>
            <w:tcBorders>
              <w:top w:val="single" w:sz="8" w:color="0000FF"/>
              <w:bottom w:val="single" w:sz="8" w:color="0000FF"/>
            </w:tcBorders>
            <w:gridSpan w:val="17"/>
          </w:tcPr>
          <w:p>
            <w:pPr>
              <w:spacing w:after="0" w:line="199" w:lineRule="exact"/>
              <w:rPr>
                <w:sz w:val="20"/>
                <w:szCs w:val="20"/>
                <w:color w:val="auto"/>
              </w:rPr>
            </w:pPr>
            <w:r>
              <w:rPr>
                <w:rFonts w:ascii="Arial" w:cs="Arial" w:eastAsia="Arial" w:hAnsi="Arial"/>
                <w:sz w:val="19"/>
                <w:szCs w:val="19"/>
                <w:color w:val="0000FF"/>
                <w:w w:val="99"/>
              </w:rPr>
              <w:t>reference to Exhibit 3.1 to the Registrant’s Current Report on Form 8-K filed with the SEC on July</w:t>
            </w:r>
          </w:p>
        </w:tc>
        <w:tc>
          <w:tcPr>
            <w:tcW w:w="340" w:type="dxa"/>
            <w:vAlign w:val="bottom"/>
            <w:tcBorders>
              <w:bottom w:val="single" w:sz="8" w:color="0000FF"/>
            </w:tcBorders>
            <w:gridSpan w:val="6"/>
          </w:tcPr>
          <w:p>
            <w:pPr>
              <w:jc w:val="right"/>
              <w:ind w:right="20"/>
              <w:spacing w:after="0" w:line="199" w:lineRule="exact"/>
              <w:rPr>
                <w:sz w:val="20"/>
                <w:szCs w:val="20"/>
                <w:color w:val="auto"/>
              </w:rPr>
            </w:pPr>
            <w:r>
              <w:rPr>
                <w:rFonts w:ascii="Arial" w:cs="Arial" w:eastAsia="Arial" w:hAnsi="Arial"/>
                <w:sz w:val="19"/>
                <w:szCs w:val="19"/>
                <w:color w:val="0000FF"/>
              </w:rPr>
              <w:t>30,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20" w:type="dxa"/>
            <w:vAlign w:val="bottom"/>
            <w:vMerge w:val="restart"/>
          </w:tcPr>
          <w:p>
            <w:pPr>
              <w:spacing w:after="0"/>
              <w:rPr>
                <w:sz w:val="20"/>
                <w:szCs w:val="20"/>
                <w:color w:val="auto"/>
              </w:rPr>
            </w:pPr>
            <w:r>
              <w:rPr>
                <w:rFonts w:ascii="Arial" w:cs="Arial" w:eastAsia="Arial" w:hAnsi="Arial"/>
                <w:sz w:val="19"/>
                <w:szCs w:val="19"/>
                <w:color w:val="auto"/>
              </w:rPr>
              <w:t>3.2</w:t>
            </w:r>
          </w:p>
        </w:tc>
        <w:tc>
          <w:tcPr>
            <w:tcW w:w="200" w:type="dxa"/>
            <w:vAlign w:val="bottom"/>
          </w:tcPr>
          <w:p>
            <w:pPr>
              <w:spacing w:after="0"/>
              <w:rPr>
                <w:sz w:val="17"/>
                <w:szCs w:val="17"/>
                <w:color w:val="auto"/>
              </w:rPr>
            </w:pPr>
          </w:p>
        </w:tc>
        <w:tc>
          <w:tcPr>
            <w:tcW w:w="500" w:type="dxa"/>
            <w:vAlign w:val="bottom"/>
            <w:tcBorders>
              <w:bottom w:val="single" w:sz="8" w:color="0000FF"/>
            </w:tcBorders>
          </w:tcPr>
          <w:p>
            <w:pPr>
              <w:spacing w:after="0" w:line="199" w:lineRule="exact"/>
              <w:rPr>
                <w:sz w:val="20"/>
                <w:szCs w:val="20"/>
                <w:color w:val="auto"/>
              </w:rPr>
            </w:pPr>
            <w:r>
              <w:rPr>
                <w:rFonts w:ascii="Arial" w:cs="Arial" w:eastAsia="Arial" w:hAnsi="Arial"/>
                <w:sz w:val="19"/>
                <w:szCs w:val="19"/>
                <w:color w:val="0000FF"/>
                <w:w w:val="98"/>
              </w:rPr>
              <w:t>2021)</w:t>
            </w: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1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760" w:type="dxa"/>
            <w:vAlign w:val="bottom"/>
            <w:tcBorders>
              <w:bottom w:val="single" w:sz="8" w:color="0000FF"/>
            </w:tcBorders>
            <w:gridSpan w:val="35"/>
          </w:tcPr>
          <w:p>
            <w:pPr>
              <w:spacing w:after="0" w:line="214" w:lineRule="exact"/>
              <w:rPr>
                <w:sz w:val="20"/>
                <w:szCs w:val="20"/>
                <w:color w:val="auto"/>
              </w:rPr>
            </w:pPr>
            <w:r>
              <w:rPr>
                <w:rFonts w:ascii="Arial" w:cs="Arial" w:eastAsia="Arial" w:hAnsi="Arial"/>
                <w:sz w:val="19"/>
                <w:szCs w:val="19"/>
                <w:color w:val="0000FF"/>
              </w:rPr>
              <w:t>Amended and Restated Bylaws of Candel Therapeutics, Inc. (incorporated by reference to Exhibit 3.2 to</w:t>
            </w:r>
          </w:p>
        </w:tc>
        <w:tc>
          <w:tcPr>
            <w:tcW w:w="0" w:type="dxa"/>
            <w:vAlign w:val="bottom"/>
          </w:tcPr>
          <w:p>
            <w:pPr>
              <w:spacing w:after="0"/>
              <w:rPr>
                <w:sz w:val="1"/>
                <w:szCs w:val="1"/>
                <w:color w:val="auto"/>
              </w:rPr>
            </w:pPr>
          </w:p>
        </w:tc>
      </w:tr>
      <w:tr>
        <w:trPr>
          <w:trHeight w:val="198"/>
        </w:trPr>
        <w:tc>
          <w:tcPr>
            <w:tcW w:w="1120" w:type="dxa"/>
            <w:vAlign w:val="bottom"/>
            <w:vMerge w:val="restart"/>
          </w:tcPr>
          <w:p>
            <w:pPr>
              <w:spacing w:after="0"/>
              <w:rPr>
                <w:sz w:val="20"/>
                <w:szCs w:val="20"/>
                <w:color w:val="auto"/>
              </w:rPr>
            </w:pPr>
            <w:r>
              <w:rPr>
                <w:rFonts w:ascii="Arial" w:cs="Arial" w:eastAsia="Arial" w:hAnsi="Arial"/>
                <w:sz w:val="19"/>
                <w:szCs w:val="19"/>
                <w:color w:val="auto"/>
              </w:rPr>
              <w:t>4.1</w:t>
            </w:r>
          </w:p>
        </w:tc>
        <w:tc>
          <w:tcPr>
            <w:tcW w:w="200" w:type="dxa"/>
            <w:vAlign w:val="bottom"/>
          </w:tcPr>
          <w:p>
            <w:pPr>
              <w:spacing w:after="0"/>
              <w:rPr>
                <w:sz w:val="17"/>
                <w:szCs w:val="17"/>
                <w:color w:val="auto"/>
              </w:rPr>
            </w:pPr>
          </w:p>
        </w:tc>
        <w:tc>
          <w:tcPr>
            <w:tcW w:w="8760" w:type="dxa"/>
            <w:vAlign w:val="bottom"/>
            <w:gridSpan w:val="35"/>
          </w:tcPr>
          <w:p>
            <w:pPr>
              <w:spacing w:after="0" w:line="199" w:lineRule="exact"/>
              <w:rPr>
                <w:sz w:val="20"/>
                <w:szCs w:val="20"/>
                <w:color w:val="auto"/>
              </w:rPr>
            </w:pPr>
            <w:r>
              <w:rPr>
                <w:rFonts w:ascii="Arial" w:cs="Arial" w:eastAsia="Arial" w:hAnsi="Arial"/>
                <w:sz w:val="19"/>
                <w:szCs w:val="19"/>
                <w:color w:val="0000FF"/>
              </w:rPr>
              <w:t>the Registrant’s Current Report on Form 8-K filed with the SEC on July 30, 2021)</w:t>
            </w:r>
          </w:p>
        </w:tc>
        <w:tc>
          <w:tcPr>
            <w:tcW w:w="0" w:type="dxa"/>
            <w:vAlign w:val="bottom"/>
          </w:tcPr>
          <w:p>
            <w:pPr>
              <w:spacing w:after="0"/>
              <w:rPr>
                <w:sz w:val="1"/>
                <w:szCs w:val="1"/>
                <w:color w:val="auto"/>
              </w:rPr>
            </w:pPr>
          </w:p>
        </w:tc>
      </w:tr>
      <w:tr>
        <w:trPr>
          <w:trHeight w:val="20"/>
        </w:trPr>
        <w:tc>
          <w:tcPr>
            <w:tcW w:w="112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1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760" w:type="dxa"/>
            <w:vAlign w:val="bottom"/>
            <w:gridSpan w:val="35"/>
          </w:tcPr>
          <w:p>
            <w:pPr>
              <w:spacing w:after="0" w:line="214" w:lineRule="exact"/>
              <w:rPr>
                <w:sz w:val="20"/>
                <w:szCs w:val="20"/>
                <w:color w:val="auto"/>
              </w:rPr>
            </w:pPr>
            <w:r>
              <w:rPr>
                <w:rFonts w:ascii="Arial" w:cs="Arial" w:eastAsia="Arial" w:hAnsi="Arial"/>
                <w:sz w:val="19"/>
                <w:szCs w:val="19"/>
                <w:color w:val="0000FF"/>
              </w:rPr>
              <w:t>Specimen Common Stock Certificate (incorporated by reference to Exhibit 4.1 to the Registrant’s</w:t>
            </w:r>
          </w:p>
        </w:tc>
        <w:tc>
          <w:tcPr>
            <w:tcW w:w="0" w:type="dxa"/>
            <w:vAlign w:val="bottom"/>
          </w:tcPr>
          <w:p>
            <w:pPr>
              <w:spacing w:after="0"/>
              <w:rPr>
                <w:sz w:val="1"/>
                <w:szCs w:val="1"/>
                <w:color w:val="auto"/>
              </w:rPr>
            </w:pPr>
          </w:p>
        </w:tc>
      </w:tr>
      <w:tr>
        <w:trPr>
          <w:trHeight w:val="198"/>
        </w:trPr>
        <w:tc>
          <w:tcPr>
            <w:tcW w:w="1120" w:type="dxa"/>
            <w:vAlign w:val="bottom"/>
            <w:vMerge w:val="restart"/>
          </w:tcPr>
          <w:p>
            <w:pPr>
              <w:spacing w:after="0"/>
              <w:rPr>
                <w:sz w:val="20"/>
                <w:szCs w:val="20"/>
                <w:color w:val="auto"/>
              </w:rPr>
            </w:pPr>
            <w:r>
              <w:rPr>
                <w:rFonts w:ascii="Arial" w:cs="Arial" w:eastAsia="Arial" w:hAnsi="Arial"/>
                <w:sz w:val="19"/>
                <w:szCs w:val="19"/>
                <w:color w:val="auto"/>
              </w:rPr>
              <w:t>4.2</w:t>
            </w:r>
          </w:p>
        </w:tc>
        <w:tc>
          <w:tcPr>
            <w:tcW w:w="200" w:type="dxa"/>
            <w:vAlign w:val="bottom"/>
          </w:tcPr>
          <w:p>
            <w:pPr>
              <w:spacing w:after="0"/>
              <w:rPr>
                <w:sz w:val="17"/>
                <w:szCs w:val="17"/>
                <w:color w:val="auto"/>
              </w:rPr>
            </w:pPr>
          </w:p>
        </w:tc>
        <w:tc>
          <w:tcPr>
            <w:tcW w:w="8140" w:type="dxa"/>
            <w:vAlign w:val="bottom"/>
            <w:tcBorders>
              <w:top w:val="single" w:sz="8" w:color="0000FF"/>
              <w:bottom w:val="single" w:sz="8" w:color="0000FF"/>
            </w:tcBorders>
            <w:gridSpan w:val="16"/>
          </w:tcPr>
          <w:p>
            <w:pPr>
              <w:spacing w:after="0" w:line="199" w:lineRule="exact"/>
              <w:rPr>
                <w:sz w:val="20"/>
                <w:szCs w:val="20"/>
                <w:color w:val="auto"/>
              </w:rPr>
            </w:pPr>
            <w:r>
              <w:rPr>
                <w:rFonts w:ascii="Arial" w:cs="Arial" w:eastAsia="Arial" w:hAnsi="Arial"/>
                <w:sz w:val="19"/>
                <w:szCs w:val="19"/>
                <w:color w:val="0000FF"/>
                <w:w w:val="98"/>
              </w:rPr>
              <w:t>Registration Statement on Form S-1/A (File No. 333- 257444) filed with the SEC on July 16, 2021)</w:t>
            </w:r>
          </w:p>
        </w:tc>
        <w:tc>
          <w:tcPr>
            <w:tcW w:w="40" w:type="dxa"/>
            <w:vAlign w:val="bottom"/>
            <w:tcBorders>
              <w:bottom w:val="single" w:sz="8" w:color="0000FF"/>
            </w:tcBorders>
            <w:gridSpan w:val="2"/>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1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760" w:type="dxa"/>
            <w:vAlign w:val="bottom"/>
            <w:gridSpan w:val="35"/>
          </w:tcPr>
          <w:p>
            <w:pPr>
              <w:spacing w:after="0" w:line="214" w:lineRule="exact"/>
              <w:rPr>
                <w:sz w:val="20"/>
                <w:szCs w:val="20"/>
                <w:color w:val="auto"/>
              </w:rPr>
            </w:pPr>
            <w:r>
              <w:rPr>
                <w:rFonts w:ascii="Arial" w:cs="Arial" w:eastAsia="Arial" w:hAnsi="Arial"/>
                <w:sz w:val="19"/>
                <w:szCs w:val="19"/>
                <w:color w:val="0000FF"/>
              </w:rPr>
              <w:t>Description of Securities (incorporated by reference to Exhibit 4.2 to the Registrant's Annual Report on</w:t>
            </w:r>
          </w:p>
        </w:tc>
        <w:tc>
          <w:tcPr>
            <w:tcW w:w="0" w:type="dxa"/>
            <w:vAlign w:val="bottom"/>
          </w:tcPr>
          <w:p>
            <w:pPr>
              <w:spacing w:after="0"/>
              <w:rPr>
                <w:sz w:val="1"/>
                <w:szCs w:val="1"/>
                <w:color w:val="auto"/>
              </w:rPr>
            </w:pPr>
          </w:p>
        </w:tc>
      </w:tr>
      <w:tr>
        <w:trPr>
          <w:trHeight w:val="198"/>
        </w:trPr>
        <w:tc>
          <w:tcPr>
            <w:tcW w:w="1120" w:type="dxa"/>
            <w:vAlign w:val="bottom"/>
            <w:vMerge w:val="restart"/>
          </w:tcPr>
          <w:p>
            <w:pPr>
              <w:spacing w:after="0"/>
              <w:rPr>
                <w:sz w:val="20"/>
                <w:szCs w:val="20"/>
                <w:color w:val="auto"/>
              </w:rPr>
            </w:pPr>
            <w:r>
              <w:rPr>
                <w:rFonts w:ascii="Arial" w:cs="Arial" w:eastAsia="Arial" w:hAnsi="Arial"/>
                <w:sz w:val="19"/>
                <w:szCs w:val="19"/>
                <w:color w:val="auto"/>
              </w:rPr>
              <w:t>4.3</w:t>
            </w:r>
          </w:p>
        </w:tc>
        <w:tc>
          <w:tcPr>
            <w:tcW w:w="200" w:type="dxa"/>
            <w:vAlign w:val="bottom"/>
          </w:tcPr>
          <w:p>
            <w:pPr>
              <w:spacing w:after="0"/>
              <w:rPr>
                <w:sz w:val="17"/>
                <w:szCs w:val="17"/>
                <w:color w:val="auto"/>
              </w:rPr>
            </w:pPr>
          </w:p>
        </w:tc>
        <w:tc>
          <w:tcPr>
            <w:tcW w:w="4160" w:type="dxa"/>
            <w:vAlign w:val="bottom"/>
            <w:tcBorders>
              <w:top w:val="single" w:sz="8" w:color="0000FF"/>
              <w:bottom w:val="single" w:sz="8" w:color="0000FF"/>
            </w:tcBorders>
            <w:gridSpan w:val="7"/>
          </w:tcPr>
          <w:p>
            <w:pPr>
              <w:spacing w:after="0" w:line="199" w:lineRule="exact"/>
              <w:rPr>
                <w:sz w:val="20"/>
                <w:szCs w:val="20"/>
                <w:color w:val="auto"/>
              </w:rPr>
            </w:pPr>
            <w:r>
              <w:rPr>
                <w:rFonts w:ascii="Arial" w:cs="Arial" w:eastAsia="Arial" w:hAnsi="Arial"/>
                <w:sz w:val="19"/>
                <w:szCs w:val="19"/>
                <w:color w:val="0000FF"/>
                <w:w w:val="99"/>
              </w:rPr>
              <w:t>Form 10-K filed with the SEC on March 29, 2022)</w:t>
            </w:r>
          </w:p>
        </w:tc>
        <w:tc>
          <w:tcPr>
            <w:tcW w:w="4440" w:type="dxa"/>
            <w:vAlign w:val="bottom"/>
            <w:tcBorders>
              <w:top w:val="single" w:sz="8" w:color="0000FF"/>
            </w:tcBorders>
            <w:gridSpan w:val="20"/>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1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760" w:type="dxa"/>
            <w:vAlign w:val="bottom"/>
            <w:gridSpan w:val="35"/>
          </w:tcPr>
          <w:p>
            <w:pPr>
              <w:spacing w:after="0" w:line="214" w:lineRule="exact"/>
              <w:rPr>
                <w:sz w:val="20"/>
                <w:szCs w:val="20"/>
                <w:color w:val="auto"/>
              </w:rPr>
            </w:pPr>
            <w:r>
              <w:rPr>
                <w:rFonts w:ascii="Arial" w:cs="Arial" w:eastAsia="Arial" w:hAnsi="Arial"/>
                <w:sz w:val="19"/>
                <w:szCs w:val="19"/>
                <w:color w:val="0000FF"/>
              </w:rPr>
              <w:t>Investors’ Rights Agreement (incorporated by reference to Exhibit 4.2 to the Registrant’s Registration</w:t>
            </w:r>
          </w:p>
        </w:tc>
        <w:tc>
          <w:tcPr>
            <w:tcW w:w="0" w:type="dxa"/>
            <w:vAlign w:val="bottom"/>
          </w:tcPr>
          <w:p>
            <w:pPr>
              <w:spacing w:after="0"/>
              <w:rPr>
                <w:sz w:val="1"/>
                <w:szCs w:val="1"/>
                <w:color w:val="auto"/>
              </w:rPr>
            </w:pPr>
          </w:p>
        </w:tc>
      </w:tr>
      <w:tr>
        <w:trPr>
          <w:trHeight w:val="198"/>
        </w:trPr>
        <w:tc>
          <w:tcPr>
            <w:tcW w:w="1120" w:type="dxa"/>
            <w:vAlign w:val="bottom"/>
            <w:vMerge w:val="restart"/>
          </w:tcPr>
          <w:p>
            <w:pPr>
              <w:spacing w:after="0"/>
              <w:rPr>
                <w:sz w:val="20"/>
                <w:szCs w:val="20"/>
                <w:color w:val="auto"/>
              </w:rPr>
            </w:pPr>
            <w:r>
              <w:rPr>
                <w:rFonts w:ascii="Arial" w:cs="Arial" w:eastAsia="Arial" w:hAnsi="Arial"/>
                <w:sz w:val="19"/>
                <w:szCs w:val="19"/>
                <w:color w:val="auto"/>
              </w:rPr>
              <w:t>4.4</w:t>
            </w:r>
          </w:p>
        </w:tc>
        <w:tc>
          <w:tcPr>
            <w:tcW w:w="200" w:type="dxa"/>
            <w:vAlign w:val="bottom"/>
          </w:tcPr>
          <w:p>
            <w:pPr>
              <w:spacing w:after="0"/>
              <w:rPr>
                <w:sz w:val="17"/>
                <w:szCs w:val="17"/>
                <w:color w:val="auto"/>
              </w:rPr>
            </w:pPr>
          </w:p>
        </w:tc>
        <w:tc>
          <w:tcPr>
            <w:tcW w:w="8480" w:type="dxa"/>
            <w:vAlign w:val="bottom"/>
            <w:tcBorders>
              <w:top w:val="single" w:sz="8" w:color="0000FF"/>
            </w:tcBorders>
            <w:gridSpan w:val="22"/>
          </w:tcPr>
          <w:p>
            <w:pPr>
              <w:spacing w:after="0" w:line="199" w:lineRule="exact"/>
              <w:rPr>
                <w:sz w:val="20"/>
                <w:szCs w:val="20"/>
                <w:color w:val="auto"/>
              </w:rPr>
            </w:pPr>
            <w:r>
              <w:rPr>
                <w:rFonts w:ascii="Arial" w:cs="Arial" w:eastAsia="Arial" w:hAnsi="Arial"/>
                <w:sz w:val="19"/>
                <w:szCs w:val="19"/>
                <w:color w:val="0000FF"/>
              </w:rPr>
              <w:t>Statement on Form S-1/A (File No. 333- 257444) filed with the SEC on June 25, 2021)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1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760" w:type="dxa"/>
            <w:vAlign w:val="bottom"/>
            <w:gridSpan w:val="35"/>
          </w:tcPr>
          <w:p>
            <w:pPr>
              <w:spacing w:after="0" w:line="214" w:lineRule="exact"/>
              <w:rPr>
                <w:sz w:val="20"/>
                <w:szCs w:val="20"/>
                <w:color w:val="auto"/>
              </w:rPr>
            </w:pPr>
            <w:r>
              <w:rPr>
                <w:rFonts w:ascii="Arial" w:cs="Arial" w:eastAsia="Arial" w:hAnsi="Arial"/>
                <w:sz w:val="19"/>
                <w:szCs w:val="19"/>
                <w:color w:val="0000FF"/>
              </w:rPr>
              <w:t>Form of November 2018 Unconditional Warrant to Purchase Common Stock (incorporated by reference</w:t>
            </w:r>
          </w:p>
        </w:tc>
        <w:tc>
          <w:tcPr>
            <w:tcW w:w="0" w:type="dxa"/>
            <w:vAlign w:val="bottom"/>
          </w:tcPr>
          <w:p>
            <w:pPr>
              <w:spacing w:after="0"/>
              <w:rPr>
                <w:sz w:val="1"/>
                <w:szCs w:val="1"/>
                <w:color w:val="auto"/>
              </w:rPr>
            </w:pPr>
          </w:p>
        </w:tc>
      </w:tr>
      <w:tr>
        <w:trPr>
          <w:trHeight w:val="198"/>
        </w:trPr>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00" w:type="dxa"/>
            <w:vAlign w:val="bottom"/>
            <w:tcBorders>
              <w:top w:val="single" w:sz="8" w:color="0000FF"/>
              <w:bottom w:val="single" w:sz="8" w:color="0000FF"/>
            </w:tcBorders>
            <w:gridSpan w:val="31"/>
          </w:tcPr>
          <w:p>
            <w:pPr>
              <w:spacing w:after="0" w:line="199" w:lineRule="exact"/>
              <w:rPr>
                <w:sz w:val="20"/>
                <w:szCs w:val="20"/>
                <w:color w:val="auto"/>
              </w:rPr>
            </w:pPr>
            <w:r>
              <w:rPr>
                <w:rFonts w:ascii="Arial" w:cs="Arial" w:eastAsia="Arial" w:hAnsi="Arial"/>
                <w:sz w:val="19"/>
                <w:szCs w:val="19"/>
                <w:color w:val="0000FF"/>
                <w:w w:val="99"/>
              </w:rPr>
              <w:t>to Exhibit 4.3 to the Registrant’s Registration Statement on Form S-1/A (File No. 333- 257444) filed with</w:t>
            </w:r>
          </w:p>
        </w:tc>
        <w:tc>
          <w:tcPr>
            <w:tcW w:w="20" w:type="dxa"/>
            <w:vAlign w:val="bottom"/>
            <w:tcBorders>
              <w:bottom w:val="single" w:sz="8" w:color="0000FF"/>
            </w:tcBorders>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20" w:type="dxa"/>
            <w:vAlign w:val="bottom"/>
            <w:vMerge w:val="restart"/>
          </w:tcPr>
          <w:p>
            <w:pPr>
              <w:spacing w:after="0"/>
              <w:rPr>
                <w:sz w:val="20"/>
                <w:szCs w:val="20"/>
                <w:color w:val="auto"/>
              </w:rPr>
            </w:pPr>
            <w:r>
              <w:rPr>
                <w:rFonts w:ascii="Arial" w:cs="Arial" w:eastAsia="Arial" w:hAnsi="Arial"/>
                <w:sz w:val="19"/>
                <w:szCs w:val="19"/>
                <w:color w:val="auto"/>
              </w:rPr>
              <w:t>4.5</w:t>
            </w:r>
          </w:p>
        </w:tc>
        <w:tc>
          <w:tcPr>
            <w:tcW w:w="200" w:type="dxa"/>
            <w:vAlign w:val="bottom"/>
          </w:tcPr>
          <w:p>
            <w:pPr>
              <w:spacing w:after="0"/>
              <w:rPr>
                <w:sz w:val="17"/>
                <w:szCs w:val="17"/>
                <w:color w:val="auto"/>
              </w:rPr>
            </w:pPr>
          </w:p>
        </w:tc>
        <w:tc>
          <w:tcPr>
            <w:tcW w:w="8740" w:type="dxa"/>
            <w:vAlign w:val="bottom"/>
            <w:gridSpan w:val="33"/>
          </w:tcPr>
          <w:p>
            <w:pPr>
              <w:spacing w:after="0" w:line="199" w:lineRule="exact"/>
              <w:rPr>
                <w:sz w:val="20"/>
                <w:szCs w:val="20"/>
                <w:color w:val="auto"/>
              </w:rPr>
            </w:pPr>
            <w:r>
              <w:rPr>
                <w:rFonts w:ascii="Arial" w:cs="Arial" w:eastAsia="Arial" w:hAnsi="Arial"/>
                <w:sz w:val="19"/>
                <w:szCs w:val="19"/>
                <w:color w:val="0000FF"/>
              </w:rPr>
              <w:t>the SEC on July 16, 2021)</w:t>
            </w: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1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760" w:type="dxa"/>
            <w:vAlign w:val="bottom"/>
            <w:gridSpan w:val="35"/>
          </w:tcPr>
          <w:p>
            <w:pPr>
              <w:spacing w:after="0" w:line="214" w:lineRule="exact"/>
              <w:rPr>
                <w:sz w:val="20"/>
                <w:szCs w:val="20"/>
                <w:color w:val="auto"/>
              </w:rPr>
            </w:pPr>
            <w:r>
              <w:rPr>
                <w:rFonts w:ascii="Arial" w:cs="Arial" w:eastAsia="Arial" w:hAnsi="Arial"/>
                <w:sz w:val="19"/>
                <w:szCs w:val="19"/>
                <w:color w:val="0000FF"/>
              </w:rPr>
              <w:t>Form of November 2018 Conditional Warrant to Purchase Common Stock (incorporated by reference to</w:t>
            </w:r>
          </w:p>
        </w:tc>
        <w:tc>
          <w:tcPr>
            <w:tcW w:w="0" w:type="dxa"/>
            <w:vAlign w:val="bottom"/>
          </w:tcPr>
          <w:p>
            <w:pPr>
              <w:spacing w:after="0"/>
              <w:rPr>
                <w:sz w:val="1"/>
                <w:szCs w:val="1"/>
                <w:color w:val="auto"/>
              </w:rPr>
            </w:pPr>
          </w:p>
        </w:tc>
      </w:tr>
      <w:tr>
        <w:trPr>
          <w:trHeight w:val="198"/>
        </w:trPr>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tcBorders>
              <w:top w:val="single" w:sz="8" w:color="0000FF"/>
            </w:tcBorders>
            <w:gridSpan w:val="32"/>
          </w:tcPr>
          <w:p>
            <w:pPr>
              <w:spacing w:after="0" w:line="199" w:lineRule="exact"/>
              <w:rPr>
                <w:sz w:val="20"/>
                <w:szCs w:val="20"/>
                <w:color w:val="auto"/>
              </w:rPr>
            </w:pPr>
            <w:r>
              <w:rPr>
                <w:rFonts w:ascii="Arial" w:cs="Arial" w:eastAsia="Arial" w:hAnsi="Arial"/>
                <w:sz w:val="19"/>
                <w:szCs w:val="19"/>
                <w:color w:val="0000FF"/>
              </w:rPr>
              <w:t>Exhibit 4.4 to the Registrant’s Registration Statement on Form S-1/A (File No. 333- 257444) filed with</w:t>
            </w:r>
          </w:p>
        </w:tc>
        <w:tc>
          <w:tcPr>
            <w:tcW w:w="40" w:type="dxa"/>
            <w:vAlign w:val="bottom"/>
            <w:gridSpan w:val="2"/>
          </w:tcPr>
          <w:p>
            <w:pPr>
              <w:spacing w:after="0"/>
              <w:rPr>
                <w:sz w:val="17"/>
                <w:szCs w:val="17"/>
                <w:color w:val="auto"/>
              </w:rPr>
            </w:pPr>
          </w:p>
        </w:tc>
        <w:tc>
          <w:tcPr>
            <w:tcW w:w="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20" w:type="dxa"/>
            <w:vAlign w:val="bottom"/>
            <w:vMerge w:val="restart"/>
          </w:tcPr>
          <w:p>
            <w:pPr>
              <w:spacing w:after="0"/>
              <w:rPr>
                <w:sz w:val="20"/>
                <w:szCs w:val="20"/>
                <w:color w:val="auto"/>
              </w:rPr>
            </w:pPr>
            <w:r>
              <w:rPr>
                <w:rFonts w:ascii="Arial" w:cs="Arial" w:eastAsia="Arial" w:hAnsi="Arial"/>
                <w:sz w:val="19"/>
                <w:szCs w:val="19"/>
                <w:color w:val="auto"/>
              </w:rPr>
              <w:t>4.6</w:t>
            </w:r>
          </w:p>
        </w:tc>
        <w:tc>
          <w:tcPr>
            <w:tcW w:w="200" w:type="dxa"/>
            <w:vAlign w:val="bottom"/>
          </w:tcPr>
          <w:p>
            <w:pPr>
              <w:spacing w:after="0"/>
              <w:rPr>
                <w:sz w:val="17"/>
                <w:szCs w:val="17"/>
                <w:color w:val="auto"/>
              </w:rPr>
            </w:pPr>
          </w:p>
        </w:tc>
        <w:tc>
          <w:tcPr>
            <w:tcW w:w="8520" w:type="dxa"/>
            <w:vAlign w:val="bottom"/>
            <w:tcBorders>
              <w:top w:val="single" w:sz="8" w:color="0000FF"/>
            </w:tcBorders>
            <w:gridSpan w:val="24"/>
          </w:tcPr>
          <w:p>
            <w:pPr>
              <w:spacing w:after="0" w:line="199" w:lineRule="exact"/>
              <w:rPr>
                <w:sz w:val="20"/>
                <w:szCs w:val="20"/>
                <w:color w:val="auto"/>
              </w:rPr>
            </w:pPr>
            <w:r>
              <w:rPr>
                <w:rFonts w:ascii="Arial" w:cs="Arial" w:eastAsia="Arial" w:hAnsi="Arial"/>
                <w:sz w:val="19"/>
                <w:szCs w:val="19"/>
                <w:color w:val="0000FF"/>
              </w:rPr>
              <w:t>the SEC on July 16, 2021)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gridSpan w:val="4"/>
          </w:tcPr>
          <w:p>
            <w:pPr>
              <w:spacing w:after="0"/>
              <w:rPr>
                <w:sz w:val="17"/>
                <w:szCs w:val="17"/>
                <w:color w:val="auto"/>
              </w:rPr>
            </w:pPr>
          </w:p>
        </w:tc>
        <w:tc>
          <w:tcPr>
            <w:tcW w:w="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1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760" w:type="dxa"/>
            <w:vAlign w:val="bottom"/>
            <w:gridSpan w:val="35"/>
          </w:tcPr>
          <w:p>
            <w:pPr>
              <w:spacing w:after="0" w:line="214" w:lineRule="exact"/>
              <w:rPr>
                <w:sz w:val="20"/>
                <w:szCs w:val="20"/>
                <w:color w:val="auto"/>
              </w:rPr>
            </w:pPr>
            <w:r>
              <w:rPr>
                <w:rFonts w:ascii="Arial" w:cs="Arial" w:eastAsia="Arial" w:hAnsi="Arial"/>
                <w:sz w:val="19"/>
                <w:szCs w:val="19"/>
                <w:color w:val="0000FF"/>
              </w:rPr>
              <w:t>Form of Warrant to Purchase Series A Convertible Preferred Stock (incorporated by reference to Exhibit</w:t>
            </w:r>
          </w:p>
        </w:tc>
        <w:tc>
          <w:tcPr>
            <w:tcW w:w="0" w:type="dxa"/>
            <w:vAlign w:val="bottom"/>
          </w:tcPr>
          <w:p>
            <w:pPr>
              <w:spacing w:after="0"/>
              <w:rPr>
                <w:sz w:val="1"/>
                <w:szCs w:val="1"/>
                <w:color w:val="auto"/>
              </w:rPr>
            </w:pPr>
          </w:p>
        </w:tc>
      </w:tr>
      <w:tr>
        <w:trPr>
          <w:trHeight w:val="198"/>
        </w:trPr>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60" w:type="dxa"/>
            <w:vAlign w:val="bottom"/>
            <w:tcBorders>
              <w:top w:val="single" w:sz="8" w:color="0000FF"/>
            </w:tcBorders>
            <w:gridSpan w:val="34"/>
          </w:tcPr>
          <w:p>
            <w:pPr>
              <w:spacing w:after="0" w:line="199" w:lineRule="exact"/>
              <w:rPr>
                <w:sz w:val="20"/>
                <w:szCs w:val="20"/>
                <w:color w:val="auto"/>
              </w:rPr>
            </w:pPr>
            <w:r>
              <w:rPr>
                <w:rFonts w:ascii="Arial" w:cs="Arial" w:eastAsia="Arial" w:hAnsi="Arial"/>
                <w:sz w:val="19"/>
                <w:szCs w:val="19"/>
                <w:color w:val="0000FF"/>
              </w:rPr>
              <w:t>4.</w:t>
            </w:r>
            <w:r>
              <w:rPr>
                <w:rFonts w:ascii="Arial" w:cs="Arial" w:eastAsia="Arial" w:hAnsi="Arial"/>
                <w:sz w:val="19"/>
                <w:szCs w:val="19"/>
                <w:u w:val="single" w:color="auto"/>
                <w:color w:val="0000FF"/>
              </w:rPr>
              <w:t>5</w:t>
            </w:r>
            <w:r>
              <w:rPr>
                <w:rFonts w:ascii="Arial" w:cs="Arial" w:eastAsia="Arial" w:hAnsi="Arial"/>
                <w:sz w:val="19"/>
                <w:szCs w:val="19"/>
                <w:color w:val="0000FF"/>
              </w:rPr>
              <w:t xml:space="preserve"> to the Registrant’s Registration Statement on Form S-1/A (File No. 333- 257444) filed with the SEC</w:t>
            </w:r>
          </w:p>
        </w:tc>
        <w:tc>
          <w:tcPr>
            <w:tcW w:w="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20" w:type="dxa"/>
            <w:vAlign w:val="bottom"/>
            <w:vMerge w:val="restart"/>
          </w:tcPr>
          <w:p>
            <w:pPr>
              <w:spacing w:after="0"/>
              <w:rPr>
                <w:sz w:val="20"/>
                <w:szCs w:val="20"/>
                <w:color w:val="auto"/>
              </w:rPr>
            </w:pPr>
            <w:r>
              <w:rPr>
                <w:rFonts w:ascii="Arial" w:cs="Arial" w:eastAsia="Arial" w:hAnsi="Arial"/>
                <w:sz w:val="19"/>
                <w:szCs w:val="19"/>
                <w:color w:val="auto"/>
              </w:rPr>
              <w:t>10.1#</w:t>
            </w:r>
          </w:p>
        </w:tc>
        <w:tc>
          <w:tcPr>
            <w:tcW w:w="200" w:type="dxa"/>
            <w:vAlign w:val="bottom"/>
          </w:tcPr>
          <w:p>
            <w:pPr>
              <w:spacing w:after="0"/>
              <w:rPr>
                <w:sz w:val="17"/>
                <w:szCs w:val="17"/>
                <w:color w:val="auto"/>
              </w:rPr>
            </w:pPr>
          </w:p>
        </w:tc>
        <w:tc>
          <w:tcPr>
            <w:tcW w:w="1540" w:type="dxa"/>
            <w:vAlign w:val="bottom"/>
            <w:tcBorders>
              <w:top w:val="single" w:sz="8" w:color="0000FF"/>
              <w:bottom w:val="single" w:sz="8" w:color="0000FF"/>
            </w:tcBorders>
            <w:gridSpan w:val="3"/>
          </w:tcPr>
          <w:p>
            <w:pPr>
              <w:spacing w:after="0" w:line="199" w:lineRule="exact"/>
              <w:rPr>
                <w:sz w:val="20"/>
                <w:szCs w:val="20"/>
                <w:color w:val="auto"/>
              </w:rPr>
            </w:pPr>
            <w:r>
              <w:rPr>
                <w:rFonts w:ascii="Arial" w:cs="Arial" w:eastAsia="Arial" w:hAnsi="Arial"/>
                <w:sz w:val="19"/>
                <w:szCs w:val="19"/>
                <w:color w:val="0000FF"/>
                <w:w w:val="99"/>
              </w:rPr>
              <w:t>on June 25, 2021)</w:t>
            </w:r>
          </w:p>
        </w:tc>
        <w:tc>
          <w:tcPr>
            <w:tcW w:w="7100" w:type="dxa"/>
            <w:vAlign w:val="bottom"/>
            <w:tcBorders>
              <w:top w:val="single" w:sz="8" w:color="0000FF"/>
            </w:tcBorders>
            <w:gridSpan w:val="26"/>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1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760" w:type="dxa"/>
            <w:vAlign w:val="bottom"/>
            <w:gridSpan w:val="35"/>
          </w:tcPr>
          <w:p>
            <w:pPr>
              <w:spacing w:after="0" w:line="214" w:lineRule="exact"/>
              <w:rPr>
                <w:sz w:val="20"/>
                <w:szCs w:val="20"/>
                <w:color w:val="auto"/>
              </w:rPr>
            </w:pPr>
            <w:r>
              <w:rPr>
                <w:rFonts w:ascii="Arial" w:cs="Arial" w:eastAsia="Arial" w:hAnsi="Arial"/>
                <w:sz w:val="19"/>
                <w:szCs w:val="19"/>
                <w:color w:val="0000FF"/>
              </w:rPr>
              <w:t>2015 Stock Plan, as amended, and forms of award agreements thereunder (incorporated by reference</w:t>
            </w:r>
          </w:p>
        </w:tc>
        <w:tc>
          <w:tcPr>
            <w:tcW w:w="0" w:type="dxa"/>
            <w:vAlign w:val="bottom"/>
          </w:tcPr>
          <w:p>
            <w:pPr>
              <w:spacing w:after="0"/>
              <w:rPr>
                <w:sz w:val="1"/>
                <w:szCs w:val="1"/>
                <w:color w:val="auto"/>
              </w:rPr>
            </w:pPr>
          </w:p>
        </w:tc>
      </w:tr>
      <w:tr>
        <w:trPr>
          <w:trHeight w:val="198"/>
        </w:trPr>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580" w:type="dxa"/>
            <w:vAlign w:val="bottom"/>
            <w:tcBorders>
              <w:top w:val="single" w:sz="8" w:color="0000FF"/>
            </w:tcBorders>
            <w:gridSpan w:val="26"/>
          </w:tcPr>
          <w:p>
            <w:pPr>
              <w:spacing w:after="0" w:line="199" w:lineRule="exact"/>
              <w:rPr>
                <w:sz w:val="20"/>
                <w:szCs w:val="20"/>
                <w:color w:val="auto"/>
              </w:rPr>
            </w:pPr>
            <w:r>
              <w:rPr>
                <w:rFonts w:ascii="Arial" w:cs="Arial" w:eastAsia="Arial" w:hAnsi="Arial"/>
                <w:sz w:val="19"/>
                <w:szCs w:val="19"/>
                <w:color w:val="0000FF"/>
              </w:rPr>
              <w:t>to Exhibit 10.1 to the Registrant’s Registration Statement on Form S-1/A (File No. 333- 257444) filed</w:t>
            </w:r>
          </w:p>
        </w:tc>
        <w:tc>
          <w:tcPr>
            <w:tcW w:w="40" w:type="dxa"/>
            <w:vAlign w:val="bottom"/>
            <w:gridSpan w:val="2"/>
          </w:tcPr>
          <w:p>
            <w:pPr>
              <w:spacing w:after="0"/>
              <w:rPr>
                <w:sz w:val="17"/>
                <w:szCs w:val="17"/>
                <w:color w:val="auto"/>
              </w:rPr>
            </w:pPr>
          </w:p>
        </w:tc>
        <w:tc>
          <w:tcPr>
            <w:tcW w:w="40" w:type="dxa"/>
            <w:vAlign w:val="bottom"/>
            <w:gridSpan w:val="2"/>
          </w:tcPr>
          <w:p>
            <w:pPr>
              <w:spacing w:after="0"/>
              <w:rPr>
                <w:sz w:val="17"/>
                <w:szCs w:val="17"/>
                <w:color w:val="auto"/>
              </w:rPr>
            </w:pPr>
          </w:p>
        </w:tc>
        <w:tc>
          <w:tcPr>
            <w:tcW w:w="1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20" w:type="dxa"/>
            <w:vAlign w:val="bottom"/>
            <w:vMerge w:val="restart"/>
          </w:tcPr>
          <w:p>
            <w:pPr>
              <w:spacing w:after="0"/>
              <w:rPr>
                <w:sz w:val="20"/>
                <w:szCs w:val="20"/>
                <w:color w:val="auto"/>
              </w:rPr>
            </w:pPr>
            <w:r>
              <w:rPr>
                <w:rFonts w:ascii="Arial" w:cs="Arial" w:eastAsia="Arial" w:hAnsi="Arial"/>
                <w:sz w:val="19"/>
                <w:szCs w:val="19"/>
                <w:color w:val="auto"/>
              </w:rPr>
              <w:t>10.2#</w:t>
            </w:r>
          </w:p>
        </w:tc>
        <w:tc>
          <w:tcPr>
            <w:tcW w:w="200" w:type="dxa"/>
            <w:vAlign w:val="bottom"/>
          </w:tcPr>
          <w:p>
            <w:pPr>
              <w:spacing w:after="0"/>
              <w:rPr>
                <w:sz w:val="17"/>
                <w:szCs w:val="17"/>
                <w:color w:val="auto"/>
              </w:rPr>
            </w:pPr>
          </w:p>
        </w:tc>
        <w:tc>
          <w:tcPr>
            <w:tcW w:w="2620" w:type="dxa"/>
            <w:vAlign w:val="bottom"/>
            <w:tcBorders>
              <w:top w:val="single" w:sz="8" w:color="0000FF"/>
              <w:bottom w:val="single" w:sz="8" w:color="0000FF"/>
            </w:tcBorders>
            <w:gridSpan w:val="5"/>
          </w:tcPr>
          <w:p>
            <w:pPr>
              <w:spacing w:after="0" w:line="199" w:lineRule="exact"/>
              <w:rPr>
                <w:sz w:val="20"/>
                <w:szCs w:val="20"/>
                <w:color w:val="auto"/>
              </w:rPr>
            </w:pPr>
            <w:r>
              <w:rPr>
                <w:rFonts w:ascii="Arial" w:cs="Arial" w:eastAsia="Arial" w:hAnsi="Arial"/>
                <w:sz w:val="19"/>
                <w:szCs w:val="19"/>
                <w:color w:val="0000FF"/>
                <w:w w:val="99"/>
              </w:rPr>
              <w:t>with the SEC on July 16, 2021)</w:t>
            </w:r>
          </w:p>
        </w:tc>
        <w:tc>
          <w:tcPr>
            <w:tcW w:w="5800" w:type="dxa"/>
            <w:vAlign w:val="bottom"/>
            <w:tcBorders>
              <w:top w:val="single" w:sz="8" w:color="0000FF"/>
            </w:tcBorders>
            <w:gridSpan w:val="15"/>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40" w:type="dxa"/>
            <w:vAlign w:val="bottom"/>
            <w:gridSpan w:val="2"/>
          </w:tcPr>
          <w:p>
            <w:pPr>
              <w:spacing w:after="0"/>
              <w:rPr>
                <w:sz w:val="17"/>
                <w:szCs w:val="17"/>
                <w:color w:val="auto"/>
              </w:rPr>
            </w:pPr>
          </w:p>
        </w:tc>
        <w:tc>
          <w:tcPr>
            <w:tcW w:w="80" w:type="dxa"/>
            <w:vAlign w:val="bottom"/>
            <w:gridSpan w:val="3"/>
          </w:tcPr>
          <w:p>
            <w:pPr>
              <w:spacing w:after="0"/>
              <w:rPr>
                <w:sz w:val="17"/>
                <w:szCs w:val="17"/>
                <w:color w:val="auto"/>
              </w:rPr>
            </w:pPr>
          </w:p>
        </w:tc>
        <w:tc>
          <w:tcPr>
            <w:tcW w:w="40" w:type="dxa"/>
            <w:vAlign w:val="bottom"/>
            <w:gridSpan w:val="2"/>
          </w:tcPr>
          <w:p>
            <w:pPr>
              <w:spacing w:after="0"/>
              <w:rPr>
                <w:sz w:val="17"/>
                <w:szCs w:val="17"/>
                <w:color w:val="auto"/>
              </w:rPr>
            </w:pPr>
          </w:p>
        </w:tc>
        <w:tc>
          <w:tcPr>
            <w:tcW w:w="1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1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760" w:type="dxa"/>
            <w:vAlign w:val="bottom"/>
            <w:gridSpan w:val="35"/>
          </w:tcPr>
          <w:p>
            <w:pPr>
              <w:spacing w:after="0" w:line="214" w:lineRule="exact"/>
              <w:rPr>
                <w:sz w:val="20"/>
                <w:szCs w:val="20"/>
                <w:color w:val="auto"/>
              </w:rPr>
            </w:pPr>
            <w:r>
              <w:rPr>
                <w:rFonts w:ascii="Arial" w:cs="Arial" w:eastAsia="Arial" w:hAnsi="Arial"/>
                <w:sz w:val="19"/>
                <w:szCs w:val="19"/>
                <w:color w:val="0000FF"/>
              </w:rPr>
              <w:t>2021 Stock Option and Incentive Plan and forms of award agreements thereunder (incorporated by</w:t>
            </w:r>
          </w:p>
        </w:tc>
        <w:tc>
          <w:tcPr>
            <w:tcW w:w="0" w:type="dxa"/>
            <w:vAlign w:val="bottom"/>
          </w:tcPr>
          <w:p>
            <w:pPr>
              <w:spacing w:after="0"/>
              <w:rPr>
                <w:sz w:val="1"/>
                <w:szCs w:val="1"/>
                <w:color w:val="auto"/>
              </w:rPr>
            </w:pPr>
          </w:p>
        </w:tc>
      </w:tr>
      <w:tr>
        <w:trPr>
          <w:trHeight w:val="198"/>
        </w:trPr>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320" w:type="dxa"/>
            <w:vAlign w:val="bottom"/>
            <w:tcBorders>
              <w:top w:val="single" w:sz="8" w:color="0000FF"/>
            </w:tcBorders>
            <w:gridSpan w:val="19"/>
          </w:tcPr>
          <w:p>
            <w:pPr>
              <w:spacing w:after="0" w:line="199" w:lineRule="exact"/>
              <w:rPr>
                <w:sz w:val="20"/>
                <w:szCs w:val="20"/>
                <w:color w:val="auto"/>
              </w:rPr>
            </w:pPr>
            <w:r>
              <w:rPr>
                <w:rFonts w:ascii="Arial" w:cs="Arial" w:eastAsia="Arial" w:hAnsi="Arial"/>
                <w:sz w:val="19"/>
                <w:szCs w:val="19"/>
                <w:color w:val="0000FF"/>
              </w:rPr>
              <w:t>reference to Exhibit 10.2 to the Registrant’s Registration Statement on Form S-1/A (File No. 333-</w:t>
            </w:r>
          </w:p>
        </w:tc>
        <w:tc>
          <w:tcPr>
            <w:tcW w:w="120" w:type="dxa"/>
            <w:vAlign w:val="bottom"/>
            <w:gridSpan w:val="2"/>
          </w:tcPr>
          <w:p>
            <w:pPr>
              <w:spacing w:after="0"/>
              <w:rPr>
                <w:sz w:val="17"/>
                <w:szCs w:val="17"/>
                <w:color w:val="auto"/>
              </w:rPr>
            </w:pPr>
          </w:p>
        </w:tc>
        <w:tc>
          <w:tcPr>
            <w:tcW w:w="60" w:type="dxa"/>
            <w:vAlign w:val="bottom"/>
            <w:gridSpan w:val="2"/>
          </w:tcPr>
          <w:p>
            <w:pPr>
              <w:spacing w:after="0"/>
              <w:rPr>
                <w:sz w:val="17"/>
                <w:szCs w:val="17"/>
                <w:color w:val="auto"/>
              </w:rPr>
            </w:pPr>
          </w:p>
        </w:tc>
        <w:tc>
          <w:tcPr>
            <w:tcW w:w="40" w:type="dxa"/>
            <w:vAlign w:val="bottom"/>
            <w:gridSpan w:val="2"/>
          </w:tcPr>
          <w:p>
            <w:pPr>
              <w:spacing w:after="0"/>
              <w:rPr>
                <w:sz w:val="17"/>
                <w:szCs w:val="17"/>
                <w:color w:val="auto"/>
              </w:rPr>
            </w:pPr>
          </w:p>
        </w:tc>
        <w:tc>
          <w:tcPr>
            <w:tcW w:w="80" w:type="dxa"/>
            <w:vAlign w:val="bottom"/>
            <w:gridSpan w:val="3"/>
          </w:tcPr>
          <w:p>
            <w:pPr>
              <w:spacing w:after="0"/>
              <w:rPr>
                <w:sz w:val="17"/>
                <w:szCs w:val="17"/>
                <w:color w:val="auto"/>
              </w:rPr>
            </w:pPr>
          </w:p>
        </w:tc>
        <w:tc>
          <w:tcPr>
            <w:tcW w:w="40" w:type="dxa"/>
            <w:vAlign w:val="bottom"/>
            <w:gridSpan w:val="2"/>
          </w:tcPr>
          <w:p>
            <w:pPr>
              <w:spacing w:after="0"/>
              <w:rPr>
                <w:sz w:val="17"/>
                <w:szCs w:val="17"/>
                <w:color w:val="auto"/>
              </w:rPr>
            </w:pPr>
          </w:p>
        </w:tc>
        <w:tc>
          <w:tcPr>
            <w:tcW w:w="1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20" w:type="dxa"/>
            <w:vAlign w:val="bottom"/>
            <w:vMerge w:val="restart"/>
          </w:tcPr>
          <w:p>
            <w:pPr>
              <w:spacing w:after="0"/>
              <w:rPr>
                <w:sz w:val="20"/>
                <w:szCs w:val="20"/>
                <w:color w:val="auto"/>
              </w:rPr>
            </w:pPr>
            <w:r>
              <w:rPr>
                <w:rFonts w:ascii="Arial" w:cs="Arial" w:eastAsia="Arial" w:hAnsi="Arial"/>
                <w:sz w:val="19"/>
                <w:szCs w:val="19"/>
                <w:color w:val="auto"/>
              </w:rPr>
              <w:t>10.3#</w:t>
            </w:r>
          </w:p>
        </w:tc>
        <w:tc>
          <w:tcPr>
            <w:tcW w:w="200" w:type="dxa"/>
            <w:vAlign w:val="bottom"/>
          </w:tcPr>
          <w:p>
            <w:pPr>
              <w:spacing w:after="0"/>
              <w:rPr>
                <w:sz w:val="17"/>
                <w:szCs w:val="17"/>
                <w:color w:val="auto"/>
              </w:rPr>
            </w:pPr>
          </w:p>
        </w:tc>
        <w:tc>
          <w:tcPr>
            <w:tcW w:w="8120" w:type="dxa"/>
            <w:vAlign w:val="bottom"/>
            <w:tcBorders>
              <w:top w:val="single" w:sz="8" w:color="0000FF"/>
            </w:tcBorders>
            <w:gridSpan w:val="15"/>
          </w:tcPr>
          <w:p>
            <w:pPr>
              <w:spacing w:after="0" w:line="199" w:lineRule="exact"/>
              <w:rPr>
                <w:sz w:val="20"/>
                <w:szCs w:val="20"/>
                <w:color w:val="auto"/>
              </w:rPr>
            </w:pPr>
            <w:r>
              <w:rPr>
                <w:rFonts w:ascii="Arial" w:cs="Arial" w:eastAsia="Arial" w:hAnsi="Arial"/>
                <w:sz w:val="19"/>
                <w:szCs w:val="19"/>
                <w:color w:val="0000FF"/>
              </w:rPr>
              <w:t>257444) filed with the SEC on July 16, 2021)</w:t>
            </w:r>
          </w:p>
        </w:tc>
        <w:tc>
          <w:tcPr>
            <w:tcW w:w="60" w:type="dxa"/>
            <w:vAlign w:val="bottom"/>
            <w:gridSpan w:val="3"/>
          </w:tcPr>
          <w:p>
            <w:pPr>
              <w:spacing w:after="0"/>
              <w:rPr>
                <w:sz w:val="17"/>
                <w:szCs w:val="17"/>
                <w:color w:val="auto"/>
              </w:rPr>
            </w:pPr>
          </w:p>
        </w:tc>
        <w:tc>
          <w:tcPr>
            <w:tcW w:w="260" w:type="dxa"/>
            <w:vAlign w:val="bottom"/>
            <w:gridSpan w:val="3"/>
          </w:tcPr>
          <w:p>
            <w:pPr>
              <w:spacing w:after="0"/>
              <w:rPr>
                <w:sz w:val="17"/>
                <w:szCs w:val="17"/>
                <w:color w:val="auto"/>
              </w:rPr>
            </w:pPr>
          </w:p>
        </w:tc>
        <w:tc>
          <w:tcPr>
            <w:tcW w:w="60" w:type="dxa"/>
            <w:vAlign w:val="bottom"/>
            <w:gridSpan w:val="2"/>
          </w:tcPr>
          <w:p>
            <w:pPr>
              <w:spacing w:after="0"/>
              <w:rPr>
                <w:sz w:val="17"/>
                <w:szCs w:val="17"/>
                <w:color w:val="auto"/>
              </w:rPr>
            </w:pPr>
          </w:p>
        </w:tc>
        <w:tc>
          <w:tcPr>
            <w:tcW w:w="40" w:type="dxa"/>
            <w:vAlign w:val="bottom"/>
            <w:gridSpan w:val="2"/>
          </w:tcPr>
          <w:p>
            <w:pPr>
              <w:spacing w:after="0"/>
              <w:rPr>
                <w:sz w:val="17"/>
                <w:szCs w:val="17"/>
                <w:color w:val="auto"/>
              </w:rPr>
            </w:pPr>
          </w:p>
        </w:tc>
        <w:tc>
          <w:tcPr>
            <w:tcW w:w="80" w:type="dxa"/>
            <w:vAlign w:val="bottom"/>
            <w:gridSpan w:val="3"/>
          </w:tcPr>
          <w:p>
            <w:pPr>
              <w:spacing w:after="0"/>
              <w:rPr>
                <w:sz w:val="17"/>
                <w:szCs w:val="17"/>
                <w:color w:val="auto"/>
              </w:rPr>
            </w:pPr>
          </w:p>
        </w:tc>
        <w:tc>
          <w:tcPr>
            <w:tcW w:w="40" w:type="dxa"/>
            <w:vAlign w:val="bottom"/>
            <w:gridSpan w:val="2"/>
          </w:tcPr>
          <w:p>
            <w:pPr>
              <w:spacing w:after="0"/>
              <w:rPr>
                <w:sz w:val="17"/>
                <w:szCs w:val="17"/>
                <w:color w:val="auto"/>
              </w:rPr>
            </w:pPr>
          </w:p>
        </w:tc>
        <w:tc>
          <w:tcPr>
            <w:tcW w:w="1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960" w:type="dxa"/>
            <w:vAlign w:val="bottom"/>
            <w:gridSpan w:val="4"/>
            <w:shd w:val="clear" w:color="auto" w:fill="0000FF"/>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1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760" w:type="dxa"/>
            <w:vAlign w:val="bottom"/>
            <w:gridSpan w:val="35"/>
          </w:tcPr>
          <w:p>
            <w:pPr>
              <w:spacing w:after="0" w:line="214" w:lineRule="exact"/>
              <w:rPr>
                <w:sz w:val="20"/>
                <w:szCs w:val="20"/>
                <w:color w:val="auto"/>
              </w:rPr>
            </w:pPr>
            <w:r>
              <w:rPr>
                <w:rFonts w:ascii="Arial" w:cs="Arial" w:eastAsia="Arial" w:hAnsi="Arial"/>
                <w:sz w:val="19"/>
                <w:szCs w:val="19"/>
                <w:color w:val="0000FF"/>
              </w:rPr>
              <w:t>Senior Executive Cash Incentive Bonus Plan (incorporated by reference to Exhibit 10.3 to the</w:t>
            </w:r>
          </w:p>
        </w:tc>
        <w:tc>
          <w:tcPr>
            <w:tcW w:w="0" w:type="dxa"/>
            <w:vAlign w:val="bottom"/>
          </w:tcPr>
          <w:p>
            <w:pPr>
              <w:spacing w:after="0"/>
              <w:rPr>
                <w:sz w:val="1"/>
                <w:szCs w:val="1"/>
                <w:color w:val="auto"/>
              </w:rPr>
            </w:pPr>
          </w:p>
        </w:tc>
      </w:tr>
      <w:tr>
        <w:trPr>
          <w:trHeight w:val="198"/>
        </w:trPr>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40" w:type="dxa"/>
            <w:vAlign w:val="bottom"/>
            <w:tcBorders>
              <w:top w:val="single" w:sz="8" w:color="0000FF"/>
            </w:tcBorders>
            <w:gridSpan w:val="12"/>
          </w:tcPr>
          <w:p>
            <w:pPr>
              <w:spacing w:after="0" w:line="199" w:lineRule="exact"/>
              <w:rPr>
                <w:sz w:val="20"/>
                <w:szCs w:val="20"/>
                <w:color w:val="auto"/>
              </w:rPr>
            </w:pPr>
            <w:r>
              <w:rPr>
                <w:rFonts w:ascii="Arial" w:cs="Arial" w:eastAsia="Arial" w:hAnsi="Arial"/>
                <w:sz w:val="19"/>
                <w:szCs w:val="19"/>
                <w:color w:val="0000FF"/>
              </w:rPr>
              <w:t>Registrant’s Registration Statement on Form S-1/A (File No. 333- 257444) filed with the SEC</w:t>
            </w:r>
          </w:p>
        </w:tc>
        <w:tc>
          <w:tcPr>
            <w:tcW w:w="920" w:type="dxa"/>
            <w:vAlign w:val="bottom"/>
            <w:gridSpan w:val="23"/>
          </w:tcPr>
          <w:p>
            <w:pPr>
              <w:spacing w:after="0" w:line="199" w:lineRule="exact"/>
              <w:rPr>
                <w:sz w:val="20"/>
                <w:szCs w:val="20"/>
                <w:color w:val="auto"/>
              </w:rPr>
            </w:pPr>
            <w:r>
              <w:rPr>
                <w:rFonts w:ascii="Arial" w:cs="Arial" w:eastAsia="Arial" w:hAnsi="Arial"/>
                <w:sz w:val="19"/>
                <w:szCs w:val="19"/>
                <w:color w:val="0000FF"/>
              </w:rPr>
              <w:t>on July</w:t>
            </w:r>
          </w:p>
        </w:tc>
        <w:tc>
          <w:tcPr>
            <w:tcW w:w="0" w:type="dxa"/>
            <w:vAlign w:val="bottom"/>
          </w:tcPr>
          <w:p>
            <w:pPr>
              <w:spacing w:after="0"/>
              <w:rPr>
                <w:sz w:val="1"/>
                <w:szCs w:val="1"/>
                <w:color w:val="auto"/>
              </w:rPr>
            </w:pPr>
          </w:p>
        </w:tc>
      </w:tr>
      <w:tr>
        <w:trPr>
          <w:trHeight w:val="198"/>
        </w:trPr>
        <w:tc>
          <w:tcPr>
            <w:tcW w:w="1120" w:type="dxa"/>
            <w:vAlign w:val="bottom"/>
            <w:vMerge w:val="restart"/>
          </w:tcPr>
          <w:p>
            <w:pPr>
              <w:spacing w:after="0"/>
              <w:rPr>
                <w:sz w:val="20"/>
                <w:szCs w:val="20"/>
                <w:color w:val="auto"/>
              </w:rPr>
            </w:pPr>
            <w:r>
              <w:rPr>
                <w:rFonts w:ascii="Arial" w:cs="Arial" w:eastAsia="Arial" w:hAnsi="Arial"/>
                <w:sz w:val="19"/>
                <w:szCs w:val="19"/>
                <w:color w:val="auto"/>
              </w:rPr>
              <w:t>10.4#</w:t>
            </w:r>
          </w:p>
        </w:tc>
        <w:tc>
          <w:tcPr>
            <w:tcW w:w="200" w:type="dxa"/>
            <w:vAlign w:val="bottom"/>
          </w:tcPr>
          <w:p>
            <w:pPr>
              <w:spacing w:after="0"/>
              <w:rPr>
                <w:sz w:val="17"/>
                <w:szCs w:val="17"/>
                <w:color w:val="auto"/>
              </w:rPr>
            </w:pPr>
          </w:p>
        </w:tc>
        <w:tc>
          <w:tcPr>
            <w:tcW w:w="800" w:type="dxa"/>
            <w:vAlign w:val="bottom"/>
            <w:tcBorders>
              <w:top w:val="single" w:sz="8" w:color="0000FF"/>
              <w:bottom w:val="single" w:sz="8" w:color="0000FF"/>
            </w:tcBorders>
            <w:gridSpan w:val="2"/>
          </w:tcPr>
          <w:p>
            <w:pPr>
              <w:spacing w:after="0" w:line="199" w:lineRule="exact"/>
              <w:rPr>
                <w:sz w:val="20"/>
                <w:szCs w:val="20"/>
                <w:color w:val="auto"/>
              </w:rPr>
            </w:pPr>
            <w:r>
              <w:rPr>
                <w:rFonts w:ascii="Arial" w:cs="Arial" w:eastAsia="Arial" w:hAnsi="Arial"/>
                <w:sz w:val="19"/>
                <w:szCs w:val="19"/>
                <w:color w:val="0000FF"/>
                <w:w w:val="97"/>
              </w:rPr>
              <w:t>16, 2021)</w:t>
            </w:r>
          </w:p>
        </w:tc>
        <w:tc>
          <w:tcPr>
            <w:tcW w:w="74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14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140" w:type="dxa"/>
            <w:vAlign w:val="bottom"/>
            <w:tcBorders>
              <w:top w:val="single" w:sz="8" w:color="0000FF"/>
            </w:tcBorders>
          </w:tcPr>
          <w:p>
            <w:pPr>
              <w:spacing w:after="0"/>
              <w:rPr>
                <w:sz w:val="17"/>
                <w:szCs w:val="17"/>
                <w:color w:val="auto"/>
              </w:rPr>
            </w:pPr>
          </w:p>
        </w:tc>
        <w:tc>
          <w:tcPr>
            <w:tcW w:w="150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1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760" w:type="dxa"/>
            <w:vAlign w:val="bottom"/>
            <w:gridSpan w:val="35"/>
          </w:tcPr>
          <w:p>
            <w:pPr>
              <w:spacing w:after="0" w:line="214" w:lineRule="exact"/>
              <w:rPr>
                <w:sz w:val="20"/>
                <w:szCs w:val="20"/>
                <w:color w:val="auto"/>
              </w:rPr>
            </w:pPr>
            <w:r>
              <w:rPr>
                <w:rFonts w:ascii="Arial" w:cs="Arial" w:eastAsia="Arial" w:hAnsi="Arial"/>
                <w:sz w:val="19"/>
                <w:szCs w:val="19"/>
                <w:color w:val="0000FF"/>
              </w:rPr>
              <w:t>Employee Stock Purchase Plan (incorporated by reference to Exhibit 10.4 to the Registrant’s</w:t>
            </w:r>
          </w:p>
        </w:tc>
        <w:tc>
          <w:tcPr>
            <w:tcW w:w="0" w:type="dxa"/>
            <w:vAlign w:val="bottom"/>
          </w:tcPr>
          <w:p>
            <w:pPr>
              <w:spacing w:after="0"/>
              <w:rPr>
                <w:sz w:val="1"/>
                <w:szCs w:val="1"/>
                <w:color w:val="auto"/>
              </w:rPr>
            </w:pPr>
          </w:p>
        </w:tc>
      </w:tr>
      <w:tr>
        <w:trPr>
          <w:trHeight w:val="198"/>
        </w:trPr>
        <w:tc>
          <w:tcPr>
            <w:tcW w:w="1120" w:type="dxa"/>
            <w:vAlign w:val="bottom"/>
            <w:vMerge w:val="restart"/>
          </w:tcPr>
          <w:p>
            <w:pPr>
              <w:spacing w:after="0"/>
              <w:rPr>
                <w:sz w:val="20"/>
                <w:szCs w:val="20"/>
                <w:color w:val="auto"/>
              </w:rPr>
            </w:pPr>
            <w:r>
              <w:rPr>
                <w:rFonts w:ascii="Arial" w:cs="Arial" w:eastAsia="Arial" w:hAnsi="Arial"/>
                <w:sz w:val="19"/>
                <w:szCs w:val="19"/>
                <w:color w:val="auto"/>
              </w:rPr>
              <w:t>10.5#</w:t>
            </w:r>
          </w:p>
        </w:tc>
        <w:tc>
          <w:tcPr>
            <w:tcW w:w="200" w:type="dxa"/>
            <w:vAlign w:val="bottom"/>
          </w:tcPr>
          <w:p>
            <w:pPr>
              <w:spacing w:after="0"/>
              <w:rPr>
                <w:sz w:val="17"/>
                <w:szCs w:val="17"/>
                <w:color w:val="auto"/>
              </w:rPr>
            </w:pPr>
          </w:p>
        </w:tc>
        <w:tc>
          <w:tcPr>
            <w:tcW w:w="7780" w:type="dxa"/>
            <w:vAlign w:val="bottom"/>
            <w:tcBorders>
              <w:top w:val="single" w:sz="8" w:color="0000FF"/>
            </w:tcBorders>
            <w:gridSpan w:val="11"/>
          </w:tcPr>
          <w:p>
            <w:pPr>
              <w:spacing w:after="0" w:line="199" w:lineRule="exact"/>
              <w:rPr>
                <w:sz w:val="20"/>
                <w:szCs w:val="20"/>
                <w:color w:val="auto"/>
              </w:rPr>
            </w:pPr>
            <w:r>
              <w:rPr>
                <w:rFonts w:ascii="Arial" w:cs="Arial" w:eastAsia="Arial" w:hAnsi="Arial"/>
                <w:sz w:val="19"/>
                <w:szCs w:val="19"/>
                <w:color w:val="0000FF"/>
              </w:rPr>
              <w:t>Registration Statement on Form S-1/A (File No. 333- 257444) filed with the SEC on July 16,</w:t>
            </w:r>
          </w:p>
        </w:tc>
        <w:tc>
          <w:tcPr>
            <w:tcW w:w="660" w:type="dxa"/>
            <w:vAlign w:val="bottom"/>
            <w:gridSpan w:val="10"/>
          </w:tcPr>
          <w:p>
            <w:pPr>
              <w:jc w:val="right"/>
              <w:ind w:right="200"/>
              <w:spacing w:after="0" w:line="199" w:lineRule="exact"/>
              <w:rPr>
                <w:sz w:val="20"/>
                <w:szCs w:val="20"/>
                <w:color w:val="auto"/>
              </w:rPr>
            </w:pPr>
            <w:r>
              <w:rPr>
                <w:rFonts w:ascii="Arial" w:cs="Arial" w:eastAsia="Arial" w:hAnsi="Arial"/>
                <w:sz w:val="19"/>
                <w:szCs w:val="19"/>
                <w:color w:val="0000FF"/>
                <w:w w:val="90"/>
              </w:rPr>
              <w:t>2021)</w:t>
            </w:r>
          </w:p>
        </w:tc>
        <w:tc>
          <w:tcPr>
            <w:tcW w:w="60" w:type="dxa"/>
            <w:vAlign w:val="bottom"/>
            <w:gridSpan w:val="2"/>
          </w:tcPr>
          <w:p>
            <w:pPr>
              <w:spacing w:after="0"/>
              <w:rPr>
                <w:sz w:val="17"/>
                <w:szCs w:val="17"/>
                <w:color w:val="auto"/>
              </w:rPr>
            </w:pPr>
          </w:p>
        </w:tc>
        <w:tc>
          <w:tcPr>
            <w:tcW w:w="40" w:type="dxa"/>
            <w:vAlign w:val="bottom"/>
            <w:gridSpan w:val="2"/>
          </w:tcPr>
          <w:p>
            <w:pPr>
              <w:spacing w:after="0"/>
              <w:rPr>
                <w:sz w:val="17"/>
                <w:szCs w:val="17"/>
                <w:color w:val="auto"/>
              </w:rPr>
            </w:pPr>
          </w:p>
        </w:tc>
        <w:tc>
          <w:tcPr>
            <w:tcW w:w="80" w:type="dxa"/>
            <w:vAlign w:val="bottom"/>
            <w:gridSpan w:val="3"/>
          </w:tcPr>
          <w:p>
            <w:pPr>
              <w:spacing w:after="0"/>
              <w:rPr>
                <w:sz w:val="17"/>
                <w:szCs w:val="17"/>
                <w:color w:val="auto"/>
              </w:rPr>
            </w:pPr>
          </w:p>
        </w:tc>
        <w:tc>
          <w:tcPr>
            <w:tcW w:w="40" w:type="dxa"/>
            <w:vAlign w:val="bottom"/>
            <w:gridSpan w:val="2"/>
          </w:tcPr>
          <w:p>
            <w:pPr>
              <w:spacing w:after="0"/>
              <w:rPr>
                <w:sz w:val="17"/>
                <w:szCs w:val="17"/>
                <w:color w:val="auto"/>
              </w:rPr>
            </w:pPr>
          </w:p>
        </w:tc>
        <w:tc>
          <w:tcPr>
            <w:tcW w:w="1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300" w:type="dxa"/>
            <w:vAlign w:val="bottom"/>
            <w:gridSpan w:val="8"/>
            <w:shd w:val="clear" w:color="auto" w:fill="0000FF"/>
          </w:tcPr>
          <w:p>
            <w:pPr>
              <w:spacing w:after="0" w:line="20" w:lineRule="exact"/>
              <w:rPr>
                <w:sz w:val="1"/>
                <w:szCs w:val="1"/>
                <w:color w:val="auto"/>
              </w:rPr>
            </w:pPr>
          </w:p>
        </w:tc>
        <w:tc>
          <w:tcPr>
            <w:tcW w:w="264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gridSpan w:val="4"/>
            <w:shd w:val="clear" w:color="auto" w:fill="0000FF"/>
          </w:tcPr>
          <w:p>
            <w:pPr>
              <w:spacing w:after="0" w:line="20" w:lineRule="exact"/>
              <w:rPr>
                <w:sz w:val="1"/>
                <w:szCs w:val="1"/>
                <w:color w:val="auto"/>
              </w:rPr>
            </w:pPr>
          </w:p>
        </w:tc>
        <w:tc>
          <w:tcPr>
            <w:tcW w:w="260" w:type="dxa"/>
            <w:vAlign w:val="bottom"/>
            <w:tcBorders>
              <w:left w:val="single" w:sz="8" w:color="0000FF"/>
            </w:tcBorders>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1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760" w:type="dxa"/>
            <w:vAlign w:val="bottom"/>
            <w:gridSpan w:val="35"/>
          </w:tcPr>
          <w:p>
            <w:pPr>
              <w:spacing w:after="0" w:line="214" w:lineRule="exact"/>
              <w:rPr>
                <w:sz w:val="20"/>
                <w:szCs w:val="20"/>
                <w:color w:val="auto"/>
              </w:rPr>
            </w:pPr>
            <w:r>
              <w:rPr>
                <w:rFonts w:ascii="Arial" w:cs="Arial" w:eastAsia="Arial" w:hAnsi="Arial"/>
                <w:sz w:val="19"/>
                <w:szCs w:val="19"/>
                <w:color w:val="0000FF"/>
              </w:rPr>
              <w:t>Employment Agreement by and between Advantagene, Inc. d/b/a Candel Therapeutics and Paul Peter</w:t>
            </w:r>
          </w:p>
        </w:tc>
        <w:tc>
          <w:tcPr>
            <w:tcW w:w="0" w:type="dxa"/>
            <w:vAlign w:val="bottom"/>
          </w:tcPr>
          <w:p>
            <w:pPr>
              <w:spacing w:after="0"/>
              <w:rPr>
                <w:sz w:val="1"/>
                <w:szCs w:val="1"/>
                <w:color w:val="auto"/>
              </w:rPr>
            </w:pPr>
          </w:p>
        </w:tc>
      </w:tr>
      <w:tr>
        <w:trPr>
          <w:trHeight w:val="198"/>
        </w:trPr>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940" w:type="dxa"/>
            <w:vAlign w:val="bottom"/>
            <w:tcBorders>
              <w:top w:val="single" w:sz="8" w:color="0000FF"/>
              <w:bottom w:val="single" w:sz="8" w:color="0000FF"/>
            </w:tcBorders>
            <w:gridSpan w:val="13"/>
          </w:tcPr>
          <w:p>
            <w:pPr>
              <w:spacing w:after="0" w:line="199" w:lineRule="exact"/>
              <w:rPr>
                <w:sz w:val="20"/>
                <w:szCs w:val="20"/>
                <w:color w:val="auto"/>
              </w:rPr>
            </w:pPr>
            <w:r>
              <w:rPr>
                <w:rFonts w:ascii="Arial" w:cs="Arial" w:eastAsia="Arial" w:hAnsi="Arial"/>
                <w:sz w:val="19"/>
                <w:szCs w:val="19"/>
                <w:color w:val="0000FF"/>
                <w:w w:val="99"/>
              </w:rPr>
              <w:t>Tak, M.D., Ph.D. dated September 12, 2020 (incorporated by reference to Exhibit 10.5.1 to the</w:t>
            </w:r>
          </w:p>
        </w:tc>
        <w:tc>
          <w:tcPr>
            <w:tcW w:w="680" w:type="dxa"/>
            <w:vAlign w:val="bottom"/>
            <w:tcBorders>
              <w:top w:val="single" w:sz="8" w:color="0000FF"/>
            </w:tcBorders>
            <w:gridSpan w:val="15"/>
          </w:tcPr>
          <w:p>
            <w:pPr>
              <w:spacing w:after="0"/>
              <w:rPr>
                <w:sz w:val="17"/>
                <w:szCs w:val="17"/>
                <w:color w:val="auto"/>
              </w:rPr>
            </w:pPr>
          </w:p>
        </w:tc>
        <w:tc>
          <w:tcPr>
            <w:tcW w:w="40" w:type="dxa"/>
            <w:vAlign w:val="bottom"/>
            <w:gridSpan w:val="2"/>
          </w:tcPr>
          <w:p>
            <w:pPr>
              <w:spacing w:after="0"/>
              <w:rPr>
                <w:sz w:val="17"/>
                <w:szCs w:val="17"/>
                <w:color w:val="auto"/>
              </w:rPr>
            </w:pPr>
          </w:p>
        </w:tc>
        <w:tc>
          <w:tcPr>
            <w:tcW w:w="1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60" w:type="dxa"/>
            <w:vAlign w:val="bottom"/>
            <w:gridSpan w:val="35"/>
          </w:tcPr>
          <w:p>
            <w:pPr>
              <w:spacing w:after="0" w:line="199" w:lineRule="exact"/>
              <w:rPr>
                <w:sz w:val="20"/>
                <w:szCs w:val="20"/>
                <w:color w:val="auto"/>
              </w:rPr>
            </w:pPr>
            <w:r>
              <w:rPr>
                <w:rFonts w:ascii="Arial" w:cs="Arial" w:eastAsia="Arial" w:hAnsi="Arial"/>
                <w:sz w:val="19"/>
                <w:szCs w:val="19"/>
                <w:color w:val="0000FF"/>
              </w:rPr>
              <w:t>Registrant’s Registration Statement on Form S-1/A (File No. 333- 257444) filed with the SEC on July</w:t>
            </w:r>
          </w:p>
        </w:tc>
        <w:tc>
          <w:tcPr>
            <w:tcW w:w="0" w:type="dxa"/>
            <w:vAlign w:val="bottom"/>
          </w:tcPr>
          <w:p>
            <w:pPr>
              <w:spacing w:after="0"/>
              <w:rPr>
                <w:sz w:val="1"/>
                <w:szCs w:val="1"/>
                <w:color w:val="auto"/>
              </w:rPr>
            </w:pPr>
          </w:p>
        </w:tc>
      </w:tr>
      <w:tr>
        <w:trPr>
          <w:trHeight w:val="198"/>
        </w:trPr>
        <w:tc>
          <w:tcPr>
            <w:tcW w:w="1120" w:type="dxa"/>
            <w:vAlign w:val="bottom"/>
            <w:vMerge w:val="restart"/>
          </w:tcPr>
          <w:p>
            <w:pPr>
              <w:spacing w:after="0"/>
              <w:rPr>
                <w:sz w:val="20"/>
                <w:szCs w:val="20"/>
                <w:color w:val="auto"/>
              </w:rPr>
            </w:pPr>
            <w:r>
              <w:rPr>
                <w:rFonts w:ascii="Arial" w:cs="Arial" w:eastAsia="Arial" w:hAnsi="Arial"/>
                <w:sz w:val="19"/>
                <w:szCs w:val="19"/>
                <w:color w:val="auto"/>
              </w:rPr>
              <w:t>10.6#</w:t>
            </w:r>
          </w:p>
        </w:tc>
        <w:tc>
          <w:tcPr>
            <w:tcW w:w="200" w:type="dxa"/>
            <w:vAlign w:val="bottom"/>
          </w:tcPr>
          <w:p>
            <w:pPr>
              <w:spacing w:after="0"/>
              <w:rPr>
                <w:sz w:val="17"/>
                <w:szCs w:val="17"/>
                <w:color w:val="auto"/>
              </w:rPr>
            </w:pPr>
          </w:p>
        </w:tc>
        <w:tc>
          <w:tcPr>
            <w:tcW w:w="800" w:type="dxa"/>
            <w:vAlign w:val="bottom"/>
            <w:tcBorders>
              <w:top w:val="single" w:sz="8" w:color="0000FF"/>
              <w:bottom w:val="single" w:sz="8" w:color="0000FF"/>
            </w:tcBorders>
            <w:gridSpan w:val="2"/>
          </w:tcPr>
          <w:p>
            <w:pPr>
              <w:spacing w:after="0" w:line="199" w:lineRule="exact"/>
              <w:rPr>
                <w:sz w:val="20"/>
                <w:szCs w:val="20"/>
                <w:color w:val="auto"/>
              </w:rPr>
            </w:pPr>
            <w:r>
              <w:rPr>
                <w:rFonts w:ascii="Arial" w:cs="Arial" w:eastAsia="Arial" w:hAnsi="Arial"/>
                <w:sz w:val="19"/>
                <w:szCs w:val="19"/>
                <w:color w:val="0000FF"/>
                <w:w w:val="97"/>
              </w:rPr>
              <w:t>16, 2021)</w:t>
            </w:r>
          </w:p>
        </w:tc>
        <w:tc>
          <w:tcPr>
            <w:tcW w:w="74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14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140" w:type="dxa"/>
            <w:vAlign w:val="bottom"/>
            <w:tcBorders>
              <w:top w:val="single" w:sz="8" w:color="0000FF"/>
            </w:tcBorders>
          </w:tcPr>
          <w:p>
            <w:pPr>
              <w:spacing w:after="0"/>
              <w:rPr>
                <w:sz w:val="17"/>
                <w:szCs w:val="17"/>
                <w:color w:val="auto"/>
              </w:rPr>
            </w:pPr>
          </w:p>
        </w:tc>
        <w:tc>
          <w:tcPr>
            <w:tcW w:w="150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1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100" w:type="dxa"/>
            <w:vAlign w:val="bottom"/>
            <w:tcBorders>
              <w:bottom w:val="single" w:sz="8" w:color="0000FF"/>
            </w:tcBorders>
            <w:gridSpan w:val="14"/>
          </w:tcPr>
          <w:p>
            <w:pPr>
              <w:spacing w:after="0" w:line="214" w:lineRule="exact"/>
              <w:rPr>
                <w:sz w:val="20"/>
                <w:szCs w:val="20"/>
                <w:color w:val="auto"/>
              </w:rPr>
            </w:pPr>
            <w:r>
              <w:rPr>
                <w:rFonts w:ascii="Arial" w:cs="Arial" w:eastAsia="Arial" w:hAnsi="Arial"/>
                <w:sz w:val="19"/>
                <w:szCs w:val="19"/>
                <w:color w:val="0000FF"/>
                <w:w w:val="99"/>
              </w:rPr>
              <w:t>Form of Indemnification Agreement (incorporated by reference to Exhibit 10.6 to the Registrant’s</w:t>
            </w:r>
          </w:p>
        </w:tc>
        <w:tc>
          <w:tcPr>
            <w:tcW w:w="660" w:type="dxa"/>
            <w:vAlign w:val="bottom"/>
            <w:gridSpan w:val="21"/>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120" w:type="dxa"/>
            <w:vAlign w:val="bottom"/>
            <w:vMerge w:val="restart"/>
          </w:tcPr>
          <w:p>
            <w:pPr>
              <w:spacing w:after="0"/>
              <w:rPr>
                <w:sz w:val="20"/>
                <w:szCs w:val="20"/>
                <w:color w:val="auto"/>
              </w:rPr>
            </w:pPr>
            <w:r>
              <w:rPr>
                <w:rFonts w:ascii="Arial" w:cs="Arial" w:eastAsia="Arial" w:hAnsi="Arial"/>
                <w:sz w:val="19"/>
                <w:szCs w:val="19"/>
                <w:color w:val="auto"/>
              </w:rPr>
              <w:t>10.7</w:t>
            </w:r>
          </w:p>
        </w:tc>
        <w:tc>
          <w:tcPr>
            <w:tcW w:w="200" w:type="dxa"/>
            <w:vAlign w:val="bottom"/>
          </w:tcPr>
          <w:p>
            <w:pPr>
              <w:spacing w:after="0"/>
              <w:rPr>
                <w:sz w:val="17"/>
                <w:szCs w:val="17"/>
                <w:color w:val="auto"/>
              </w:rPr>
            </w:pPr>
          </w:p>
        </w:tc>
        <w:tc>
          <w:tcPr>
            <w:tcW w:w="8760" w:type="dxa"/>
            <w:vAlign w:val="bottom"/>
            <w:gridSpan w:val="35"/>
          </w:tcPr>
          <w:p>
            <w:pPr>
              <w:spacing w:after="0" w:line="199" w:lineRule="exact"/>
              <w:rPr>
                <w:sz w:val="20"/>
                <w:szCs w:val="20"/>
                <w:color w:val="auto"/>
              </w:rPr>
            </w:pPr>
            <w:r>
              <w:rPr>
                <w:rFonts w:ascii="Arial" w:cs="Arial" w:eastAsia="Arial" w:hAnsi="Arial"/>
                <w:sz w:val="19"/>
                <w:szCs w:val="19"/>
                <w:color w:val="0000FF"/>
              </w:rPr>
              <w:t>Registration Statement on Form S-1/A (File No. 333- 257444) filed with the SEC on July 16, 2021)</w:t>
            </w:r>
          </w:p>
        </w:tc>
        <w:tc>
          <w:tcPr>
            <w:tcW w:w="0" w:type="dxa"/>
            <w:vAlign w:val="bottom"/>
          </w:tcPr>
          <w:p>
            <w:pPr>
              <w:spacing w:after="0"/>
              <w:rPr>
                <w:sz w:val="1"/>
                <w:szCs w:val="1"/>
                <w:color w:val="auto"/>
              </w:rPr>
            </w:pPr>
          </w:p>
        </w:tc>
      </w:tr>
      <w:tr>
        <w:trPr>
          <w:trHeight w:val="20"/>
        </w:trPr>
        <w:tc>
          <w:tcPr>
            <w:tcW w:w="112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300" w:type="dxa"/>
            <w:vAlign w:val="bottom"/>
            <w:gridSpan w:val="8"/>
            <w:shd w:val="clear" w:color="auto" w:fill="0000FF"/>
          </w:tcPr>
          <w:p>
            <w:pPr>
              <w:spacing w:after="0" w:line="20" w:lineRule="exact"/>
              <w:rPr>
                <w:sz w:val="1"/>
                <w:szCs w:val="1"/>
                <w:color w:val="auto"/>
              </w:rPr>
            </w:pPr>
          </w:p>
        </w:tc>
        <w:tc>
          <w:tcPr>
            <w:tcW w:w="2880" w:type="dxa"/>
            <w:vAlign w:val="bottom"/>
            <w:gridSpan w:val="10"/>
            <w:shd w:val="clear" w:color="auto" w:fill="0000FF"/>
          </w:tcPr>
          <w:p>
            <w:pPr>
              <w:spacing w:after="0" w:line="20" w:lineRule="exact"/>
              <w:rPr>
                <w:sz w:val="1"/>
                <w:szCs w:val="1"/>
                <w:color w:val="auto"/>
              </w:rPr>
            </w:pPr>
          </w:p>
        </w:tc>
        <w:tc>
          <w:tcPr>
            <w:tcW w:w="260" w:type="dxa"/>
            <w:vAlign w:val="bottom"/>
            <w:tcBorders>
              <w:left w:val="single" w:sz="8" w:color="0000FF"/>
            </w:tcBorders>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1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760" w:type="dxa"/>
            <w:vAlign w:val="bottom"/>
            <w:gridSpan w:val="35"/>
          </w:tcPr>
          <w:p>
            <w:pPr>
              <w:spacing w:after="0" w:line="214" w:lineRule="exact"/>
              <w:rPr>
                <w:sz w:val="20"/>
                <w:szCs w:val="20"/>
                <w:color w:val="auto"/>
              </w:rPr>
            </w:pPr>
            <w:r>
              <w:rPr>
                <w:rFonts w:ascii="Arial" w:cs="Arial" w:eastAsia="Arial" w:hAnsi="Arial"/>
                <w:sz w:val="19"/>
                <w:szCs w:val="19"/>
                <w:color w:val="0000FF"/>
              </w:rPr>
              <w:t>Exclusive License Agreement by and between Advantagene, Inc. and Ventagen, LLC dated March 1,</w:t>
            </w:r>
          </w:p>
        </w:tc>
        <w:tc>
          <w:tcPr>
            <w:tcW w:w="0" w:type="dxa"/>
            <w:vAlign w:val="bottom"/>
          </w:tcPr>
          <w:p>
            <w:pPr>
              <w:spacing w:after="0"/>
              <w:rPr>
                <w:sz w:val="1"/>
                <w:szCs w:val="1"/>
                <w:color w:val="auto"/>
              </w:rPr>
            </w:pPr>
          </w:p>
        </w:tc>
      </w:tr>
      <w:tr>
        <w:trPr>
          <w:trHeight w:val="198"/>
        </w:trPr>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500" w:type="dxa"/>
            <w:vAlign w:val="bottom"/>
            <w:tcBorders>
              <w:top w:val="single" w:sz="8" w:color="0000FF"/>
              <w:bottom w:val="single" w:sz="8" w:color="0000FF"/>
            </w:tcBorders>
            <w:gridSpan w:val="23"/>
          </w:tcPr>
          <w:p>
            <w:pPr>
              <w:spacing w:after="0" w:line="199" w:lineRule="exact"/>
              <w:rPr>
                <w:sz w:val="20"/>
                <w:szCs w:val="20"/>
                <w:color w:val="auto"/>
              </w:rPr>
            </w:pPr>
            <w:r>
              <w:rPr>
                <w:rFonts w:ascii="Arial" w:cs="Arial" w:eastAsia="Arial" w:hAnsi="Arial"/>
                <w:sz w:val="19"/>
                <w:szCs w:val="19"/>
                <w:color w:val="0000FF"/>
              </w:rPr>
              <w:t>2014 (incorporated by reference to Exhibit 10.7 to the Registrant’s Registration Statement on Form S</w:t>
            </w:r>
          </w:p>
        </w:tc>
        <w:tc>
          <w:tcPr>
            <w:tcW w:w="40" w:type="dxa"/>
            <w:vAlign w:val="bottom"/>
            <w:tcBorders>
              <w:bottom w:val="single" w:sz="8" w:color="0000FF"/>
            </w:tcBorders>
            <w:gridSpan w:val="2"/>
          </w:tcPr>
          <w:p>
            <w:pPr>
              <w:jc w:val="right"/>
              <w:spacing w:after="0"/>
              <w:rPr>
                <w:sz w:val="20"/>
                <w:szCs w:val="20"/>
                <w:color w:val="auto"/>
              </w:rPr>
            </w:pPr>
            <w:r>
              <w:rPr>
                <w:rFonts w:ascii="Arial" w:cs="Arial" w:eastAsia="Arial" w:hAnsi="Arial"/>
                <w:sz w:val="8"/>
                <w:szCs w:val="8"/>
                <w:color w:val="0000FF"/>
                <w:w w:val="73"/>
              </w:rPr>
              <w:t>-</w:t>
            </w:r>
          </w:p>
        </w:tc>
        <w:tc>
          <w:tcPr>
            <w:tcW w:w="120" w:type="dxa"/>
            <w:vAlign w:val="bottom"/>
            <w:gridSpan w:val="5"/>
          </w:tcPr>
          <w:p>
            <w:pPr>
              <w:spacing w:after="0"/>
              <w:rPr>
                <w:sz w:val="17"/>
                <w:szCs w:val="17"/>
                <w:color w:val="auto"/>
              </w:rPr>
            </w:pPr>
          </w:p>
        </w:tc>
        <w:tc>
          <w:tcPr>
            <w:tcW w:w="1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20" w:type="dxa"/>
            <w:vAlign w:val="bottom"/>
            <w:vMerge w:val="restart"/>
          </w:tcPr>
          <w:p>
            <w:pPr>
              <w:spacing w:after="0"/>
              <w:rPr>
                <w:sz w:val="20"/>
                <w:szCs w:val="20"/>
                <w:color w:val="auto"/>
              </w:rPr>
            </w:pPr>
            <w:r>
              <w:rPr>
                <w:rFonts w:ascii="Arial" w:cs="Arial" w:eastAsia="Arial" w:hAnsi="Arial"/>
                <w:sz w:val="19"/>
                <w:szCs w:val="19"/>
                <w:color w:val="auto"/>
              </w:rPr>
              <w:t>10.8</w:t>
            </w:r>
          </w:p>
        </w:tc>
        <w:tc>
          <w:tcPr>
            <w:tcW w:w="200" w:type="dxa"/>
            <w:vAlign w:val="bottom"/>
          </w:tcPr>
          <w:p>
            <w:pPr>
              <w:spacing w:after="0"/>
              <w:rPr>
                <w:sz w:val="17"/>
                <w:szCs w:val="17"/>
                <w:color w:val="auto"/>
              </w:rPr>
            </w:pPr>
          </w:p>
        </w:tc>
        <w:tc>
          <w:tcPr>
            <w:tcW w:w="8540" w:type="dxa"/>
            <w:vAlign w:val="bottom"/>
            <w:gridSpan w:val="25"/>
          </w:tcPr>
          <w:p>
            <w:pPr>
              <w:spacing w:after="0" w:line="199" w:lineRule="exact"/>
              <w:rPr>
                <w:sz w:val="20"/>
                <w:szCs w:val="20"/>
                <w:color w:val="auto"/>
              </w:rPr>
            </w:pPr>
            <w:r>
              <w:rPr>
                <w:rFonts w:ascii="Arial" w:cs="Arial" w:eastAsia="Arial" w:hAnsi="Arial"/>
                <w:sz w:val="19"/>
                <w:szCs w:val="19"/>
                <w:color w:val="0000FF"/>
              </w:rPr>
              <w:t>1/A (File No. 333- 257444) filed with the SEC on July 16, 2021)</w:t>
            </w:r>
          </w:p>
        </w:tc>
        <w:tc>
          <w:tcPr>
            <w:tcW w:w="120" w:type="dxa"/>
            <w:vAlign w:val="bottom"/>
            <w:gridSpan w:val="5"/>
          </w:tcPr>
          <w:p>
            <w:pPr>
              <w:spacing w:after="0"/>
              <w:rPr>
                <w:sz w:val="17"/>
                <w:szCs w:val="17"/>
                <w:color w:val="auto"/>
              </w:rPr>
            </w:pPr>
          </w:p>
        </w:tc>
        <w:tc>
          <w:tcPr>
            <w:tcW w:w="1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300" w:type="dxa"/>
            <w:vAlign w:val="bottom"/>
            <w:gridSpan w:val="8"/>
            <w:shd w:val="clear" w:color="auto" w:fill="0000FF"/>
          </w:tcPr>
          <w:p>
            <w:pPr>
              <w:spacing w:after="0" w:line="20" w:lineRule="exact"/>
              <w:rPr>
                <w:sz w:val="1"/>
                <w:szCs w:val="1"/>
                <w:color w:val="auto"/>
              </w:rPr>
            </w:pPr>
          </w:p>
        </w:tc>
        <w:tc>
          <w:tcPr>
            <w:tcW w:w="2880" w:type="dxa"/>
            <w:vAlign w:val="bottom"/>
            <w:gridSpan w:val="10"/>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20" w:type="dxa"/>
            <w:vAlign w:val="bottom"/>
            <w:gridSpan w:val="9"/>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1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760" w:type="dxa"/>
            <w:vAlign w:val="bottom"/>
            <w:gridSpan w:val="35"/>
          </w:tcPr>
          <w:p>
            <w:pPr>
              <w:spacing w:after="0" w:line="214" w:lineRule="exact"/>
              <w:rPr>
                <w:sz w:val="20"/>
                <w:szCs w:val="20"/>
                <w:color w:val="auto"/>
              </w:rPr>
            </w:pPr>
            <w:r>
              <w:rPr>
                <w:rFonts w:ascii="Arial" w:cs="Arial" w:eastAsia="Arial" w:hAnsi="Arial"/>
                <w:sz w:val="19"/>
                <w:szCs w:val="19"/>
                <w:color w:val="0000FF"/>
              </w:rPr>
              <w:t>Exclusive License Agreement by and between Advantagene, Inc., d/b/a Candel Therapeutics and</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180" w:type="dxa"/>
            <w:vAlign w:val="bottom"/>
            <w:gridSpan w:val="18"/>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20" w:type="dxa"/>
            <w:vAlign w:val="bottom"/>
            <w:gridSpan w:val="9"/>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60" w:type="dxa"/>
            <w:vAlign w:val="bottom"/>
            <w:gridSpan w:val="35"/>
          </w:tcPr>
          <w:p>
            <w:pPr>
              <w:spacing w:after="0" w:line="199" w:lineRule="exact"/>
              <w:rPr>
                <w:sz w:val="20"/>
                <w:szCs w:val="20"/>
                <w:color w:val="auto"/>
              </w:rPr>
            </w:pPr>
            <w:r>
              <w:rPr>
                <w:rFonts w:ascii="Arial" w:cs="Arial" w:eastAsia="Arial" w:hAnsi="Arial"/>
                <w:sz w:val="19"/>
                <w:szCs w:val="19"/>
                <w:color w:val="0000FF"/>
              </w:rPr>
              <w:t>Periphagen, Inc. dated December 9, 2019 (incorporated by reference to Exhibit 10.8 to the Registrant’s</w:t>
            </w:r>
          </w:p>
        </w:tc>
        <w:tc>
          <w:tcPr>
            <w:tcW w:w="0" w:type="dxa"/>
            <w:vAlign w:val="bottom"/>
          </w:tcPr>
          <w:p>
            <w:pPr>
              <w:spacing w:after="0"/>
              <w:rPr>
                <w:sz w:val="1"/>
                <w:szCs w:val="1"/>
                <w:color w:val="auto"/>
              </w:rPr>
            </w:pPr>
          </w:p>
        </w:tc>
      </w:tr>
      <w:tr>
        <w:trPr>
          <w:trHeight w:val="198"/>
        </w:trPr>
        <w:tc>
          <w:tcPr>
            <w:tcW w:w="1120" w:type="dxa"/>
            <w:vAlign w:val="bottom"/>
            <w:vMerge w:val="restart"/>
          </w:tcPr>
          <w:p>
            <w:pPr>
              <w:spacing w:after="0"/>
              <w:rPr>
                <w:sz w:val="20"/>
                <w:szCs w:val="20"/>
                <w:color w:val="auto"/>
              </w:rPr>
            </w:pPr>
            <w:r>
              <w:rPr>
                <w:rFonts w:ascii="Arial" w:cs="Arial" w:eastAsia="Arial" w:hAnsi="Arial"/>
                <w:sz w:val="19"/>
                <w:szCs w:val="19"/>
                <w:color w:val="auto"/>
              </w:rPr>
              <w:t>10.9</w:t>
            </w:r>
          </w:p>
        </w:tc>
        <w:tc>
          <w:tcPr>
            <w:tcW w:w="200" w:type="dxa"/>
            <w:vAlign w:val="bottom"/>
          </w:tcPr>
          <w:p>
            <w:pPr>
              <w:spacing w:after="0"/>
              <w:rPr>
                <w:sz w:val="17"/>
                <w:szCs w:val="17"/>
                <w:color w:val="auto"/>
              </w:rPr>
            </w:pPr>
          </w:p>
        </w:tc>
        <w:tc>
          <w:tcPr>
            <w:tcW w:w="8660" w:type="dxa"/>
            <w:vAlign w:val="bottom"/>
            <w:tcBorders>
              <w:top w:val="single" w:sz="8" w:color="0000FF"/>
            </w:tcBorders>
            <w:gridSpan w:val="30"/>
          </w:tcPr>
          <w:p>
            <w:pPr>
              <w:spacing w:after="0" w:line="199" w:lineRule="exact"/>
              <w:rPr>
                <w:sz w:val="20"/>
                <w:szCs w:val="20"/>
                <w:color w:val="auto"/>
              </w:rPr>
            </w:pPr>
            <w:r>
              <w:rPr>
                <w:rFonts w:ascii="Arial" w:cs="Arial" w:eastAsia="Arial" w:hAnsi="Arial"/>
                <w:sz w:val="19"/>
                <w:szCs w:val="19"/>
                <w:color w:val="0000FF"/>
              </w:rPr>
              <w:t>Registration Statement on Form S-1/A (File No. 333- 257444) filed with the SEC on July 16, 2021)</w:t>
            </w:r>
          </w:p>
        </w:tc>
        <w:tc>
          <w:tcPr>
            <w:tcW w:w="1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180" w:type="dxa"/>
            <w:vAlign w:val="bottom"/>
            <w:gridSpan w:val="18"/>
            <w:shd w:val="clear" w:color="auto" w:fill="0000FF"/>
          </w:tcPr>
          <w:p>
            <w:pPr>
              <w:spacing w:after="0" w:line="20" w:lineRule="exact"/>
              <w:rPr>
                <w:sz w:val="1"/>
                <w:szCs w:val="1"/>
                <w:color w:val="auto"/>
              </w:rPr>
            </w:pPr>
          </w:p>
        </w:tc>
        <w:tc>
          <w:tcPr>
            <w:tcW w:w="260" w:type="dxa"/>
            <w:vAlign w:val="bottom"/>
            <w:tcBorders>
              <w:left w:val="single" w:sz="8" w:color="0000FF"/>
            </w:tcBorders>
            <w:gridSpan w:val="3"/>
          </w:tcPr>
          <w:p>
            <w:pPr>
              <w:spacing w:after="0" w:line="20" w:lineRule="exact"/>
              <w:rPr>
                <w:sz w:val="1"/>
                <w:szCs w:val="1"/>
                <w:color w:val="auto"/>
              </w:rPr>
            </w:pPr>
          </w:p>
        </w:tc>
        <w:tc>
          <w:tcPr>
            <w:tcW w:w="220" w:type="dxa"/>
            <w:vAlign w:val="bottom"/>
            <w:gridSpan w:val="9"/>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1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760" w:type="dxa"/>
            <w:vAlign w:val="bottom"/>
            <w:gridSpan w:val="35"/>
          </w:tcPr>
          <w:p>
            <w:pPr>
              <w:spacing w:after="0" w:line="214" w:lineRule="exact"/>
              <w:rPr>
                <w:sz w:val="20"/>
                <w:szCs w:val="20"/>
                <w:color w:val="auto"/>
              </w:rPr>
            </w:pPr>
            <w:r>
              <w:rPr>
                <w:rFonts w:ascii="Arial" w:cs="Arial" w:eastAsia="Arial" w:hAnsi="Arial"/>
                <w:sz w:val="19"/>
                <w:szCs w:val="19"/>
                <w:color w:val="0000FF"/>
              </w:rPr>
              <w:t>Exclusive Patent License Agreement by and between Advantagene, Inc. and Mass General Brigham</w:t>
            </w:r>
          </w:p>
        </w:tc>
        <w:tc>
          <w:tcPr>
            <w:tcW w:w="0" w:type="dxa"/>
            <w:vAlign w:val="bottom"/>
          </w:tcPr>
          <w:p>
            <w:pPr>
              <w:spacing w:after="0"/>
              <w:rPr>
                <w:sz w:val="1"/>
                <w:szCs w:val="1"/>
                <w:color w:val="auto"/>
              </w:rPr>
            </w:pPr>
          </w:p>
        </w:tc>
      </w:tr>
      <w:tr>
        <w:trPr>
          <w:trHeight w:val="198"/>
        </w:trPr>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40" w:type="dxa"/>
            <w:vAlign w:val="bottom"/>
            <w:tcBorders>
              <w:top w:val="single" w:sz="8" w:color="0000FF"/>
              <w:bottom w:val="single" w:sz="8" w:color="0000FF"/>
            </w:tcBorders>
            <w:gridSpan w:val="21"/>
          </w:tcPr>
          <w:p>
            <w:pPr>
              <w:spacing w:after="0" w:line="199" w:lineRule="exact"/>
              <w:rPr>
                <w:sz w:val="20"/>
                <w:szCs w:val="20"/>
                <w:color w:val="auto"/>
              </w:rPr>
            </w:pPr>
            <w:r>
              <w:rPr>
                <w:rFonts w:ascii="Arial" w:cs="Arial" w:eastAsia="Arial" w:hAnsi="Arial"/>
                <w:sz w:val="19"/>
                <w:szCs w:val="19"/>
                <w:color w:val="0000FF"/>
                <w:w w:val="97"/>
              </w:rPr>
              <w:t>(formerly known as The Brigham and Women’s Hospital, Inc.) dated September 15, 2020 (incorporated</w:t>
            </w:r>
          </w:p>
        </w:tc>
        <w:tc>
          <w:tcPr>
            <w:tcW w:w="220" w:type="dxa"/>
            <w:vAlign w:val="bottom"/>
            <w:tcBorders>
              <w:bottom w:val="single" w:sz="8" w:color="0000FF"/>
            </w:tcBorders>
            <w:gridSpan w:val="9"/>
          </w:tcPr>
          <w:p>
            <w:pPr>
              <w:spacing w:after="0"/>
              <w:rPr>
                <w:sz w:val="17"/>
                <w:szCs w:val="17"/>
                <w:color w:val="auto"/>
              </w:rPr>
            </w:pPr>
          </w:p>
        </w:tc>
        <w:tc>
          <w:tcPr>
            <w:tcW w:w="1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841"/>
        </w:trPr>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60" w:type="dxa"/>
            <w:vAlign w:val="bottom"/>
            <w:gridSpan w:val="7"/>
          </w:tcPr>
          <w:p>
            <w:pPr>
              <w:ind w:left="3560"/>
              <w:spacing w:after="0"/>
              <w:rPr>
                <w:sz w:val="20"/>
                <w:szCs w:val="20"/>
                <w:color w:val="auto"/>
              </w:rPr>
            </w:pPr>
            <w:r>
              <w:rPr>
                <w:rFonts w:ascii="Arial" w:cs="Arial" w:eastAsia="Arial" w:hAnsi="Arial"/>
                <w:sz w:val="19"/>
                <w:szCs w:val="19"/>
                <w:color w:val="auto"/>
              </w:rPr>
              <w:t>117</w:t>
            </w:r>
          </w:p>
        </w:tc>
        <w:tc>
          <w:tcPr>
            <w:tcW w:w="1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-6938010</wp:posOffset>
            </wp:positionV>
            <wp:extent cx="6426200" cy="64179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7">
                      <a:extLst>
                        <a:ext uri="{28A0092B-C50C-407E-A947-70E740481C1C}"/>
                      </a:extLst>
                    </a:blip>
                    <a:srcRect/>
                    <a:stretch>
                      <a:fillRect/>
                    </a:stretch>
                  </pic:blipFill>
                  <pic:spPr bwMode="auto">
                    <a:xfrm>
                      <a:off x="0" y="0"/>
                      <a:ext cx="6426200" cy="6417945"/>
                    </a:xfrm>
                    <a:prstGeom prst="rect">
                      <a:avLst/>
                    </a:prstGeom>
                    <a:noFill/>
                  </pic:spPr>
                </pic:pic>
              </a:graphicData>
            </a:graphic>
          </wp:anchor>
        </w:drawing>
      </w:r>
    </w:p>
    <w:p>
      <w:pPr>
        <w:sectPr>
          <w:pgSz w:w="12240" w:h="15840" w:orient="portrait"/>
          <w:cols w:equalWidth="0" w:num="1">
            <w:col w:w="10080"/>
          </w:cols>
          <w:pgMar w:left="1080" w:top="1058" w:right="1080" w:bottom="136"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18"/>
        </w:trPr>
        <w:tc>
          <w:tcPr>
            <w:tcW w:w="1320" w:type="dxa"/>
            <w:vAlign w:val="bottom"/>
          </w:tcPr>
          <w:p>
            <w:pPr>
              <w:spacing w:after="0"/>
              <w:rPr>
                <w:sz w:val="18"/>
                <w:szCs w:val="18"/>
                <w:color w:val="auto"/>
              </w:rPr>
            </w:pPr>
          </w:p>
        </w:tc>
        <w:tc>
          <w:tcPr>
            <w:tcW w:w="8780" w:type="dxa"/>
            <w:vAlign w:val="bottom"/>
            <w:gridSpan w:val="36"/>
          </w:tcPr>
          <w:p>
            <w:pPr>
              <w:spacing w:after="0"/>
              <w:rPr>
                <w:sz w:val="20"/>
                <w:szCs w:val="20"/>
                <w:color w:val="auto"/>
              </w:rPr>
            </w:pPr>
            <w:r>
              <w:rPr>
                <w:rFonts w:ascii="Arial" w:cs="Arial" w:eastAsia="Arial" w:hAnsi="Arial"/>
                <w:sz w:val="19"/>
                <w:szCs w:val="19"/>
                <w:color w:val="0000FF"/>
              </w:rPr>
              <w:t>by reference to Exhibit 10.9 to the Registrant’s Registration Statement on Form S-1/A (File No. 333-</w:t>
            </w:r>
          </w:p>
        </w:tc>
        <w:tc>
          <w:tcPr>
            <w:tcW w:w="0" w:type="dxa"/>
            <w:vAlign w:val="bottom"/>
          </w:tcPr>
          <w:p>
            <w:pPr>
              <w:spacing w:after="0"/>
              <w:rPr>
                <w:sz w:val="1"/>
                <w:szCs w:val="1"/>
                <w:color w:val="auto"/>
              </w:rPr>
            </w:pPr>
          </w:p>
        </w:tc>
      </w:tr>
      <w:tr>
        <w:trPr>
          <w:trHeight w:val="198"/>
        </w:trPr>
        <w:tc>
          <w:tcPr>
            <w:tcW w:w="1320" w:type="dxa"/>
            <w:vAlign w:val="bottom"/>
            <w:vMerge w:val="restart"/>
          </w:tcPr>
          <w:p>
            <w:pPr>
              <w:spacing w:after="0"/>
              <w:rPr>
                <w:sz w:val="20"/>
                <w:szCs w:val="20"/>
                <w:color w:val="auto"/>
              </w:rPr>
            </w:pPr>
            <w:r>
              <w:rPr>
                <w:rFonts w:ascii="Arial" w:cs="Arial" w:eastAsia="Arial" w:hAnsi="Arial"/>
                <w:sz w:val="19"/>
                <w:szCs w:val="19"/>
                <w:color w:val="auto"/>
              </w:rPr>
              <w:t>10.10</w:t>
            </w:r>
          </w:p>
        </w:tc>
        <w:tc>
          <w:tcPr>
            <w:tcW w:w="8380" w:type="dxa"/>
            <w:vAlign w:val="bottom"/>
            <w:tcBorders>
              <w:top w:val="single" w:sz="8" w:color="0000FF"/>
            </w:tcBorders>
            <w:gridSpan w:val="20"/>
          </w:tcPr>
          <w:p>
            <w:pPr>
              <w:spacing w:after="0" w:line="199" w:lineRule="exact"/>
              <w:rPr>
                <w:sz w:val="20"/>
                <w:szCs w:val="20"/>
                <w:color w:val="auto"/>
              </w:rPr>
            </w:pPr>
            <w:r>
              <w:rPr>
                <w:rFonts w:ascii="Arial" w:cs="Arial" w:eastAsia="Arial" w:hAnsi="Arial"/>
                <w:sz w:val="19"/>
                <w:szCs w:val="19"/>
                <w:color w:val="0000FF"/>
              </w:rPr>
              <w:t>257444) filed with the SEC on July 16, 2021)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20" w:type="dxa"/>
            <w:vAlign w:val="bottom"/>
            <w:vMerge w:val="continue"/>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320" w:type="dxa"/>
            <w:vAlign w:val="bottom"/>
            <w:vMerge w:val="continue"/>
          </w:tcPr>
          <w:p>
            <w:pPr>
              <w:spacing w:after="0"/>
              <w:rPr>
                <w:sz w:val="18"/>
                <w:szCs w:val="18"/>
                <w:color w:val="auto"/>
              </w:rPr>
            </w:pPr>
          </w:p>
        </w:tc>
        <w:tc>
          <w:tcPr>
            <w:tcW w:w="8780" w:type="dxa"/>
            <w:vAlign w:val="bottom"/>
            <w:gridSpan w:val="36"/>
          </w:tcPr>
          <w:p>
            <w:pPr>
              <w:spacing w:after="0" w:line="214" w:lineRule="exact"/>
              <w:rPr>
                <w:sz w:val="20"/>
                <w:szCs w:val="20"/>
                <w:color w:val="auto"/>
              </w:rPr>
            </w:pPr>
            <w:r>
              <w:rPr>
                <w:rFonts w:ascii="Arial" w:cs="Arial" w:eastAsia="Arial" w:hAnsi="Arial"/>
                <w:sz w:val="19"/>
                <w:szCs w:val="19"/>
                <w:color w:val="0000FF"/>
              </w:rPr>
              <w:t>Lease of Premises at 117 Kendrick Street, Needham, Massachusetts by and between 117 Kendrick DE,</w:t>
            </w:r>
          </w:p>
        </w:tc>
        <w:tc>
          <w:tcPr>
            <w:tcW w:w="0" w:type="dxa"/>
            <w:vAlign w:val="bottom"/>
          </w:tcPr>
          <w:p>
            <w:pPr>
              <w:spacing w:after="0"/>
              <w:rPr>
                <w:sz w:val="1"/>
                <w:szCs w:val="1"/>
                <w:color w:val="auto"/>
              </w:rPr>
            </w:pPr>
          </w:p>
        </w:tc>
      </w:tr>
      <w:tr>
        <w:trPr>
          <w:trHeight w:val="198"/>
        </w:trPr>
        <w:tc>
          <w:tcPr>
            <w:tcW w:w="1320" w:type="dxa"/>
            <w:vAlign w:val="bottom"/>
          </w:tcPr>
          <w:p>
            <w:pPr>
              <w:spacing w:after="0"/>
              <w:rPr>
                <w:sz w:val="17"/>
                <w:szCs w:val="17"/>
                <w:color w:val="auto"/>
              </w:rPr>
            </w:pPr>
          </w:p>
        </w:tc>
        <w:tc>
          <w:tcPr>
            <w:tcW w:w="8760" w:type="dxa"/>
            <w:vAlign w:val="bottom"/>
            <w:tcBorders>
              <w:top w:val="single" w:sz="8" w:color="0000FF"/>
            </w:tcBorders>
            <w:gridSpan w:val="35"/>
          </w:tcPr>
          <w:p>
            <w:pPr>
              <w:spacing w:after="0" w:line="199" w:lineRule="exact"/>
              <w:rPr>
                <w:sz w:val="20"/>
                <w:szCs w:val="20"/>
                <w:color w:val="auto"/>
              </w:rPr>
            </w:pPr>
            <w:r>
              <w:rPr>
                <w:rFonts w:ascii="Arial" w:cs="Arial" w:eastAsia="Arial" w:hAnsi="Arial"/>
                <w:sz w:val="19"/>
                <w:szCs w:val="19"/>
                <w:color w:val="0000FF"/>
              </w:rPr>
              <w:t>LLC and the Registrant dated as of February 4, 2019 (incorporated by reference to Exhibit 10.10 to the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320" w:type="dxa"/>
            <w:vAlign w:val="bottom"/>
          </w:tcPr>
          <w:p>
            <w:pPr>
              <w:spacing w:after="0"/>
              <w:rPr>
                <w:sz w:val="17"/>
                <w:szCs w:val="17"/>
                <w:color w:val="auto"/>
              </w:rPr>
            </w:pPr>
          </w:p>
        </w:tc>
        <w:tc>
          <w:tcPr>
            <w:tcW w:w="8660" w:type="dxa"/>
            <w:vAlign w:val="bottom"/>
            <w:tcBorders>
              <w:top w:val="single" w:sz="8" w:color="0000FF"/>
            </w:tcBorders>
            <w:gridSpan w:val="30"/>
          </w:tcPr>
          <w:p>
            <w:pPr>
              <w:spacing w:after="0" w:line="199" w:lineRule="exact"/>
              <w:rPr>
                <w:sz w:val="20"/>
                <w:szCs w:val="20"/>
                <w:color w:val="auto"/>
              </w:rPr>
            </w:pPr>
            <w:r>
              <w:rPr>
                <w:rFonts w:ascii="Arial" w:cs="Arial" w:eastAsia="Arial" w:hAnsi="Arial"/>
                <w:sz w:val="19"/>
                <w:szCs w:val="19"/>
                <w:color w:val="0000FF"/>
              </w:rPr>
              <w:t>Registrant’s Registration Statement on Form S-1/A (File No. 333- 257444) filed with the SEC on July</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320" w:type="dxa"/>
            <w:vAlign w:val="bottom"/>
            <w:vMerge w:val="restart"/>
          </w:tcPr>
          <w:p>
            <w:pPr>
              <w:spacing w:after="0"/>
              <w:rPr>
                <w:sz w:val="20"/>
                <w:szCs w:val="20"/>
                <w:color w:val="auto"/>
              </w:rPr>
            </w:pPr>
            <w:r>
              <w:rPr>
                <w:rFonts w:ascii="Arial" w:cs="Arial" w:eastAsia="Arial" w:hAnsi="Arial"/>
                <w:sz w:val="19"/>
                <w:szCs w:val="19"/>
                <w:color w:val="auto"/>
              </w:rPr>
              <w:t>10.11</w:t>
            </w:r>
          </w:p>
        </w:tc>
        <w:tc>
          <w:tcPr>
            <w:tcW w:w="2640" w:type="dxa"/>
            <w:vAlign w:val="bottom"/>
            <w:tcBorders>
              <w:top w:val="single" w:sz="8" w:color="0000FF"/>
            </w:tcBorders>
            <w:gridSpan w:val="3"/>
          </w:tcPr>
          <w:p>
            <w:pPr>
              <w:spacing w:after="0" w:line="199" w:lineRule="exact"/>
              <w:rPr>
                <w:sz w:val="20"/>
                <w:szCs w:val="20"/>
                <w:color w:val="auto"/>
              </w:rPr>
            </w:pPr>
            <w:r>
              <w:rPr>
                <w:rFonts w:ascii="Arial" w:cs="Arial" w:eastAsia="Arial" w:hAnsi="Arial"/>
                <w:sz w:val="19"/>
                <w:szCs w:val="19"/>
                <w:color w:val="0000FF"/>
              </w:rPr>
              <w:t>16, 2021)</w:t>
            </w:r>
          </w:p>
        </w:tc>
        <w:tc>
          <w:tcPr>
            <w:tcW w:w="16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6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12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20" w:type="dxa"/>
            <w:vAlign w:val="bottom"/>
            <w:vMerge w:val="continue"/>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320" w:type="dxa"/>
            <w:vAlign w:val="bottom"/>
            <w:vMerge w:val="continue"/>
          </w:tcPr>
          <w:p>
            <w:pPr>
              <w:spacing w:after="0"/>
              <w:rPr>
                <w:sz w:val="18"/>
                <w:szCs w:val="18"/>
                <w:color w:val="auto"/>
              </w:rPr>
            </w:pPr>
          </w:p>
        </w:tc>
        <w:tc>
          <w:tcPr>
            <w:tcW w:w="8780" w:type="dxa"/>
            <w:vAlign w:val="bottom"/>
            <w:gridSpan w:val="36"/>
          </w:tcPr>
          <w:p>
            <w:pPr>
              <w:spacing w:after="0" w:line="214" w:lineRule="exact"/>
              <w:rPr>
                <w:sz w:val="20"/>
                <w:szCs w:val="20"/>
                <w:color w:val="auto"/>
              </w:rPr>
            </w:pPr>
            <w:r>
              <w:rPr>
                <w:rFonts w:ascii="Arial" w:cs="Arial" w:eastAsia="Arial" w:hAnsi="Arial"/>
                <w:sz w:val="19"/>
                <w:szCs w:val="19"/>
                <w:color w:val="0000FF"/>
              </w:rPr>
              <w:t>Loan and Security Agreement by and between the Registrant and Silicon Valley Bank, dated February</w:t>
            </w:r>
          </w:p>
        </w:tc>
        <w:tc>
          <w:tcPr>
            <w:tcW w:w="0" w:type="dxa"/>
            <w:vAlign w:val="bottom"/>
          </w:tcPr>
          <w:p>
            <w:pPr>
              <w:spacing w:after="0"/>
              <w:rPr>
                <w:sz w:val="1"/>
                <w:szCs w:val="1"/>
                <w:color w:val="auto"/>
              </w:rPr>
            </w:pPr>
          </w:p>
        </w:tc>
      </w:tr>
      <w:tr>
        <w:trPr>
          <w:trHeight w:val="198"/>
        </w:trPr>
        <w:tc>
          <w:tcPr>
            <w:tcW w:w="1320" w:type="dxa"/>
            <w:vAlign w:val="bottom"/>
          </w:tcPr>
          <w:p>
            <w:pPr>
              <w:spacing w:after="0"/>
              <w:rPr>
                <w:sz w:val="17"/>
                <w:szCs w:val="17"/>
                <w:color w:val="auto"/>
              </w:rPr>
            </w:pPr>
          </w:p>
        </w:tc>
        <w:tc>
          <w:tcPr>
            <w:tcW w:w="8620" w:type="dxa"/>
            <w:vAlign w:val="bottom"/>
            <w:tcBorders>
              <w:top w:val="single" w:sz="8" w:color="0000FF"/>
            </w:tcBorders>
            <w:gridSpan w:val="28"/>
          </w:tcPr>
          <w:p>
            <w:pPr>
              <w:spacing w:after="0" w:line="199" w:lineRule="exact"/>
              <w:rPr>
                <w:sz w:val="20"/>
                <w:szCs w:val="20"/>
                <w:color w:val="auto"/>
              </w:rPr>
            </w:pPr>
            <w:r>
              <w:rPr>
                <w:rFonts w:ascii="Arial" w:cs="Arial" w:eastAsia="Arial" w:hAnsi="Arial"/>
                <w:sz w:val="19"/>
                <w:szCs w:val="19"/>
                <w:color w:val="0000FF"/>
              </w:rPr>
              <w:t>24, 2022 (incorporated by reference to Exhibit 10.11 to the Registrant's Annual Report on Form 10-K</w:t>
            </w: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320" w:type="dxa"/>
            <w:vAlign w:val="bottom"/>
            <w:vMerge w:val="restart"/>
          </w:tcPr>
          <w:p>
            <w:pPr>
              <w:spacing w:after="0"/>
              <w:rPr>
                <w:sz w:val="20"/>
                <w:szCs w:val="20"/>
                <w:color w:val="auto"/>
              </w:rPr>
            </w:pPr>
            <w:r>
              <w:rPr>
                <w:rFonts w:ascii="Arial" w:cs="Arial" w:eastAsia="Arial" w:hAnsi="Arial"/>
                <w:sz w:val="19"/>
                <w:szCs w:val="19"/>
                <w:color w:val="auto"/>
              </w:rPr>
              <w:t>10.12#</w:t>
            </w:r>
          </w:p>
        </w:tc>
        <w:tc>
          <w:tcPr>
            <w:tcW w:w="8440" w:type="dxa"/>
            <w:vAlign w:val="bottom"/>
            <w:tcBorders>
              <w:top w:val="single" w:sz="8" w:color="0000FF"/>
            </w:tcBorders>
            <w:gridSpan w:val="22"/>
          </w:tcPr>
          <w:p>
            <w:pPr>
              <w:spacing w:after="0" w:line="199" w:lineRule="exact"/>
              <w:rPr>
                <w:sz w:val="20"/>
                <w:szCs w:val="20"/>
                <w:color w:val="auto"/>
              </w:rPr>
            </w:pPr>
            <w:r>
              <w:rPr>
                <w:rFonts w:ascii="Arial" w:cs="Arial" w:eastAsia="Arial" w:hAnsi="Arial"/>
                <w:sz w:val="19"/>
                <w:szCs w:val="19"/>
                <w:color w:val="0000FF"/>
              </w:rPr>
              <w:t>filed with the SEC on March 29, 2022)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20" w:type="dxa"/>
            <w:vAlign w:val="bottom"/>
            <w:vMerge w:val="continue"/>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320" w:type="dxa"/>
            <w:vAlign w:val="bottom"/>
            <w:vMerge w:val="continue"/>
          </w:tcPr>
          <w:p>
            <w:pPr>
              <w:spacing w:after="0"/>
              <w:rPr>
                <w:sz w:val="18"/>
                <w:szCs w:val="18"/>
                <w:color w:val="auto"/>
              </w:rPr>
            </w:pPr>
          </w:p>
        </w:tc>
        <w:tc>
          <w:tcPr>
            <w:tcW w:w="8600" w:type="dxa"/>
            <w:vAlign w:val="bottom"/>
            <w:tcBorders>
              <w:bottom w:val="single" w:sz="8" w:color="0000FF"/>
            </w:tcBorders>
            <w:gridSpan w:val="27"/>
          </w:tcPr>
          <w:p>
            <w:pPr>
              <w:spacing w:after="0" w:line="214" w:lineRule="exact"/>
              <w:rPr>
                <w:sz w:val="20"/>
                <w:szCs w:val="20"/>
                <w:color w:val="auto"/>
              </w:rPr>
            </w:pPr>
            <w:r>
              <w:rPr>
                <w:rFonts w:ascii="Arial" w:cs="Arial" w:eastAsia="Arial" w:hAnsi="Arial"/>
                <w:sz w:val="19"/>
                <w:szCs w:val="19"/>
                <w:color w:val="0000FF"/>
              </w:rPr>
              <w:t>Employment Agreement by and between Candel Therapeutics and Francesca Barone dated February</w:t>
            </w:r>
          </w:p>
        </w:tc>
        <w:tc>
          <w:tcPr>
            <w:tcW w:w="18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320" w:type="dxa"/>
            <w:vAlign w:val="bottom"/>
          </w:tcPr>
          <w:p>
            <w:pPr>
              <w:spacing w:after="0"/>
              <w:rPr>
                <w:sz w:val="17"/>
                <w:szCs w:val="17"/>
                <w:color w:val="auto"/>
              </w:rPr>
            </w:pPr>
          </w:p>
        </w:tc>
        <w:tc>
          <w:tcPr>
            <w:tcW w:w="8780" w:type="dxa"/>
            <w:vAlign w:val="bottom"/>
            <w:tcBorders>
              <w:bottom w:val="single" w:sz="8" w:color="0000FF"/>
            </w:tcBorders>
            <w:gridSpan w:val="36"/>
          </w:tcPr>
          <w:p>
            <w:pPr>
              <w:spacing w:after="0" w:line="199" w:lineRule="exact"/>
              <w:rPr>
                <w:sz w:val="20"/>
                <w:szCs w:val="20"/>
                <w:color w:val="auto"/>
              </w:rPr>
            </w:pPr>
            <w:r>
              <w:rPr>
                <w:rFonts w:ascii="Arial" w:cs="Arial" w:eastAsia="Arial" w:hAnsi="Arial"/>
                <w:sz w:val="19"/>
                <w:szCs w:val="19"/>
                <w:color w:val="0000FF"/>
              </w:rPr>
              <w:t>3, 2022 (incorporated by reference to Exhibit 10.12 to the Registrant's Annual Report on Form 10-K filed</w:t>
            </w:r>
          </w:p>
        </w:tc>
        <w:tc>
          <w:tcPr>
            <w:tcW w:w="0" w:type="dxa"/>
            <w:vAlign w:val="bottom"/>
          </w:tcPr>
          <w:p>
            <w:pPr>
              <w:spacing w:after="0"/>
              <w:rPr>
                <w:sz w:val="1"/>
                <w:szCs w:val="1"/>
                <w:color w:val="auto"/>
              </w:rPr>
            </w:pPr>
          </w:p>
        </w:tc>
      </w:tr>
      <w:tr>
        <w:trPr>
          <w:trHeight w:val="198"/>
        </w:trPr>
        <w:tc>
          <w:tcPr>
            <w:tcW w:w="1320" w:type="dxa"/>
            <w:vAlign w:val="bottom"/>
            <w:vMerge w:val="restart"/>
          </w:tcPr>
          <w:p>
            <w:pPr>
              <w:spacing w:after="0"/>
              <w:rPr>
                <w:sz w:val="20"/>
                <w:szCs w:val="20"/>
                <w:color w:val="auto"/>
              </w:rPr>
            </w:pPr>
            <w:r>
              <w:rPr>
                <w:rFonts w:ascii="Arial" w:cs="Arial" w:eastAsia="Arial" w:hAnsi="Arial"/>
                <w:sz w:val="19"/>
                <w:szCs w:val="19"/>
                <w:color w:val="auto"/>
              </w:rPr>
              <w:t>10.13#</w:t>
            </w:r>
          </w:p>
        </w:tc>
        <w:tc>
          <w:tcPr>
            <w:tcW w:w="8780" w:type="dxa"/>
            <w:vAlign w:val="bottom"/>
            <w:gridSpan w:val="36"/>
          </w:tcPr>
          <w:p>
            <w:pPr>
              <w:spacing w:after="0" w:line="199" w:lineRule="exact"/>
              <w:rPr>
                <w:sz w:val="20"/>
                <w:szCs w:val="20"/>
                <w:color w:val="auto"/>
              </w:rPr>
            </w:pPr>
            <w:r>
              <w:rPr>
                <w:rFonts w:ascii="Arial" w:cs="Arial" w:eastAsia="Arial" w:hAnsi="Arial"/>
                <w:sz w:val="19"/>
                <w:szCs w:val="19"/>
                <w:color w:val="0000FF"/>
              </w:rPr>
              <w:t>with the SEC on March 29, 2022)</w:t>
            </w:r>
          </w:p>
        </w:tc>
        <w:tc>
          <w:tcPr>
            <w:tcW w:w="0" w:type="dxa"/>
            <w:vAlign w:val="bottom"/>
          </w:tcPr>
          <w:p>
            <w:pPr>
              <w:spacing w:after="0"/>
              <w:rPr>
                <w:sz w:val="1"/>
                <w:szCs w:val="1"/>
                <w:color w:val="auto"/>
              </w:rPr>
            </w:pPr>
          </w:p>
        </w:tc>
      </w:tr>
      <w:tr>
        <w:trPr>
          <w:trHeight w:val="20"/>
        </w:trPr>
        <w:tc>
          <w:tcPr>
            <w:tcW w:w="1320" w:type="dxa"/>
            <w:vAlign w:val="bottom"/>
            <w:vMerge w:val="continue"/>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320" w:type="dxa"/>
            <w:vAlign w:val="bottom"/>
            <w:vMerge w:val="continue"/>
          </w:tcPr>
          <w:p>
            <w:pPr>
              <w:spacing w:after="0"/>
              <w:rPr>
                <w:sz w:val="18"/>
                <w:szCs w:val="18"/>
                <w:color w:val="auto"/>
              </w:rPr>
            </w:pPr>
          </w:p>
        </w:tc>
        <w:tc>
          <w:tcPr>
            <w:tcW w:w="8780" w:type="dxa"/>
            <w:vAlign w:val="bottom"/>
            <w:gridSpan w:val="36"/>
          </w:tcPr>
          <w:p>
            <w:pPr>
              <w:spacing w:after="0" w:line="214" w:lineRule="exact"/>
              <w:rPr>
                <w:sz w:val="20"/>
                <w:szCs w:val="20"/>
                <w:color w:val="auto"/>
              </w:rPr>
            </w:pPr>
            <w:r>
              <w:rPr>
                <w:rFonts w:ascii="Arial" w:cs="Arial" w:eastAsia="Arial" w:hAnsi="Arial"/>
                <w:sz w:val="19"/>
                <w:szCs w:val="19"/>
                <w:color w:val="0000FF"/>
              </w:rPr>
              <w:t>Consulting Agreement by and between Candel Therapeutics, Inc. and Susan Stewart dated October 19,</w:t>
            </w:r>
          </w:p>
        </w:tc>
        <w:tc>
          <w:tcPr>
            <w:tcW w:w="0" w:type="dxa"/>
            <w:vAlign w:val="bottom"/>
          </w:tcPr>
          <w:p>
            <w:pPr>
              <w:spacing w:after="0"/>
              <w:rPr>
                <w:sz w:val="1"/>
                <w:szCs w:val="1"/>
                <w:color w:val="auto"/>
              </w:rPr>
            </w:pPr>
          </w:p>
        </w:tc>
      </w:tr>
      <w:tr>
        <w:trPr>
          <w:trHeight w:val="198"/>
        </w:trPr>
        <w:tc>
          <w:tcPr>
            <w:tcW w:w="1320" w:type="dxa"/>
            <w:vAlign w:val="bottom"/>
          </w:tcPr>
          <w:p>
            <w:pPr>
              <w:spacing w:after="0"/>
              <w:rPr>
                <w:sz w:val="17"/>
                <w:szCs w:val="17"/>
                <w:color w:val="auto"/>
              </w:rPr>
            </w:pPr>
          </w:p>
        </w:tc>
        <w:tc>
          <w:tcPr>
            <w:tcW w:w="8740" w:type="dxa"/>
            <w:vAlign w:val="bottom"/>
            <w:tcBorders>
              <w:top w:val="single" w:sz="8" w:color="0000FF"/>
            </w:tcBorders>
            <w:gridSpan w:val="34"/>
          </w:tcPr>
          <w:p>
            <w:pPr>
              <w:spacing w:after="0" w:line="199" w:lineRule="exact"/>
              <w:rPr>
                <w:sz w:val="20"/>
                <w:szCs w:val="20"/>
                <w:color w:val="auto"/>
              </w:rPr>
            </w:pPr>
            <w:r>
              <w:rPr>
                <w:rFonts w:ascii="Arial" w:cs="Arial" w:eastAsia="Arial" w:hAnsi="Arial"/>
                <w:sz w:val="19"/>
                <w:szCs w:val="19"/>
                <w:color w:val="0000FF"/>
              </w:rPr>
              <w:t>2021 (incorporated by reference to Exhibit 10.13 to the Registrant's Annual Report on Form 10-K filed</w:t>
            </w: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320" w:type="dxa"/>
            <w:vAlign w:val="bottom"/>
            <w:vMerge w:val="restart"/>
          </w:tcPr>
          <w:p>
            <w:pPr>
              <w:spacing w:after="0"/>
              <w:rPr>
                <w:sz w:val="20"/>
                <w:szCs w:val="20"/>
                <w:color w:val="auto"/>
              </w:rPr>
            </w:pPr>
            <w:r>
              <w:rPr>
                <w:rFonts w:ascii="Arial" w:cs="Arial" w:eastAsia="Arial" w:hAnsi="Arial"/>
                <w:sz w:val="19"/>
                <w:szCs w:val="19"/>
                <w:color w:val="auto"/>
              </w:rPr>
              <w:t>10.14#</w:t>
            </w:r>
          </w:p>
        </w:tc>
        <w:tc>
          <w:tcPr>
            <w:tcW w:w="8540" w:type="dxa"/>
            <w:vAlign w:val="bottom"/>
            <w:tcBorders>
              <w:top w:val="single" w:sz="8" w:color="0000FF"/>
            </w:tcBorders>
            <w:gridSpan w:val="24"/>
          </w:tcPr>
          <w:p>
            <w:pPr>
              <w:spacing w:after="0" w:line="199" w:lineRule="exact"/>
              <w:rPr>
                <w:sz w:val="20"/>
                <w:szCs w:val="20"/>
                <w:color w:val="auto"/>
              </w:rPr>
            </w:pPr>
            <w:r>
              <w:rPr>
                <w:rFonts w:ascii="Arial" w:cs="Arial" w:eastAsia="Arial" w:hAnsi="Arial"/>
                <w:sz w:val="19"/>
                <w:szCs w:val="19"/>
                <w:color w:val="0000FF"/>
              </w:rPr>
              <w:t>with the SEC on March 29, 2022)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20" w:type="dxa"/>
            <w:vAlign w:val="bottom"/>
            <w:vMerge w:val="continue"/>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320" w:type="dxa"/>
            <w:vAlign w:val="bottom"/>
            <w:vMerge w:val="continue"/>
          </w:tcPr>
          <w:p>
            <w:pPr>
              <w:spacing w:after="0"/>
              <w:rPr>
                <w:sz w:val="18"/>
                <w:szCs w:val="18"/>
                <w:color w:val="auto"/>
              </w:rPr>
            </w:pPr>
          </w:p>
        </w:tc>
        <w:tc>
          <w:tcPr>
            <w:tcW w:w="8780" w:type="dxa"/>
            <w:vAlign w:val="bottom"/>
            <w:gridSpan w:val="36"/>
          </w:tcPr>
          <w:p>
            <w:pPr>
              <w:spacing w:after="0" w:line="214" w:lineRule="exact"/>
              <w:rPr>
                <w:sz w:val="20"/>
                <w:szCs w:val="20"/>
                <w:color w:val="auto"/>
              </w:rPr>
            </w:pPr>
            <w:r>
              <w:rPr>
                <w:rFonts w:ascii="Arial" w:cs="Arial" w:eastAsia="Arial" w:hAnsi="Arial"/>
                <w:sz w:val="19"/>
                <w:szCs w:val="19"/>
                <w:color w:val="0000FF"/>
              </w:rPr>
              <w:t>Employment Agreement by and between Candel Therapeutics and Seshu Tyagarajan dated April 14,</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320" w:type="dxa"/>
            <w:vAlign w:val="bottom"/>
          </w:tcPr>
          <w:p>
            <w:pPr>
              <w:spacing w:after="0"/>
              <w:rPr>
                <w:sz w:val="17"/>
                <w:szCs w:val="17"/>
                <w:color w:val="auto"/>
              </w:rPr>
            </w:pPr>
          </w:p>
        </w:tc>
        <w:tc>
          <w:tcPr>
            <w:tcW w:w="8780" w:type="dxa"/>
            <w:vAlign w:val="bottom"/>
            <w:gridSpan w:val="36"/>
          </w:tcPr>
          <w:p>
            <w:pPr>
              <w:spacing w:after="0" w:line="199" w:lineRule="exact"/>
              <w:rPr>
                <w:sz w:val="20"/>
                <w:szCs w:val="20"/>
                <w:color w:val="auto"/>
              </w:rPr>
            </w:pPr>
            <w:r>
              <w:rPr>
                <w:rFonts w:ascii="Arial" w:cs="Arial" w:eastAsia="Arial" w:hAnsi="Arial"/>
                <w:sz w:val="19"/>
                <w:szCs w:val="19"/>
                <w:color w:val="0000FF"/>
              </w:rPr>
              <w:t>2022 (incorporated by reference to Exhibit 10.8 to the Registrant’s Quarterly Report on Form 10-Q filed</w:t>
            </w:r>
          </w:p>
        </w:tc>
        <w:tc>
          <w:tcPr>
            <w:tcW w:w="0" w:type="dxa"/>
            <w:vAlign w:val="bottom"/>
          </w:tcPr>
          <w:p>
            <w:pPr>
              <w:spacing w:after="0"/>
              <w:rPr>
                <w:sz w:val="1"/>
                <w:szCs w:val="1"/>
                <w:color w:val="auto"/>
              </w:rPr>
            </w:pPr>
          </w:p>
        </w:tc>
      </w:tr>
      <w:tr>
        <w:trPr>
          <w:trHeight w:val="198"/>
        </w:trPr>
        <w:tc>
          <w:tcPr>
            <w:tcW w:w="1320" w:type="dxa"/>
            <w:vAlign w:val="bottom"/>
            <w:vMerge w:val="restart"/>
          </w:tcPr>
          <w:p>
            <w:pPr>
              <w:spacing w:after="0"/>
              <w:rPr>
                <w:sz w:val="20"/>
                <w:szCs w:val="20"/>
                <w:color w:val="auto"/>
              </w:rPr>
            </w:pPr>
            <w:r>
              <w:rPr>
                <w:rFonts w:ascii="Arial" w:cs="Arial" w:eastAsia="Arial" w:hAnsi="Arial"/>
                <w:sz w:val="19"/>
                <w:szCs w:val="19"/>
                <w:color w:val="auto"/>
              </w:rPr>
              <w:t>10.15#</w:t>
            </w:r>
          </w:p>
        </w:tc>
        <w:tc>
          <w:tcPr>
            <w:tcW w:w="2640" w:type="dxa"/>
            <w:vAlign w:val="bottom"/>
            <w:tcBorders>
              <w:top w:val="single" w:sz="8" w:color="0000FF"/>
              <w:bottom w:val="single" w:sz="8" w:color="0000FF"/>
            </w:tcBorders>
            <w:gridSpan w:val="3"/>
          </w:tcPr>
          <w:p>
            <w:pPr>
              <w:spacing w:after="0" w:line="199" w:lineRule="exact"/>
              <w:rPr>
                <w:sz w:val="20"/>
                <w:szCs w:val="20"/>
                <w:color w:val="auto"/>
              </w:rPr>
            </w:pPr>
            <w:r>
              <w:rPr>
                <w:rFonts w:ascii="Arial" w:cs="Arial" w:eastAsia="Arial" w:hAnsi="Arial"/>
                <w:sz w:val="19"/>
                <w:szCs w:val="19"/>
                <w:color w:val="0000FF"/>
                <w:w w:val="99"/>
              </w:rPr>
              <w:t>with the SEC on May 12, 2022)</w:t>
            </w:r>
          </w:p>
        </w:tc>
        <w:tc>
          <w:tcPr>
            <w:tcW w:w="6040" w:type="dxa"/>
            <w:vAlign w:val="bottom"/>
            <w:tcBorders>
              <w:top w:val="single" w:sz="8" w:color="0000FF"/>
            </w:tcBorders>
            <w:gridSpan w:val="28"/>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320" w:type="dxa"/>
            <w:vAlign w:val="bottom"/>
            <w:vMerge w:val="continue"/>
          </w:tcPr>
          <w:p>
            <w:pPr>
              <w:spacing w:after="0"/>
              <w:rPr>
                <w:sz w:val="18"/>
                <w:szCs w:val="18"/>
                <w:color w:val="auto"/>
              </w:rPr>
            </w:pPr>
          </w:p>
        </w:tc>
        <w:tc>
          <w:tcPr>
            <w:tcW w:w="8780" w:type="dxa"/>
            <w:vAlign w:val="bottom"/>
            <w:gridSpan w:val="36"/>
          </w:tcPr>
          <w:p>
            <w:pPr>
              <w:spacing w:after="0" w:line="214" w:lineRule="exact"/>
              <w:rPr>
                <w:sz w:val="20"/>
                <w:szCs w:val="20"/>
                <w:color w:val="auto"/>
              </w:rPr>
            </w:pPr>
            <w:r>
              <w:rPr>
                <w:rFonts w:ascii="Arial" w:cs="Arial" w:eastAsia="Arial" w:hAnsi="Arial"/>
                <w:sz w:val="19"/>
                <w:szCs w:val="19"/>
                <w:color w:val="0000FF"/>
              </w:rPr>
              <w:t>Employment Agreement by and between Candel Therapeutics and Jason A. Amello dated September</w:t>
            </w:r>
          </w:p>
        </w:tc>
        <w:tc>
          <w:tcPr>
            <w:tcW w:w="0" w:type="dxa"/>
            <w:vAlign w:val="bottom"/>
          </w:tcPr>
          <w:p>
            <w:pPr>
              <w:spacing w:after="0"/>
              <w:rPr>
                <w:sz w:val="1"/>
                <w:szCs w:val="1"/>
                <w:color w:val="auto"/>
              </w:rPr>
            </w:pPr>
          </w:p>
        </w:tc>
      </w:tr>
      <w:tr>
        <w:trPr>
          <w:trHeight w:val="198"/>
        </w:trPr>
        <w:tc>
          <w:tcPr>
            <w:tcW w:w="1320" w:type="dxa"/>
            <w:vAlign w:val="bottom"/>
          </w:tcPr>
          <w:p>
            <w:pPr>
              <w:spacing w:after="0"/>
              <w:rPr>
                <w:sz w:val="17"/>
                <w:szCs w:val="17"/>
                <w:color w:val="auto"/>
              </w:rPr>
            </w:pPr>
          </w:p>
        </w:tc>
        <w:tc>
          <w:tcPr>
            <w:tcW w:w="8560" w:type="dxa"/>
            <w:vAlign w:val="bottom"/>
            <w:tcBorders>
              <w:top w:val="single" w:sz="8" w:color="0000FF"/>
              <w:bottom w:val="single" w:sz="8" w:color="0000FF"/>
            </w:tcBorders>
            <w:gridSpan w:val="25"/>
          </w:tcPr>
          <w:p>
            <w:pPr>
              <w:spacing w:after="0" w:line="199" w:lineRule="exact"/>
              <w:rPr>
                <w:sz w:val="20"/>
                <w:szCs w:val="20"/>
                <w:color w:val="auto"/>
              </w:rPr>
            </w:pPr>
            <w:r>
              <w:rPr>
                <w:rFonts w:ascii="Arial" w:cs="Arial" w:eastAsia="Arial" w:hAnsi="Arial"/>
                <w:sz w:val="19"/>
                <w:szCs w:val="19"/>
                <w:color w:val="0000FF"/>
                <w:w w:val="99"/>
              </w:rPr>
              <w:t>21, 2022 (incorporated by reference to Exhibit 10.1 to the Registrant’s Quarterly Report on Form 10-Q</w:t>
            </w:r>
          </w:p>
        </w:tc>
        <w:tc>
          <w:tcPr>
            <w:tcW w:w="20" w:type="dxa"/>
            <w:vAlign w:val="bottom"/>
            <w:tcBorders>
              <w:bottom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6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320" w:type="dxa"/>
            <w:vAlign w:val="bottom"/>
            <w:vMerge w:val="restart"/>
          </w:tcPr>
          <w:p>
            <w:pPr>
              <w:spacing w:after="0"/>
              <w:rPr>
                <w:sz w:val="20"/>
                <w:szCs w:val="20"/>
                <w:color w:val="auto"/>
              </w:rPr>
            </w:pPr>
            <w:r>
              <w:rPr>
                <w:rFonts w:ascii="Arial" w:cs="Arial" w:eastAsia="Arial" w:hAnsi="Arial"/>
                <w:sz w:val="19"/>
                <w:szCs w:val="19"/>
                <w:color w:val="auto"/>
              </w:rPr>
              <w:t>10.16**</w:t>
            </w:r>
          </w:p>
        </w:tc>
        <w:tc>
          <w:tcPr>
            <w:tcW w:w="3560" w:type="dxa"/>
            <w:vAlign w:val="bottom"/>
            <w:tcBorders>
              <w:bottom w:val="single" w:sz="8" w:color="0000FF"/>
            </w:tcBorders>
            <w:gridSpan w:val="6"/>
          </w:tcPr>
          <w:p>
            <w:pPr>
              <w:spacing w:after="0" w:line="199" w:lineRule="exact"/>
              <w:rPr>
                <w:sz w:val="20"/>
                <w:szCs w:val="20"/>
                <w:color w:val="auto"/>
              </w:rPr>
            </w:pPr>
            <w:r>
              <w:rPr>
                <w:rFonts w:ascii="Arial" w:cs="Arial" w:eastAsia="Arial" w:hAnsi="Arial"/>
                <w:sz w:val="19"/>
                <w:szCs w:val="19"/>
                <w:color w:val="0000FF"/>
                <w:w w:val="99"/>
              </w:rPr>
              <w:t>filed with the SEC on November 10, 2022)</w:t>
            </w:r>
          </w:p>
        </w:tc>
        <w:tc>
          <w:tcPr>
            <w:tcW w:w="5020" w:type="dxa"/>
            <w:vAlign w:val="bottom"/>
            <w:gridSpan w:val="20"/>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6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320" w:type="dxa"/>
            <w:vAlign w:val="bottom"/>
            <w:vMerge w:val="continue"/>
          </w:tcPr>
          <w:p>
            <w:pPr>
              <w:spacing w:after="0"/>
              <w:rPr>
                <w:sz w:val="18"/>
                <w:szCs w:val="18"/>
                <w:color w:val="auto"/>
              </w:rPr>
            </w:pPr>
          </w:p>
        </w:tc>
        <w:tc>
          <w:tcPr>
            <w:tcW w:w="8780" w:type="dxa"/>
            <w:vAlign w:val="bottom"/>
            <w:gridSpan w:val="36"/>
          </w:tcPr>
          <w:p>
            <w:pPr>
              <w:spacing w:after="0" w:line="214" w:lineRule="exact"/>
              <w:rPr>
                <w:sz w:val="20"/>
                <w:szCs w:val="20"/>
                <w:color w:val="auto"/>
              </w:rPr>
            </w:pPr>
            <w:r>
              <w:rPr>
                <w:rFonts w:ascii="Arial" w:cs="Arial" w:eastAsia="Arial" w:hAnsi="Arial"/>
                <w:sz w:val="19"/>
                <w:szCs w:val="19"/>
                <w:color w:val="0000FF"/>
              </w:rPr>
              <w:t>Master Production Services Agreement by and between Candel Therapeutics and SAFC Carlsbad, Inc.,</w:t>
            </w:r>
          </w:p>
        </w:tc>
        <w:tc>
          <w:tcPr>
            <w:tcW w:w="0" w:type="dxa"/>
            <w:vAlign w:val="bottom"/>
          </w:tcPr>
          <w:p>
            <w:pPr>
              <w:spacing w:after="0"/>
              <w:rPr>
                <w:sz w:val="1"/>
                <w:szCs w:val="1"/>
                <w:color w:val="auto"/>
              </w:rPr>
            </w:pPr>
          </w:p>
        </w:tc>
      </w:tr>
      <w:tr>
        <w:trPr>
          <w:trHeight w:val="198"/>
        </w:trPr>
        <w:tc>
          <w:tcPr>
            <w:tcW w:w="1320" w:type="dxa"/>
            <w:vAlign w:val="bottom"/>
          </w:tcPr>
          <w:p>
            <w:pPr>
              <w:spacing w:after="0"/>
              <w:rPr>
                <w:sz w:val="17"/>
                <w:szCs w:val="17"/>
                <w:color w:val="auto"/>
              </w:rPr>
            </w:pPr>
          </w:p>
        </w:tc>
        <w:tc>
          <w:tcPr>
            <w:tcW w:w="8720" w:type="dxa"/>
            <w:vAlign w:val="bottom"/>
            <w:tcBorders>
              <w:top w:val="single" w:sz="8" w:color="0000FF"/>
            </w:tcBorders>
            <w:gridSpan w:val="33"/>
          </w:tcPr>
          <w:p>
            <w:pPr>
              <w:spacing w:after="0" w:line="199" w:lineRule="exact"/>
              <w:rPr>
                <w:sz w:val="20"/>
                <w:szCs w:val="20"/>
                <w:color w:val="auto"/>
              </w:rPr>
            </w:pPr>
            <w:r>
              <w:rPr>
                <w:rFonts w:ascii="Arial" w:cs="Arial" w:eastAsia="Arial" w:hAnsi="Arial"/>
                <w:sz w:val="19"/>
                <w:szCs w:val="19"/>
                <w:color w:val="0000FF"/>
              </w:rPr>
              <w:t>effective November 3, 2022 (incorporated by reference to Exhibit 10.16 to the Registrant’s Annual</w:t>
            </w:r>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320" w:type="dxa"/>
            <w:vAlign w:val="bottom"/>
            <w:vMerge w:val="restart"/>
          </w:tcPr>
          <w:p>
            <w:pPr>
              <w:spacing w:after="0"/>
              <w:rPr>
                <w:sz w:val="20"/>
                <w:szCs w:val="20"/>
                <w:color w:val="auto"/>
              </w:rPr>
            </w:pPr>
            <w:r>
              <w:rPr>
                <w:rFonts w:ascii="Arial" w:cs="Arial" w:eastAsia="Arial" w:hAnsi="Arial"/>
                <w:sz w:val="19"/>
                <w:szCs w:val="19"/>
                <w:color w:val="auto"/>
              </w:rPr>
              <w:t>10.17**</w:t>
            </w:r>
          </w:p>
        </w:tc>
        <w:tc>
          <w:tcPr>
            <w:tcW w:w="8220" w:type="dxa"/>
            <w:vAlign w:val="bottom"/>
            <w:tcBorders>
              <w:top w:val="single" w:sz="8" w:color="0000FF"/>
            </w:tcBorders>
            <w:gridSpan w:val="18"/>
          </w:tcPr>
          <w:p>
            <w:pPr>
              <w:spacing w:after="0" w:line="199" w:lineRule="exact"/>
              <w:rPr>
                <w:sz w:val="20"/>
                <w:szCs w:val="20"/>
                <w:color w:val="auto"/>
              </w:rPr>
            </w:pPr>
            <w:r>
              <w:rPr>
                <w:rFonts w:ascii="Arial" w:cs="Arial" w:eastAsia="Arial" w:hAnsi="Arial"/>
                <w:sz w:val="19"/>
                <w:szCs w:val="19"/>
                <w:color w:val="0000FF"/>
              </w:rPr>
              <w:t>Report on Form 10-K filed with the SEC on March 30, 2023)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gridSpan w:val="6"/>
          </w:tcPr>
          <w:p>
            <w:pPr>
              <w:spacing w:after="0"/>
              <w:rPr>
                <w:sz w:val="17"/>
                <w:szCs w:val="17"/>
                <w:color w:val="auto"/>
              </w:rPr>
            </w:pPr>
          </w:p>
        </w:tc>
        <w:tc>
          <w:tcPr>
            <w:tcW w:w="40" w:type="dxa"/>
            <w:vAlign w:val="bottom"/>
            <w:gridSpan w:val="2"/>
          </w:tcPr>
          <w:p>
            <w:pPr>
              <w:spacing w:after="0"/>
              <w:rPr>
                <w:sz w:val="17"/>
                <w:szCs w:val="17"/>
                <w:color w:val="auto"/>
              </w:rPr>
            </w:pPr>
          </w:p>
        </w:tc>
        <w:tc>
          <w:tcPr>
            <w:tcW w:w="60" w:type="dxa"/>
            <w:vAlign w:val="bottom"/>
            <w:gridSpan w:val="3"/>
          </w:tcPr>
          <w:p>
            <w:pPr>
              <w:spacing w:after="0"/>
              <w:rPr>
                <w:sz w:val="17"/>
                <w:szCs w:val="17"/>
                <w:color w:val="auto"/>
              </w:rPr>
            </w:pPr>
          </w:p>
        </w:tc>
        <w:tc>
          <w:tcPr>
            <w:tcW w:w="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20" w:type="dxa"/>
            <w:vAlign w:val="bottom"/>
            <w:vMerge w:val="continue"/>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320" w:type="dxa"/>
            <w:vAlign w:val="bottom"/>
            <w:vMerge w:val="continue"/>
          </w:tcPr>
          <w:p>
            <w:pPr>
              <w:spacing w:after="0"/>
              <w:rPr>
                <w:sz w:val="18"/>
                <w:szCs w:val="18"/>
                <w:color w:val="auto"/>
              </w:rPr>
            </w:pPr>
          </w:p>
        </w:tc>
        <w:tc>
          <w:tcPr>
            <w:tcW w:w="8780" w:type="dxa"/>
            <w:vAlign w:val="bottom"/>
            <w:gridSpan w:val="36"/>
          </w:tcPr>
          <w:p>
            <w:pPr>
              <w:spacing w:after="0" w:line="214" w:lineRule="exact"/>
              <w:rPr>
                <w:sz w:val="20"/>
                <w:szCs w:val="20"/>
                <w:color w:val="auto"/>
              </w:rPr>
            </w:pPr>
            <w:r>
              <w:rPr>
                <w:rFonts w:ascii="Arial" w:cs="Arial" w:eastAsia="Arial" w:hAnsi="Arial"/>
                <w:sz w:val="19"/>
                <w:szCs w:val="19"/>
                <w:color w:val="0000FF"/>
              </w:rPr>
              <w:t>Amendment to Exclusive License Agreement by and between Candel Therapeutics, Inc. and</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320" w:type="dxa"/>
            <w:vAlign w:val="bottom"/>
          </w:tcPr>
          <w:p>
            <w:pPr>
              <w:spacing w:after="0"/>
              <w:rPr>
                <w:sz w:val="17"/>
                <w:szCs w:val="17"/>
                <w:color w:val="auto"/>
              </w:rPr>
            </w:pPr>
          </w:p>
        </w:tc>
        <w:tc>
          <w:tcPr>
            <w:tcW w:w="8780" w:type="dxa"/>
            <w:vAlign w:val="bottom"/>
            <w:gridSpan w:val="36"/>
          </w:tcPr>
          <w:p>
            <w:pPr>
              <w:spacing w:after="0" w:line="199" w:lineRule="exact"/>
              <w:rPr>
                <w:sz w:val="20"/>
                <w:szCs w:val="20"/>
                <w:color w:val="auto"/>
              </w:rPr>
            </w:pPr>
            <w:r>
              <w:rPr>
                <w:rFonts w:ascii="Arial" w:cs="Arial" w:eastAsia="Arial" w:hAnsi="Arial"/>
                <w:sz w:val="19"/>
                <w:szCs w:val="19"/>
                <w:color w:val="0000FF"/>
              </w:rPr>
              <w:t>Periphagen, Inc. dated June 7, 2023 (incorporated by reference to Exhibit 10.1 to the Registrant’s</w:t>
            </w:r>
          </w:p>
        </w:tc>
        <w:tc>
          <w:tcPr>
            <w:tcW w:w="0" w:type="dxa"/>
            <w:vAlign w:val="bottom"/>
          </w:tcPr>
          <w:p>
            <w:pPr>
              <w:spacing w:after="0"/>
              <w:rPr>
                <w:sz w:val="1"/>
                <w:szCs w:val="1"/>
                <w:color w:val="auto"/>
              </w:rPr>
            </w:pPr>
          </w:p>
        </w:tc>
      </w:tr>
      <w:tr>
        <w:trPr>
          <w:trHeight w:val="198"/>
        </w:trPr>
        <w:tc>
          <w:tcPr>
            <w:tcW w:w="1320" w:type="dxa"/>
            <w:vAlign w:val="bottom"/>
            <w:vMerge w:val="restart"/>
          </w:tcPr>
          <w:p>
            <w:pPr>
              <w:spacing w:after="0"/>
              <w:rPr>
                <w:sz w:val="20"/>
                <w:szCs w:val="20"/>
                <w:color w:val="auto"/>
              </w:rPr>
            </w:pPr>
            <w:r>
              <w:rPr>
                <w:rFonts w:ascii="Arial" w:cs="Arial" w:eastAsia="Arial" w:hAnsi="Arial"/>
                <w:sz w:val="19"/>
                <w:szCs w:val="19"/>
                <w:color w:val="auto"/>
              </w:rPr>
              <w:t>10.18</w:t>
            </w:r>
          </w:p>
        </w:tc>
        <w:tc>
          <w:tcPr>
            <w:tcW w:w="8200" w:type="dxa"/>
            <w:vAlign w:val="bottom"/>
            <w:tcBorders>
              <w:top w:val="single" w:sz="8" w:color="0000FF"/>
            </w:tcBorders>
            <w:gridSpan w:val="17"/>
          </w:tcPr>
          <w:p>
            <w:pPr>
              <w:spacing w:after="0" w:line="199" w:lineRule="exact"/>
              <w:rPr>
                <w:sz w:val="20"/>
                <w:szCs w:val="20"/>
                <w:color w:val="auto"/>
              </w:rPr>
            </w:pPr>
            <w:r>
              <w:rPr>
                <w:rFonts w:ascii="Arial" w:cs="Arial" w:eastAsia="Arial" w:hAnsi="Arial"/>
                <w:sz w:val="19"/>
                <w:szCs w:val="19"/>
                <w:color w:val="0000FF"/>
              </w:rPr>
              <w:t>Quarterly Report on Form 10-Q filed with the SEC on August 10, 2023)</w:t>
            </w:r>
          </w:p>
        </w:tc>
        <w:tc>
          <w:tcPr>
            <w:tcW w:w="4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gridSpan w:val="6"/>
          </w:tcPr>
          <w:p>
            <w:pPr>
              <w:spacing w:after="0"/>
              <w:rPr>
                <w:sz w:val="17"/>
                <w:szCs w:val="17"/>
                <w:color w:val="auto"/>
              </w:rPr>
            </w:pPr>
          </w:p>
        </w:tc>
        <w:tc>
          <w:tcPr>
            <w:tcW w:w="40" w:type="dxa"/>
            <w:vAlign w:val="bottom"/>
            <w:gridSpan w:val="2"/>
          </w:tcPr>
          <w:p>
            <w:pPr>
              <w:spacing w:after="0"/>
              <w:rPr>
                <w:sz w:val="17"/>
                <w:szCs w:val="17"/>
                <w:color w:val="auto"/>
              </w:rPr>
            </w:pPr>
          </w:p>
        </w:tc>
        <w:tc>
          <w:tcPr>
            <w:tcW w:w="60" w:type="dxa"/>
            <w:vAlign w:val="bottom"/>
            <w:gridSpan w:val="3"/>
          </w:tcPr>
          <w:p>
            <w:pPr>
              <w:spacing w:after="0"/>
              <w:rPr>
                <w:sz w:val="17"/>
                <w:szCs w:val="17"/>
                <w:color w:val="auto"/>
              </w:rPr>
            </w:pPr>
          </w:p>
        </w:tc>
        <w:tc>
          <w:tcPr>
            <w:tcW w:w="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20" w:type="dxa"/>
            <w:vAlign w:val="bottom"/>
            <w:vMerge w:val="continue"/>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320" w:type="dxa"/>
            <w:vAlign w:val="bottom"/>
            <w:vMerge w:val="continue"/>
          </w:tcPr>
          <w:p>
            <w:pPr>
              <w:spacing w:after="0"/>
              <w:rPr>
                <w:sz w:val="18"/>
                <w:szCs w:val="18"/>
                <w:color w:val="auto"/>
              </w:rPr>
            </w:pPr>
          </w:p>
        </w:tc>
        <w:tc>
          <w:tcPr>
            <w:tcW w:w="8240" w:type="dxa"/>
            <w:vAlign w:val="bottom"/>
            <w:tcBorders>
              <w:bottom w:val="single" w:sz="8" w:color="0000FF"/>
            </w:tcBorders>
            <w:gridSpan w:val="19"/>
          </w:tcPr>
          <w:p>
            <w:pPr>
              <w:spacing w:after="0" w:line="214" w:lineRule="exact"/>
              <w:rPr>
                <w:sz w:val="20"/>
                <w:szCs w:val="20"/>
                <w:color w:val="auto"/>
              </w:rPr>
            </w:pPr>
            <w:r>
              <w:rPr>
                <w:rFonts w:ascii="Arial" w:cs="Arial" w:eastAsia="Arial" w:hAnsi="Arial"/>
                <w:sz w:val="19"/>
                <w:szCs w:val="19"/>
                <w:color w:val="0000FF"/>
              </w:rPr>
              <w:t>First Amendment to Loan and Security Agreement by and between Candel Therapeutics, Inc. and</w:t>
            </w:r>
          </w:p>
        </w:tc>
        <w:tc>
          <w:tcPr>
            <w:tcW w:w="540" w:type="dxa"/>
            <w:vAlign w:val="bottom"/>
            <w:gridSpan w:val="17"/>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320" w:type="dxa"/>
            <w:vAlign w:val="bottom"/>
          </w:tcPr>
          <w:p>
            <w:pPr>
              <w:spacing w:after="0"/>
              <w:rPr>
                <w:sz w:val="17"/>
                <w:szCs w:val="17"/>
                <w:color w:val="auto"/>
              </w:rPr>
            </w:pPr>
          </w:p>
        </w:tc>
        <w:tc>
          <w:tcPr>
            <w:tcW w:w="8780" w:type="dxa"/>
            <w:vAlign w:val="bottom"/>
            <w:gridSpan w:val="36"/>
          </w:tcPr>
          <w:p>
            <w:pPr>
              <w:spacing w:after="0" w:line="199" w:lineRule="exact"/>
              <w:rPr>
                <w:sz w:val="20"/>
                <w:szCs w:val="20"/>
                <w:color w:val="auto"/>
              </w:rPr>
            </w:pPr>
            <w:r>
              <w:rPr>
                <w:rFonts w:ascii="Arial" w:cs="Arial" w:eastAsia="Arial" w:hAnsi="Arial"/>
                <w:sz w:val="19"/>
                <w:szCs w:val="19"/>
                <w:color w:val="0000FF"/>
              </w:rPr>
              <w:t>Silicon Valley Bank, dated June 14, 2023 (incorporated by reference to Exhibit 10.2 to the Registrant’s</w:t>
            </w:r>
          </w:p>
        </w:tc>
        <w:tc>
          <w:tcPr>
            <w:tcW w:w="0" w:type="dxa"/>
            <w:vAlign w:val="bottom"/>
          </w:tcPr>
          <w:p>
            <w:pPr>
              <w:spacing w:after="0"/>
              <w:rPr>
                <w:sz w:val="1"/>
                <w:szCs w:val="1"/>
                <w:color w:val="auto"/>
              </w:rPr>
            </w:pPr>
          </w:p>
        </w:tc>
      </w:tr>
      <w:tr>
        <w:trPr>
          <w:trHeight w:val="198"/>
        </w:trPr>
        <w:tc>
          <w:tcPr>
            <w:tcW w:w="1320" w:type="dxa"/>
            <w:vAlign w:val="bottom"/>
            <w:vMerge w:val="restart"/>
          </w:tcPr>
          <w:p>
            <w:pPr>
              <w:spacing w:after="0"/>
              <w:rPr>
                <w:sz w:val="20"/>
                <w:szCs w:val="20"/>
                <w:color w:val="auto"/>
              </w:rPr>
            </w:pPr>
            <w:r>
              <w:rPr>
                <w:rFonts w:ascii="Arial" w:cs="Arial" w:eastAsia="Arial" w:hAnsi="Arial"/>
                <w:sz w:val="19"/>
                <w:szCs w:val="19"/>
                <w:color w:val="auto"/>
              </w:rPr>
              <w:t>10.19#*</w:t>
            </w:r>
          </w:p>
        </w:tc>
        <w:tc>
          <w:tcPr>
            <w:tcW w:w="8600" w:type="dxa"/>
            <w:vAlign w:val="bottom"/>
            <w:tcBorders>
              <w:top w:val="single" w:sz="8" w:color="0000FF"/>
            </w:tcBorders>
            <w:gridSpan w:val="27"/>
          </w:tcPr>
          <w:p>
            <w:pPr>
              <w:spacing w:after="0" w:line="199" w:lineRule="exact"/>
              <w:rPr>
                <w:sz w:val="20"/>
                <w:szCs w:val="20"/>
                <w:color w:val="auto"/>
              </w:rPr>
            </w:pPr>
            <w:r>
              <w:rPr>
                <w:rFonts w:ascii="Arial" w:cs="Arial" w:eastAsia="Arial" w:hAnsi="Arial"/>
                <w:sz w:val="19"/>
                <w:szCs w:val="19"/>
                <w:color w:val="0000FF"/>
              </w:rPr>
              <w:t>Quarterly Report on Form 10-Q filed with the SEC on August 10, 2023)</w:t>
            </w:r>
          </w:p>
        </w:tc>
        <w:tc>
          <w:tcPr>
            <w:tcW w:w="40" w:type="dxa"/>
            <w:vAlign w:val="bottom"/>
            <w:gridSpan w:val="2"/>
          </w:tcPr>
          <w:p>
            <w:pPr>
              <w:spacing w:after="0"/>
              <w:rPr>
                <w:sz w:val="17"/>
                <w:szCs w:val="17"/>
                <w:color w:val="auto"/>
              </w:rPr>
            </w:pPr>
          </w:p>
        </w:tc>
        <w:tc>
          <w:tcPr>
            <w:tcW w:w="60" w:type="dxa"/>
            <w:vAlign w:val="bottom"/>
            <w:gridSpan w:val="3"/>
          </w:tcPr>
          <w:p>
            <w:pPr>
              <w:spacing w:after="0"/>
              <w:rPr>
                <w:sz w:val="17"/>
                <w:szCs w:val="17"/>
                <w:color w:val="auto"/>
              </w:rPr>
            </w:pPr>
          </w:p>
        </w:tc>
        <w:tc>
          <w:tcPr>
            <w:tcW w:w="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20" w:type="dxa"/>
            <w:vAlign w:val="bottom"/>
            <w:vMerge w:val="continue"/>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320" w:type="dxa"/>
            <w:vAlign w:val="bottom"/>
            <w:vMerge w:val="continue"/>
          </w:tcPr>
          <w:p>
            <w:pPr>
              <w:spacing w:after="0"/>
              <w:rPr>
                <w:sz w:val="18"/>
                <w:szCs w:val="18"/>
                <w:color w:val="auto"/>
              </w:rPr>
            </w:pPr>
          </w:p>
        </w:tc>
        <w:tc>
          <w:tcPr>
            <w:tcW w:w="8780" w:type="dxa"/>
            <w:vAlign w:val="bottom"/>
            <w:gridSpan w:val="36"/>
          </w:tcPr>
          <w:p>
            <w:pPr>
              <w:spacing w:after="0" w:line="214" w:lineRule="exact"/>
              <w:rPr>
                <w:sz w:val="20"/>
                <w:szCs w:val="20"/>
                <w:color w:val="auto"/>
              </w:rPr>
            </w:pPr>
            <w:r>
              <w:rPr>
                <w:rFonts w:ascii="Arial" w:cs="Arial" w:eastAsia="Arial" w:hAnsi="Arial"/>
                <w:sz w:val="19"/>
                <w:szCs w:val="19"/>
                <w:color w:val="0000FF"/>
              </w:rPr>
              <w:t>Consulting by and between Candel Therapeutics, Inc. and Jason A. Amello, dated as of January 12,</w:t>
            </w:r>
          </w:p>
        </w:tc>
        <w:tc>
          <w:tcPr>
            <w:tcW w:w="0" w:type="dxa"/>
            <w:vAlign w:val="bottom"/>
          </w:tcPr>
          <w:p>
            <w:pPr>
              <w:spacing w:after="0"/>
              <w:rPr>
                <w:sz w:val="1"/>
                <w:szCs w:val="1"/>
                <w:color w:val="auto"/>
              </w:rPr>
            </w:pPr>
          </w:p>
        </w:tc>
      </w:tr>
      <w:tr>
        <w:trPr>
          <w:trHeight w:val="198"/>
        </w:trPr>
        <w:tc>
          <w:tcPr>
            <w:tcW w:w="1320" w:type="dxa"/>
            <w:vAlign w:val="bottom"/>
            <w:vMerge w:val="restart"/>
          </w:tcPr>
          <w:p>
            <w:pPr>
              <w:spacing w:after="0"/>
              <w:rPr>
                <w:sz w:val="20"/>
                <w:szCs w:val="20"/>
                <w:color w:val="auto"/>
              </w:rPr>
            </w:pPr>
            <w:r>
              <w:rPr>
                <w:rFonts w:ascii="Arial" w:cs="Arial" w:eastAsia="Arial" w:hAnsi="Arial"/>
                <w:sz w:val="19"/>
                <w:szCs w:val="19"/>
                <w:color w:val="auto"/>
              </w:rPr>
              <w:t>21.1</w:t>
            </w:r>
          </w:p>
        </w:tc>
        <w:tc>
          <w:tcPr>
            <w:tcW w:w="420" w:type="dxa"/>
            <w:vAlign w:val="bottom"/>
            <w:tcBorders>
              <w:top w:val="single" w:sz="8" w:color="0000FF"/>
              <w:bottom w:val="single" w:sz="8" w:color="0000FF"/>
            </w:tcBorders>
          </w:tcPr>
          <w:p>
            <w:pPr>
              <w:spacing w:after="0" w:line="199" w:lineRule="exact"/>
              <w:rPr>
                <w:sz w:val="20"/>
                <w:szCs w:val="20"/>
                <w:color w:val="auto"/>
              </w:rPr>
            </w:pPr>
            <w:r>
              <w:rPr>
                <w:rFonts w:ascii="Arial" w:cs="Arial" w:eastAsia="Arial" w:hAnsi="Arial"/>
                <w:sz w:val="19"/>
                <w:szCs w:val="19"/>
                <w:color w:val="0000FF"/>
                <w:w w:val="94"/>
              </w:rPr>
              <w:t>2024</w:t>
            </w:r>
          </w:p>
        </w:tc>
        <w:tc>
          <w:tcPr>
            <w:tcW w:w="380" w:type="dxa"/>
            <w:vAlign w:val="bottom"/>
            <w:tcBorders>
              <w:top w:val="single" w:sz="8" w:color="0000FF"/>
            </w:tcBorders>
          </w:tcPr>
          <w:p>
            <w:pPr>
              <w:spacing w:after="0"/>
              <w:rPr>
                <w:sz w:val="17"/>
                <w:szCs w:val="17"/>
                <w:color w:val="auto"/>
              </w:rPr>
            </w:pPr>
          </w:p>
        </w:tc>
        <w:tc>
          <w:tcPr>
            <w:tcW w:w="18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6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12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320" w:type="dxa"/>
            <w:vAlign w:val="bottom"/>
            <w:vMerge w:val="continue"/>
          </w:tcPr>
          <w:p>
            <w:pPr>
              <w:spacing w:after="0"/>
              <w:rPr>
                <w:sz w:val="18"/>
                <w:szCs w:val="18"/>
                <w:color w:val="auto"/>
              </w:rPr>
            </w:pPr>
          </w:p>
        </w:tc>
        <w:tc>
          <w:tcPr>
            <w:tcW w:w="8780" w:type="dxa"/>
            <w:vAlign w:val="bottom"/>
            <w:gridSpan w:val="36"/>
          </w:tcPr>
          <w:p>
            <w:pPr>
              <w:spacing w:after="0" w:line="214" w:lineRule="exact"/>
              <w:rPr>
                <w:sz w:val="20"/>
                <w:szCs w:val="20"/>
                <w:color w:val="auto"/>
              </w:rPr>
            </w:pPr>
            <w:r>
              <w:rPr>
                <w:rFonts w:ascii="Arial" w:cs="Arial" w:eastAsia="Arial" w:hAnsi="Arial"/>
                <w:sz w:val="19"/>
                <w:szCs w:val="19"/>
                <w:color w:val="0000FF"/>
              </w:rPr>
              <w:t>List of Subsidiary (incorporated by reference to Exhibit 21.1 to the Registrant's Annual Report on Form</w:t>
            </w:r>
          </w:p>
        </w:tc>
        <w:tc>
          <w:tcPr>
            <w:tcW w:w="0" w:type="dxa"/>
            <w:vAlign w:val="bottom"/>
          </w:tcPr>
          <w:p>
            <w:pPr>
              <w:spacing w:after="0"/>
              <w:rPr>
                <w:sz w:val="1"/>
                <w:szCs w:val="1"/>
                <w:color w:val="auto"/>
              </w:rPr>
            </w:pPr>
          </w:p>
        </w:tc>
      </w:tr>
      <w:tr>
        <w:trPr>
          <w:trHeight w:val="198"/>
        </w:trPr>
        <w:tc>
          <w:tcPr>
            <w:tcW w:w="1320" w:type="dxa"/>
            <w:vAlign w:val="bottom"/>
            <w:vMerge w:val="restart"/>
          </w:tcPr>
          <w:p>
            <w:pPr>
              <w:spacing w:after="0"/>
              <w:rPr>
                <w:sz w:val="20"/>
                <w:szCs w:val="20"/>
                <w:color w:val="auto"/>
              </w:rPr>
            </w:pPr>
            <w:r>
              <w:rPr>
                <w:rFonts w:ascii="Arial" w:cs="Arial" w:eastAsia="Arial" w:hAnsi="Arial"/>
                <w:sz w:val="19"/>
                <w:szCs w:val="19"/>
                <w:color w:val="auto"/>
              </w:rPr>
              <w:t>23.1*</w:t>
            </w:r>
          </w:p>
        </w:tc>
        <w:tc>
          <w:tcPr>
            <w:tcW w:w="3660" w:type="dxa"/>
            <w:vAlign w:val="bottom"/>
            <w:tcBorders>
              <w:top w:val="single" w:sz="8" w:color="0000FF"/>
              <w:bottom w:val="single" w:sz="8" w:color="0000FF"/>
            </w:tcBorders>
            <w:gridSpan w:val="7"/>
          </w:tcPr>
          <w:p>
            <w:pPr>
              <w:spacing w:after="0" w:line="199" w:lineRule="exact"/>
              <w:rPr>
                <w:sz w:val="20"/>
                <w:szCs w:val="20"/>
                <w:color w:val="auto"/>
              </w:rPr>
            </w:pPr>
            <w:r>
              <w:rPr>
                <w:rFonts w:ascii="Arial" w:cs="Arial" w:eastAsia="Arial" w:hAnsi="Arial"/>
                <w:sz w:val="19"/>
                <w:szCs w:val="19"/>
                <w:color w:val="0000FF"/>
                <w:w w:val="99"/>
              </w:rPr>
              <w:t>10-K filed with the SEC on March 29, 2022)</w:t>
            </w:r>
          </w:p>
        </w:tc>
        <w:tc>
          <w:tcPr>
            <w:tcW w:w="4980" w:type="dxa"/>
            <w:vAlign w:val="bottom"/>
            <w:tcBorders>
              <w:top w:val="single" w:sz="8" w:color="0000FF"/>
            </w:tcBorders>
            <w:gridSpan w:val="22"/>
          </w:tcPr>
          <w:p>
            <w:pPr>
              <w:spacing w:after="0"/>
              <w:rPr>
                <w:sz w:val="17"/>
                <w:szCs w:val="17"/>
                <w:color w:val="auto"/>
              </w:rPr>
            </w:pPr>
          </w:p>
        </w:tc>
        <w:tc>
          <w:tcPr>
            <w:tcW w:w="60" w:type="dxa"/>
            <w:vAlign w:val="bottom"/>
            <w:gridSpan w:val="3"/>
          </w:tcPr>
          <w:p>
            <w:pPr>
              <w:spacing w:after="0"/>
              <w:rPr>
                <w:sz w:val="17"/>
                <w:szCs w:val="17"/>
                <w:color w:val="auto"/>
              </w:rPr>
            </w:pPr>
          </w:p>
        </w:tc>
        <w:tc>
          <w:tcPr>
            <w:tcW w:w="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320" w:type="dxa"/>
            <w:vAlign w:val="bottom"/>
            <w:vMerge w:val="continue"/>
          </w:tcPr>
          <w:p>
            <w:pPr>
              <w:spacing w:after="0"/>
              <w:rPr>
                <w:sz w:val="18"/>
                <w:szCs w:val="18"/>
                <w:color w:val="auto"/>
              </w:rPr>
            </w:pPr>
          </w:p>
        </w:tc>
        <w:tc>
          <w:tcPr>
            <w:tcW w:w="6060" w:type="dxa"/>
            <w:vAlign w:val="bottom"/>
            <w:tcBorders>
              <w:bottom w:val="single" w:sz="8" w:color="0000FF"/>
            </w:tcBorders>
            <w:gridSpan w:val="12"/>
          </w:tcPr>
          <w:p>
            <w:pPr>
              <w:spacing w:after="0" w:line="214" w:lineRule="exact"/>
              <w:rPr>
                <w:sz w:val="20"/>
                <w:szCs w:val="20"/>
                <w:color w:val="auto"/>
              </w:rPr>
            </w:pPr>
            <w:r>
              <w:rPr>
                <w:rFonts w:ascii="Arial" w:cs="Arial" w:eastAsia="Arial" w:hAnsi="Arial"/>
                <w:sz w:val="19"/>
                <w:szCs w:val="19"/>
                <w:color w:val="0000FF"/>
                <w:w w:val="99"/>
              </w:rPr>
              <w:t>Consent of KPMG LLP, Independent Registered Public Accounting Firm</w:t>
            </w:r>
          </w:p>
        </w:tc>
        <w:tc>
          <w:tcPr>
            <w:tcW w:w="2720" w:type="dxa"/>
            <w:vAlign w:val="bottom"/>
            <w:gridSpan w:val="24"/>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320" w:type="dxa"/>
            <w:vAlign w:val="bottom"/>
          </w:tcPr>
          <w:p>
            <w:pPr>
              <w:spacing w:after="0" w:line="214" w:lineRule="exact"/>
              <w:rPr>
                <w:sz w:val="20"/>
                <w:szCs w:val="20"/>
                <w:color w:val="auto"/>
              </w:rPr>
            </w:pPr>
            <w:r>
              <w:rPr>
                <w:rFonts w:ascii="Arial" w:cs="Arial" w:eastAsia="Arial" w:hAnsi="Arial"/>
                <w:sz w:val="19"/>
                <w:szCs w:val="19"/>
                <w:color w:val="auto"/>
              </w:rPr>
              <w:t>24.1*</w:t>
            </w:r>
          </w:p>
        </w:tc>
        <w:tc>
          <w:tcPr>
            <w:tcW w:w="3980" w:type="dxa"/>
            <w:vAlign w:val="bottom"/>
            <w:tcBorders>
              <w:bottom w:val="single" w:sz="8" w:color="0000FF"/>
            </w:tcBorders>
            <w:gridSpan w:val="9"/>
          </w:tcPr>
          <w:p>
            <w:pPr>
              <w:spacing w:after="0" w:line="214" w:lineRule="exact"/>
              <w:rPr>
                <w:rFonts w:ascii="Arial" w:cs="Arial" w:eastAsia="Arial" w:hAnsi="Arial"/>
                <w:sz w:val="19"/>
                <w:szCs w:val="19"/>
                <w:color w:val="0000FF"/>
                <w:w w:val="99"/>
              </w:rPr>
            </w:pPr>
            <w:hyperlink w:anchor="page146">
              <w:r>
                <w:rPr>
                  <w:rFonts w:ascii="Arial" w:cs="Arial" w:eastAsia="Arial" w:hAnsi="Arial"/>
                  <w:sz w:val="19"/>
                  <w:szCs w:val="19"/>
                  <w:color w:val="0000FF"/>
                  <w:w w:val="99"/>
                </w:rPr>
                <w:t>Power of Attorney (included on signature page)</w:t>
              </w:r>
            </w:hyperlink>
          </w:p>
        </w:tc>
        <w:tc>
          <w:tcPr>
            <w:tcW w:w="4800" w:type="dxa"/>
            <w:vAlign w:val="bottom"/>
            <w:gridSpan w:val="27"/>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320" w:type="dxa"/>
            <w:vAlign w:val="bottom"/>
          </w:tcPr>
          <w:p>
            <w:pPr>
              <w:spacing w:after="0" w:line="214" w:lineRule="exact"/>
              <w:rPr>
                <w:sz w:val="20"/>
                <w:szCs w:val="20"/>
                <w:color w:val="auto"/>
              </w:rPr>
            </w:pPr>
            <w:r>
              <w:rPr>
                <w:rFonts w:ascii="Arial" w:cs="Arial" w:eastAsia="Arial" w:hAnsi="Arial"/>
                <w:sz w:val="19"/>
                <w:szCs w:val="19"/>
                <w:color w:val="auto"/>
              </w:rPr>
              <w:t>31.1*</w:t>
            </w:r>
          </w:p>
        </w:tc>
        <w:tc>
          <w:tcPr>
            <w:tcW w:w="8040" w:type="dxa"/>
            <w:vAlign w:val="bottom"/>
            <w:tcBorders>
              <w:bottom w:val="single" w:sz="8" w:color="0000FF"/>
            </w:tcBorders>
            <w:gridSpan w:val="16"/>
          </w:tcPr>
          <w:p>
            <w:pPr>
              <w:spacing w:after="0" w:line="214" w:lineRule="exact"/>
              <w:rPr>
                <w:sz w:val="20"/>
                <w:szCs w:val="20"/>
                <w:color w:val="auto"/>
              </w:rPr>
            </w:pPr>
            <w:r>
              <w:rPr>
                <w:rFonts w:ascii="Arial" w:cs="Arial" w:eastAsia="Arial" w:hAnsi="Arial"/>
                <w:sz w:val="19"/>
                <w:szCs w:val="19"/>
                <w:color w:val="0000FF"/>
                <w:w w:val="99"/>
              </w:rPr>
              <w:t>Certification of Principal Executive Officer Pursuant to Rules 13a-14(a) and 15d-14(a) under the</w:t>
            </w:r>
          </w:p>
        </w:tc>
        <w:tc>
          <w:tcPr>
            <w:tcW w:w="740" w:type="dxa"/>
            <w:vAlign w:val="bottom"/>
            <w:gridSpan w:val="20"/>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320" w:type="dxa"/>
            <w:vAlign w:val="bottom"/>
          </w:tcPr>
          <w:p>
            <w:pPr>
              <w:spacing w:after="0"/>
              <w:rPr>
                <w:sz w:val="17"/>
                <w:szCs w:val="17"/>
                <w:color w:val="auto"/>
              </w:rPr>
            </w:pPr>
          </w:p>
        </w:tc>
        <w:tc>
          <w:tcPr>
            <w:tcW w:w="8780" w:type="dxa"/>
            <w:vAlign w:val="bottom"/>
            <w:gridSpan w:val="36"/>
          </w:tcPr>
          <w:p>
            <w:pPr>
              <w:spacing w:after="0" w:line="199" w:lineRule="exact"/>
              <w:rPr>
                <w:sz w:val="20"/>
                <w:szCs w:val="20"/>
                <w:color w:val="auto"/>
              </w:rPr>
            </w:pPr>
            <w:r>
              <w:rPr>
                <w:rFonts w:ascii="Arial" w:cs="Arial" w:eastAsia="Arial" w:hAnsi="Arial"/>
                <w:sz w:val="19"/>
                <w:szCs w:val="19"/>
                <w:color w:val="0000FF"/>
              </w:rPr>
              <w:t>Securities Exchange Act of 1934, as Adopted Pursuant to Section 302 of the Sarbanes-Oxley Act of</w:t>
            </w:r>
          </w:p>
        </w:tc>
        <w:tc>
          <w:tcPr>
            <w:tcW w:w="0" w:type="dxa"/>
            <w:vAlign w:val="bottom"/>
          </w:tcPr>
          <w:p>
            <w:pPr>
              <w:spacing w:after="0"/>
              <w:rPr>
                <w:sz w:val="1"/>
                <w:szCs w:val="1"/>
                <w:color w:val="auto"/>
              </w:rPr>
            </w:pPr>
          </w:p>
        </w:tc>
      </w:tr>
      <w:tr>
        <w:trPr>
          <w:trHeight w:val="198"/>
        </w:trPr>
        <w:tc>
          <w:tcPr>
            <w:tcW w:w="1320" w:type="dxa"/>
            <w:vAlign w:val="bottom"/>
            <w:vMerge w:val="restart"/>
          </w:tcPr>
          <w:p>
            <w:pPr>
              <w:spacing w:after="0"/>
              <w:rPr>
                <w:sz w:val="20"/>
                <w:szCs w:val="20"/>
                <w:color w:val="auto"/>
              </w:rPr>
            </w:pPr>
            <w:r>
              <w:rPr>
                <w:rFonts w:ascii="Arial" w:cs="Arial" w:eastAsia="Arial" w:hAnsi="Arial"/>
                <w:sz w:val="19"/>
                <w:szCs w:val="19"/>
                <w:color w:val="auto"/>
              </w:rPr>
              <w:t>31.2*</w:t>
            </w:r>
          </w:p>
        </w:tc>
        <w:tc>
          <w:tcPr>
            <w:tcW w:w="420" w:type="dxa"/>
            <w:vAlign w:val="bottom"/>
            <w:tcBorders>
              <w:top w:val="single" w:sz="8" w:color="0000FF"/>
              <w:bottom w:val="single" w:sz="8" w:color="0000FF"/>
            </w:tcBorders>
          </w:tcPr>
          <w:p>
            <w:pPr>
              <w:spacing w:after="0" w:line="199" w:lineRule="exact"/>
              <w:rPr>
                <w:sz w:val="20"/>
                <w:szCs w:val="20"/>
                <w:color w:val="auto"/>
              </w:rPr>
            </w:pPr>
            <w:r>
              <w:rPr>
                <w:rFonts w:ascii="Arial" w:cs="Arial" w:eastAsia="Arial" w:hAnsi="Arial"/>
                <w:sz w:val="19"/>
                <w:szCs w:val="19"/>
                <w:color w:val="0000FF"/>
                <w:w w:val="94"/>
              </w:rPr>
              <w:t>2002</w:t>
            </w:r>
          </w:p>
        </w:tc>
        <w:tc>
          <w:tcPr>
            <w:tcW w:w="380" w:type="dxa"/>
            <w:vAlign w:val="bottom"/>
            <w:tcBorders>
              <w:top w:val="single" w:sz="8" w:color="0000FF"/>
            </w:tcBorders>
          </w:tcPr>
          <w:p>
            <w:pPr>
              <w:spacing w:after="0"/>
              <w:rPr>
                <w:sz w:val="17"/>
                <w:szCs w:val="17"/>
                <w:color w:val="auto"/>
              </w:rPr>
            </w:pPr>
          </w:p>
        </w:tc>
        <w:tc>
          <w:tcPr>
            <w:tcW w:w="18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6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12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320" w:type="dxa"/>
            <w:vAlign w:val="bottom"/>
            <w:vMerge w:val="continue"/>
          </w:tcPr>
          <w:p>
            <w:pPr>
              <w:spacing w:after="0"/>
              <w:rPr>
                <w:sz w:val="18"/>
                <w:szCs w:val="18"/>
                <w:color w:val="auto"/>
              </w:rPr>
            </w:pPr>
          </w:p>
        </w:tc>
        <w:tc>
          <w:tcPr>
            <w:tcW w:w="8780" w:type="dxa"/>
            <w:vAlign w:val="bottom"/>
            <w:gridSpan w:val="36"/>
          </w:tcPr>
          <w:p>
            <w:pPr>
              <w:spacing w:after="0" w:line="214" w:lineRule="exact"/>
              <w:rPr>
                <w:sz w:val="20"/>
                <w:szCs w:val="20"/>
                <w:color w:val="auto"/>
              </w:rPr>
            </w:pPr>
            <w:r>
              <w:rPr>
                <w:rFonts w:ascii="Arial" w:cs="Arial" w:eastAsia="Arial" w:hAnsi="Arial"/>
                <w:sz w:val="19"/>
                <w:szCs w:val="19"/>
                <w:color w:val="0000FF"/>
              </w:rPr>
              <w:t>Certification of Principal Financial Officer Pursuant to Rules 13a-14(a) and 15d-14(a) under the</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640" w:type="dxa"/>
            <w:vAlign w:val="bottom"/>
            <w:gridSpan w:val="3"/>
            <w:shd w:val="clear" w:color="auto" w:fill="0000FF"/>
          </w:tcPr>
          <w:p>
            <w:pPr>
              <w:spacing w:after="0" w:line="20" w:lineRule="exact"/>
              <w:rPr>
                <w:sz w:val="1"/>
                <w:szCs w:val="1"/>
                <w:color w:val="auto"/>
              </w:rPr>
            </w:pPr>
          </w:p>
        </w:tc>
        <w:tc>
          <w:tcPr>
            <w:tcW w:w="3900" w:type="dxa"/>
            <w:vAlign w:val="bottom"/>
            <w:gridSpan w:val="10"/>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740" w:type="dxa"/>
            <w:vAlign w:val="bottom"/>
            <w:gridSpan w:val="1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320" w:type="dxa"/>
            <w:vAlign w:val="bottom"/>
          </w:tcPr>
          <w:p>
            <w:pPr>
              <w:spacing w:after="0"/>
              <w:rPr>
                <w:sz w:val="17"/>
                <w:szCs w:val="17"/>
                <w:color w:val="auto"/>
              </w:rPr>
            </w:pPr>
          </w:p>
        </w:tc>
        <w:tc>
          <w:tcPr>
            <w:tcW w:w="8780" w:type="dxa"/>
            <w:vAlign w:val="bottom"/>
            <w:gridSpan w:val="36"/>
          </w:tcPr>
          <w:p>
            <w:pPr>
              <w:spacing w:after="0" w:line="199" w:lineRule="exact"/>
              <w:rPr>
                <w:sz w:val="20"/>
                <w:szCs w:val="20"/>
                <w:color w:val="auto"/>
              </w:rPr>
            </w:pPr>
            <w:r>
              <w:rPr>
                <w:rFonts w:ascii="Arial" w:cs="Arial" w:eastAsia="Arial" w:hAnsi="Arial"/>
                <w:sz w:val="19"/>
                <w:szCs w:val="19"/>
                <w:color w:val="0000FF"/>
              </w:rPr>
              <w:t>Securities Exchange Act of 1934, as Adopted Pursuant to Section 302 of the Sarbanes-Oxley Act of</w:t>
            </w:r>
          </w:p>
        </w:tc>
        <w:tc>
          <w:tcPr>
            <w:tcW w:w="0" w:type="dxa"/>
            <w:vAlign w:val="bottom"/>
          </w:tcPr>
          <w:p>
            <w:pPr>
              <w:spacing w:after="0"/>
              <w:rPr>
                <w:sz w:val="1"/>
                <w:szCs w:val="1"/>
                <w:color w:val="auto"/>
              </w:rPr>
            </w:pPr>
          </w:p>
        </w:tc>
      </w:tr>
      <w:tr>
        <w:trPr>
          <w:trHeight w:val="198"/>
        </w:trPr>
        <w:tc>
          <w:tcPr>
            <w:tcW w:w="1320" w:type="dxa"/>
            <w:vAlign w:val="bottom"/>
            <w:vMerge w:val="restart"/>
          </w:tcPr>
          <w:p>
            <w:pPr>
              <w:spacing w:after="0"/>
              <w:rPr>
                <w:sz w:val="20"/>
                <w:szCs w:val="20"/>
                <w:color w:val="auto"/>
              </w:rPr>
            </w:pPr>
            <w:r>
              <w:rPr>
                <w:rFonts w:ascii="Arial" w:cs="Arial" w:eastAsia="Arial" w:hAnsi="Arial"/>
                <w:sz w:val="19"/>
                <w:szCs w:val="19"/>
                <w:color w:val="auto"/>
              </w:rPr>
              <w:t>32.1*+</w:t>
            </w:r>
          </w:p>
        </w:tc>
        <w:tc>
          <w:tcPr>
            <w:tcW w:w="420" w:type="dxa"/>
            <w:vAlign w:val="bottom"/>
            <w:tcBorders>
              <w:top w:val="single" w:sz="8" w:color="0000FF"/>
              <w:bottom w:val="single" w:sz="8" w:color="0000FF"/>
            </w:tcBorders>
          </w:tcPr>
          <w:p>
            <w:pPr>
              <w:spacing w:after="0" w:line="199" w:lineRule="exact"/>
              <w:rPr>
                <w:sz w:val="20"/>
                <w:szCs w:val="20"/>
                <w:color w:val="auto"/>
              </w:rPr>
            </w:pPr>
            <w:r>
              <w:rPr>
                <w:rFonts w:ascii="Arial" w:cs="Arial" w:eastAsia="Arial" w:hAnsi="Arial"/>
                <w:sz w:val="19"/>
                <w:szCs w:val="19"/>
                <w:color w:val="0000FF"/>
                <w:w w:val="94"/>
              </w:rPr>
              <w:t>2002</w:t>
            </w:r>
          </w:p>
        </w:tc>
        <w:tc>
          <w:tcPr>
            <w:tcW w:w="380" w:type="dxa"/>
            <w:vAlign w:val="bottom"/>
            <w:tcBorders>
              <w:top w:val="single" w:sz="8" w:color="0000FF"/>
            </w:tcBorders>
          </w:tcPr>
          <w:p>
            <w:pPr>
              <w:spacing w:after="0"/>
              <w:rPr>
                <w:sz w:val="17"/>
                <w:szCs w:val="17"/>
                <w:color w:val="auto"/>
              </w:rPr>
            </w:pPr>
          </w:p>
        </w:tc>
        <w:tc>
          <w:tcPr>
            <w:tcW w:w="18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6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12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320" w:type="dxa"/>
            <w:vAlign w:val="bottom"/>
            <w:vMerge w:val="continue"/>
          </w:tcPr>
          <w:p>
            <w:pPr>
              <w:spacing w:after="0"/>
              <w:rPr>
                <w:sz w:val="18"/>
                <w:szCs w:val="18"/>
                <w:color w:val="auto"/>
              </w:rPr>
            </w:pPr>
          </w:p>
        </w:tc>
        <w:tc>
          <w:tcPr>
            <w:tcW w:w="8780" w:type="dxa"/>
            <w:vAlign w:val="bottom"/>
            <w:gridSpan w:val="36"/>
          </w:tcPr>
          <w:p>
            <w:pPr>
              <w:spacing w:after="0" w:line="214" w:lineRule="exact"/>
              <w:rPr>
                <w:sz w:val="20"/>
                <w:szCs w:val="20"/>
                <w:color w:val="auto"/>
              </w:rPr>
            </w:pPr>
            <w:r>
              <w:rPr>
                <w:rFonts w:ascii="Arial" w:cs="Arial" w:eastAsia="Arial" w:hAnsi="Arial"/>
                <w:sz w:val="19"/>
                <w:szCs w:val="19"/>
                <w:color w:val="0000FF"/>
              </w:rPr>
              <w:t>Certification of Principal Executive Officer and Principal Financial Officer Pursuant to 18 U.S.C. Section</w:t>
            </w:r>
          </w:p>
        </w:tc>
        <w:tc>
          <w:tcPr>
            <w:tcW w:w="0" w:type="dxa"/>
            <w:vAlign w:val="bottom"/>
          </w:tcPr>
          <w:p>
            <w:pPr>
              <w:spacing w:after="0"/>
              <w:rPr>
                <w:sz w:val="1"/>
                <w:szCs w:val="1"/>
                <w:color w:val="auto"/>
              </w:rPr>
            </w:pPr>
          </w:p>
        </w:tc>
      </w:tr>
      <w:tr>
        <w:trPr>
          <w:trHeight w:val="198"/>
        </w:trPr>
        <w:tc>
          <w:tcPr>
            <w:tcW w:w="1320" w:type="dxa"/>
            <w:vAlign w:val="bottom"/>
            <w:vMerge w:val="restart"/>
          </w:tcPr>
          <w:p>
            <w:pPr>
              <w:spacing w:after="0"/>
              <w:rPr>
                <w:sz w:val="20"/>
                <w:szCs w:val="20"/>
                <w:color w:val="auto"/>
              </w:rPr>
            </w:pPr>
            <w:r>
              <w:rPr>
                <w:rFonts w:ascii="Arial" w:cs="Arial" w:eastAsia="Arial" w:hAnsi="Arial"/>
                <w:sz w:val="19"/>
                <w:szCs w:val="19"/>
                <w:color w:val="auto"/>
              </w:rPr>
              <w:t>97.1*</w:t>
            </w:r>
          </w:p>
        </w:tc>
        <w:tc>
          <w:tcPr>
            <w:tcW w:w="6540" w:type="dxa"/>
            <w:vAlign w:val="bottom"/>
            <w:tcBorders>
              <w:top w:val="single" w:sz="8" w:color="0000FF"/>
              <w:bottom w:val="single" w:sz="8" w:color="0000FF"/>
            </w:tcBorders>
            <w:gridSpan w:val="13"/>
          </w:tcPr>
          <w:p>
            <w:pPr>
              <w:spacing w:after="0" w:line="199" w:lineRule="exact"/>
              <w:rPr>
                <w:sz w:val="20"/>
                <w:szCs w:val="20"/>
                <w:color w:val="auto"/>
              </w:rPr>
            </w:pPr>
            <w:r>
              <w:rPr>
                <w:rFonts w:ascii="Arial" w:cs="Arial" w:eastAsia="Arial" w:hAnsi="Arial"/>
                <w:sz w:val="19"/>
                <w:szCs w:val="19"/>
                <w:color w:val="0000FF"/>
                <w:w w:val="99"/>
              </w:rPr>
              <w:t>1350, as Adopted Pursuant to Section 906 of the Sarbanes-Oxley Act of 2002</w:t>
            </w:r>
          </w:p>
        </w:tc>
        <w:tc>
          <w:tcPr>
            <w:tcW w:w="2160" w:type="dxa"/>
            <w:vAlign w:val="bottom"/>
            <w:tcBorders>
              <w:top w:val="single" w:sz="8" w:color="0000FF"/>
            </w:tcBorders>
            <w:gridSpan w:val="19"/>
          </w:tcPr>
          <w:p>
            <w:pPr>
              <w:spacing w:after="0"/>
              <w:rPr>
                <w:sz w:val="17"/>
                <w:szCs w:val="17"/>
                <w:color w:val="auto"/>
              </w:rPr>
            </w:pPr>
          </w:p>
        </w:tc>
        <w:tc>
          <w:tcPr>
            <w:tcW w:w="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320" w:type="dxa"/>
            <w:vAlign w:val="bottom"/>
            <w:vMerge w:val="continue"/>
          </w:tcPr>
          <w:p>
            <w:pPr>
              <w:spacing w:after="0"/>
              <w:rPr>
                <w:sz w:val="18"/>
                <w:szCs w:val="18"/>
                <w:color w:val="auto"/>
              </w:rPr>
            </w:pPr>
          </w:p>
        </w:tc>
        <w:tc>
          <w:tcPr>
            <w:tcW w:w="8780" w:type="dxa"/>
            <w:vAlign w:val="bottom"/>
            <w:gridSpan w:val="36"/>
          </w:tcPr>
          <w:p>
            <w:pPr>
              <w:spacing w:after="0" w:line="214" w:lineRule="exact"/>
              <w:rPr>
                <w:sz w:val="20"/>
                <w:szCs w:val="20"/>
                <w:color w:val="auto"/>
              </w:rPr>
            </w:pPr>
            <w:r>
              <w:rPr>
                <w:rFonts w:ascii="Arial" w:cs="Arial" w:eastAsia="Arial" w:hAnsi="Arial"/>
                <w:sz w:val="19"/>
                <w:szCs w:val="19"/>
                <w:color w:val="0000FF"/>
              </w:rPr>
              <w:t>Compensation Recovery Policy</w:t>
            </w:r>
          </w:p>
        </w:tc>
        <w:tc>
          <w:tcPr>
            <w:tcW w:w="0" w:type="dxa"/>
            <w:vAlign w:val="bottom"/>
          </w:tcPr>
          <w:p>
            <w:pPr>
              <w:spacing w:after="0"/>
              <w:rPr>
                <w:sz w:val="1"/>
                <w:szCs w:val="1"/>
                <w:color w:val="auto"/>
              </w:rPr>
            </w:pPr>
          </w:p>
        </w:tc>
      </w:tr>
      <w:tr>
        <w:trPr>
          <w:trHeight w:val="20"/>
        </w:trPr>
        <w:tc>
          <w:tcPr>
            <w:tcW w:w="1320" w:type="dxa"/>
            <w:vAlign w:val="bottom"/>
            <w:vMerge w:val="restart"/>
          </w:tcPr>
          <w:p>
            <w:pPr>
              <w:spacing w:after="0"/>
              <w:rPr>
                <w:sz w:val="20"/>
                <w:szCs w:val="20"/>
                <w:color w:val="auto"/>
              </w:rPr>
            </w:pPr>
            <w:r>
              <w:rPr>
                <w:rFonts w:ascii="Arial" w:cs="Arial" w:eastAsia="Arial" w:hAnsi="Arial"/>
                <w:sz w:val="19"/>
                <w:szCs w:val="19"/>
                <w:color w:val="auto"/>
              </w:rPr>
              <w:t>101.INS</w:t>
            </w:r>
          </w:p>
        </w:tc>
        <w:tc>
          <w:tcPr>
            <w:tcW w:w="2640" w:type="dxa"/>
            <w:vAlign w:val="bottom"/>
            <w:gridSpan w:val="3"/>
            <w:shd w:val="clear" w:color="auto" w:fill="0000FF"/>
          </w:tcPr>
          <w:p>
            <w:pPr>
              <w:spacing w:after="0" w:line="20" w:lineRule="exact"/>
              <w:rPr>
                <w:sz w:val="1"/>
                <w:szCs w:val="1"/>
                <w:color w:val="auto"/>
              </w:rPr>
            </w:pPr>
          </w:p>
        </w:tc>
        <w:tc>
          <w:tcPr>
            <w:tcW w:w="6140" w:type="dxa"/>
            <w:vAlign w:val="bottom"/>
            <w:gridSpan w:val="3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8780" w:type="dxa"/>
            <w:vAlign w:val="bottom"/>
            <w:gridSpan w:val="36"/>
          </w:tcPr>
          <w:p>
            <w:pPr>
              <w:spacing w:after="0" w:line="216" w:lineRule="exact"/>
              <w:rPr>
                <w:sz w:val="20"/>
                <w:szCs w:val="20"/>
                <w:color w:val="auto"/>
              </w:rPr>
            </w:pPr>
            <w:r>
              <w:rPr>
                <w:rFonts w:ascii="Arial" w:cs="Arial" w:eastAsia="Arial" w:hAnsi="Arial"/>
                <w:sz w:val="19"/>
                <w:szCs w:val="19"/>
                <w:color w:val="auto"/>
              </w:rPr>
              <w:t>Inline XBRL Instance Document – the instance document does not appear in the Interactive Data File</w:t>
            </w:r>
          </w:p>
        </w:tc>
        <w:tc>
          <w:tcPr>
            <w:tcW w:w="0" w:type="dxa"/>
            <w:vAlign w:val="bottom"/>
          </w:tcPr>
          <w:p>
            <w:pPr>
              <w:spacing w:after="0"/>
              <w:rPr>
                <w:sz w:val="1"/>
                <w:szCs w:val="1"/>
                <w:color w:val="auto"/>
              </w:rPr>
            </w:pPr>
          </w:p>
        </w:tc>
      </w:tr>
      <w:tr>
        <w:trPr>
          <w:trHeight w:val="233"/>
        </w:trPr>
        <w:tc>
          <w:tcPr>
            <w:tcW w:w="1320" w:type="dxa"/>
            <w:vAlign w:val="bottom"/>
          </w:tcPr>
          <w:p>
            <w:pPr>
              <w:spacing w:after="0"/>
              <w:rPr>
                <w:sz w:val="20"/>
                <w:szCs w:val="20"/>
                <w:color w:val="auto"/>
              </w:rPr>
            </w:pPr>
          </w:p>
        </w:tc>
        <w:tc>
          <w:tcPr>
            <w:tcW w:w="8780" w:type="dxa"/>
            <w:vAlign w:val="bottom"/>
            <w:gridSpan w:val="36"/>
          </w:tcPr>
          <w:p>
            <w:pPr>
              <w:spacing w:after="0"/>
              <w:rPr>
                <w:sz w:val="20"/>
                <w:szCs w:val="20"/>
                <w:color w:val="auto"/>
              </w:rPr>
            </w:pPr>
            <w:r>
              <w:rPr>
                <w:rFonts w:ascii="Arial" w:cs="Arial" w:eastAsia="Arial" w:hAnsi="Arial"/>
                <w:sz w:val="19"/>
                <w:szCs w:val="19"/>
                <w:color w:val="auto"/>
              </w:rPr>
              <w:t>because XBRL tags are embedded within the Inline XBRL document.</w:t>
            </w:r>
          </w:p>
        </w:tc>
        <w:tc>
          <w:tcPr>
            <w:tcW w:w="0" w:type="dxa"/>
            <w:vAlign w:val="bottom"/>
          </w:tcPr>
          <w:p>
            <w:pPr>
              <w:spacing w:after="0"/>
              <w:rPr>
                <w:sz w:val="1"/>
                <w:szCs w:val="1"/>
                <w:color w:val="auto"/>
              </w:rPr>
            </w:pPr>
          </w:p>
        </w:tc>
      </w:tr>
      <w:tr>
        <w:trPr>
          <w:trHeight w:val="233"/>
        </w:trPr>
        <w:tc>
          <w:tcPr>
            <w:tcW w:w="1320" w:type="dxa"/>
            <w:vAlign w:val="bottom"/>
          </w:tcPr>
          <w:p>
            <w:pPr>
              <w:spacing w:after="0"/>
              <w:rPr>
                <w:sz w:val="20"/>
                <w:szCs w:val="20"/>
                <w:color w:val="auto"/>
              </w:rPr>
            </w:pPr>
            <w:r>
              <w:rPr>
                <w:rFonts w:ascii="Arial" w:cs="Arial" w:eastAsia="Arial" w:hAnsi="Arial"/>
                <w:sz w:val="19"/>
                <w:szCs w:val="19"/>
                <w:color w:val="auto"/>
              </w:rPr>
              <w:t>101.SCH</w:t>
            </w:r>
          </w:p>
        </w:tc>
        <w:tc>
          <w:tcPr>
            <w:tcW w:w="8780" w:type="dxa"/>
            <w:vAlign w:val="bottom"/>
            <w:gridSpan w:val="36"/>
          </w:tcPr>
          <w:p>
            <w:pPr>
              <w:spacing w:after="0"/>
              <w:rPr>
                <w:sz w:val="20"/>
                <w:szCs w:val="20"/>
                <w:color w:val="auto"/>
              </w:rPr>
            </w:pPr>
            <w:r>
              <w:rPr>
                <w:rFonts w:ascii="Arial" w:cs="Arial" w:eastAsia="Arial" w:hAnsi="Arial"/>
                <w:sz w:val="19"/>
                <w:szCs w:val="19"/>
                <w:color w:val="auto"/>
              </w:rPr>
              <w:t>Inline XBRL Taxonomy Extension Schema Document</w:t>
            </w:r>
          </w:p>
        </w:tc>
        <w:tc>
          <w:tcPr>
            <w:tcW w:w="0" w:type="dxa"/>
            <w:vAlign w:val="bottom"/>
          </w:tcPr>
          <w:p>
            <w:pPr>
              <w:spacing w:after="0"/>
              <w:rPr>
                <w:sz w:val="1"/>
                <w:szCs w:val="1"/>
                <w:color w:val="auto"/>
              </w:rPr>
            </w:pPr>
          </w:p>
        </w:tc>
      </w:tr>
      <w:tr>
        <w:trPr>
          <w:trHeight w:val="233"/>
        </w:trPr>
        <w:tc>
          <w:tcPr>
            <w:tcW w:w="1320" w:type="dxa"/>
            <w:vAlign w:val="bottom"/>
          </w:tcPr>
          <w:p>
            <w:pPr>
              <w:spacing w:after="0"/>
              <w:rPr>
                <w:sz w:val="20"/>
                <w:szCs w:val="20"/>
                <w:color w:val="auto"/>
              </w:rPr>
            </w:pPr>
            <w:r>
              <w:rPr>
                <w:rFonts w:ascii="Arial" w:cs="Arial" w:eastAsia="Arial" w:hAnsi="Arial"/>
                <w:sz w:val="19"/>
                <w:szCs w:val="19"/>
                <w:color w:val="auto"/>
              </w:rPr>
              <w:t>101.CAL</w:t>
            </w:r>
          </w:p>
        </w:tc>
        <w:tc>
          <w:tcPr>
            <w:tcW w:w="8780" w:type="dxa"/>
            <w:vAlign w:val="bottom"/>
            <w:gridSpan w:val="36"/>
          </w:tcPr>
          <w:p>
            <w:pPr>
              <w:spacing w:after="0"/>
              <w:rPr>
                <w:sz w:val="20"/>
                <w:szCs w:val="20"/>
                <w:color w:val="auto"/>
              </w:rPr>
            </w:pPr>
            <w:r>
              <w:rPr>
                <w:rFonts w:ascii="Arial" w:cs="Arial" w:eastAsia="Arial" w:hAnsi="Arial"/>
                <w:sz w:val="19"/>
                <w:szCs w:val="19"/>
                <w:color w:val="auto"/>
              </w:rPr>
              <w:t>Inline XBRL Taxonomy Extension Calculation Linkbase Document</w:t>
            </w:r>
          </w:p>
        </w:tc>
        <w:tc>
          <w:tcPr>
            <w:tcW w:w="0" w:type="dxa"/>
            <w:vAlign w:val="bottom"/>
          </w:tcPr>
          <w:p>
            <w:pPr>
              <w:spacing w:after="0"/>
              <w:rPr>
                <w:sz w:val="1"/>
                <w:szCs w:val="1"/>
                <w:color w:val="auto"/>
              </w:rPr>
            </w:pPr>
          </w:p>
        </w:tc>
      </w:tr>
      <w:tr>
        <w:trPr>
          <w:trHeight w:val="233"/>
        </w:trPr>
        <w:tc>
          <w:tcPr>
            <w:tcW w:w="1320" w:type="dxa"/>
            <w:vAlign w:val="bottom"/>
          </w:tcPr>
          <w:p>
            <w:pPr>
              <w:spacing w:after="0"/>
              <w:rPr>
                <w:sz w:val="20"/>
                <w:szCs w:val="20"/>
                <w:color w:val="auto"/>
              </w:rPr>
            </w:pPr>
            <w:r>
              <w:rPr>
                <w:rFonts w:ascii="Arial" w:cs="Arial" w:eastAsia="Arial" w:hAnsi="Arial"/>
                <w:sz w:val="19"/>
                <w:szCs w:val="19"/>
                <w:color w:val="auto"/>
              </w:rPr>
              <w:t>101.DEF</w:t>
            </w:r>
          </w:p>
        </w:tc>
        <w:tc>
          <w:tcPr>
            <w:tcW w:w="8780" w:type="dxa"/>
            <w:vAlign w:val="bottom"/>
            <w:gridSpan w:val="36"/>
          </w:tcPr>
          <w:p>
            <w:pPr>
              <w:spacing w:after="0"/>
              <w:rPr>
                <w:sz w:val="20"/>
                <w:szCs w:val="20"/>
                <w:color w:val="auto"/>
              </w:rPr>
            </w:pPr>
            <w:r>
              <w:rPr>
                <w:rFonts w:ascii="Arial" w:cs="Arial" w:eastAsia="Arial" w:hAnsi="Arial"/>
                <w:sz w:val="19"/>
                <w:szCs w:val="19"/>
                <w:color w:val="auto"/>
              </w:rPr>
              <w:t>Inline XBRL Taxonomy Extension Definition Linkbase Document</w:t>
            </w:r>
          </w:p>
        </w:tc>
        <w:tc>
          <w:tcPr>
            <w:tcW w:w="0" w:type="dxa"/>
            <w:vAlign w:val="bottom"/>
          </w:tcPr>
          <w:p>
            <w:pPr>
              <w:spacing w:after="0"/>
              <w:rPr>
                <w:sz w:val="1"/>
                <w:szCs w:val="1"/>
                <w:color w:val="auto"/>
              </w:rPr>
            </w:pPr>
          </w:p>
        </w:tc>
      </w:tr>
      <w:tr>
        <w:trPr>
          <w:trHeight w:val="233"/>
        </w:trPr>
        <w:tc>
          <w:tcPr>
            <w:tcW w:w="1320" w:type="dxa"/>
            <w:vAlign w:val="bottom"/>
          </w:tcPr>
          <w:p>
            <w:pPr>
              <w:spacing w:after="0"/>
              <w:rPr>
                <w:sz w:val="20"/>
                <w:szCs w:val="20"/>
                <w:color w:val="auto"/>
              </w:rPr>
            </w:pPr>
            <w:r>
              <w:rPr>
                <w:rFonts w:ascii="Arial" w:cs="Arial" w:eastAsia="Arial" w:hAnsi="Arial"/>
                <w:sz w:val="19"/>
                <w:szCs w:val="19"/>
                <w:color w:val="auto"/>
              </w:rPr>
              <w:t>101.LAB</w:t>
            </w:r>
          </w:p>
        </w:tc>
        <w:tc>
          <w:tcPr>
            <w:tcW w:w="8780" w:type="dxa"/>
            <w:vAlign w:val="bottom"/>
            <w:gridSpan w:val="36"/>
          </w:tcPr>
          <w:p>
            <w:pPr>
              <w:spacing w:after="0"/>
              <w:rPr>
                <w:sz w:val="20"/>
                <w:szCs w:val="20"/>
                <w:color w:val="auto"/>
              </w:rPr>
            </w:pPr>
            <w:r>
              <w:rPr>
                <w:rFonts w:ascii="Arial" w:cs="Arial" w:eastAsia="Arial" w:hAnsi="Arial"/>
                <w:sz w:val="19"/>
                <w:szCs w:val="19"/>
                <w:color w:val="auto"/>
              </w:rPr>
              <w:t>Inline XBRL Taxonomy Extension Label Linkbase Document</w:t>
            </w:r>
          </w:p>
        </w:tc>
        <w:tc>
          <w:tcPr>
            <w:tcW w:w="0" w:type="dxa"/>
            <w:vAlign w:val="bottom"/>
          </w:tcPr>
          <w:p>
            <w:pPr>
              <w:spacing w:after="0"/>
              <w:rPr>
                <w:sz w:val="1"/>
                <w:szCs w:val="1"/>
                <w:color w:val="auto"/>
              </w:rPr>
            </w:pPr>
          </w:p>
        </w:tc>
      </w:tr>
      <w:tr>
        <w:trPr>
          <w:trHeight w:val="233"/>
        </w:trPr>
        <w:tc>
          <w:tcPr>
            <w:tcW w:w="1320" w:type="dxa"/>
            <w:vAlign w:val="bottom"/>
          </w:tcPr>
          <w:p>
            <w:pPr>
              <w:spacing w:after="0"/>
              <w:rPr>
                <w:sz w:val="20"/>
                <w:szCs w:val="20"/>
                <w:color w:val="auto"/>
              </w:rPr>
            </w:pPr>
            <w:r>
              <w:rPr>
                <w:rFonts w:ascii="Arial" w:cs="Arial" w:eastAsia="Arial" w:hAnsi="Arial"/>
                <w:sz w:val="19"/>
                <w:szCs w:val="19"/>
                <w:color w:val="auto"/>
              </w:rPr>
              <w:t>101.PRE</w:t>
            </w:r>
          </w:p>
        </w:tc>
        <w:tc>
          <w:tcPr>
            <w:tcW w:w="8780" w:type="dxa"/>
            <w:vAlign w:val="bottom"/>
            <w:gridSpan w:val="36"/>
          </w:tcPr>
          <w:p>
            <w:pPr>
              <w:spacing w:after="0"/>
              <w:rPr>
                <w:sz w:val="20"/>
                <w:szCs w:val="20"/>
                <w:color w:val="auto"/>
              </w:rPr>
            </w:pPr>
            <w:r>
              <w:rPr>
                <w:rFonts w:ascii="Arial" w:cs="Arial" w:eastAsia="Arial" w:hAnsi="Arial"/>
                <w:sz w:val="19"/>
                <w:szCs w:val="19"/>
                <w:color w:val="auto"/>
              </w:rPr>
              <w:t>Inline XBRL Taxonomy Extension Presentation Linkbase Document</w:t>
            </w:r>
          </w:p>
        </w:tc>
        <w:tc>
          <w:tcPr>
            <w:tcW w:w="0" w:type="dxa"/>
            <w:vAlign w:val="bottom"/>
          </w:tcPr>
          <w:p>
            <w:pPr>
              <w:spacing w:after="0"/>
              <w:rPr>
                <w:sz w:val="1"/>
                <w:szCs w:val="1"/>
                <w:color w:val="auto"/>
              </w:rPr>
            </w:pPr>
          </w:p>
        </w:tc>
      </w:tr>
      <w:tr>
        <w:trPr>
          <w:trHeight w:val="256"/>
        </w:trPr>
        <w:tc>
          <w:tcPr>
            <w:tcW w:w="1320" w:type="dxa"/>
            <w:vAlign w:val="bottom"/>
          </w:tcPr>
          <w:p>
            <w:pPr>
              <w:spacing w:after="0"/>
              <w:rPr>
                <w:sz w:val="20"/>
                <w:szCs w:val="20"/>
                <w:color w:val="auto"/>
              </w:rPr>
            </w:pPr>
            <w:r>
              <w:rPr>
                <w:rFonts w:ascii="Arial" w:cs="Arial" w:eastAsia="Arial" w:hAnsi="Arial"/>
                <w:sz w:val="19"/>
                <w:szCs w:val="19"/>
                <w:color w:val="auto"/>
              </w:rPr>
              <w:t>104</w:t>
            </w:r>
          </w:p>
        </w:tc>
        <w:tc>
          <w:tcPr>
            <w:tcW w:w="8780" w:type="dxa"/>
            <w:vAlign w:val="bottom"/>
            <w:gridSpan w:val="36"/>
          </w:tcPr>
          <w:p>
            <w:pPr>
              <w:spacing w:after="0"/>
              <w:rPr>
                <w:sz w:val="20"/>
                <w:szCs w:val="20"/>
                <w:color w:val="auto"/>
              </w:rPr>
            </w:pPr>
            <w:r>
              <w:rPr>
                <w:rFonts w:ascii="Arial" w:cs="Arial" w:eastAsia="Arial" w:hAnsi="Arial"/>
                <w:sz w:val="19"/>
                <w:szCs w:val="19"/>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-7328535</wp:posOffset>
            </wp:positionV>
            <wp:extent cx="6431915" cy="74231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8">
                      <a:extLst>
                        <a:ext uri="{28A0092B-C50C-407E-A947-70E740481C1C}"/>
                      </a:extLst>
                    </a:blip>
                    <a:srcRect/>
                    <a:stretch>
                      <a:fillRect/>
                    </a:stretch>
                  </pic:blipFill>
                  <pic:spPr bwMode="auto">
                    <a:xfrm>
                      <a:off x="0" y="0"/>
                      <a:ext cx="6431915" cy="742315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9"/>
          <w:szCs w:val="19"/>
          <w:color w:val="auto"/>
        </w:rPr>
        <w:t>* Filed herewith.</w:t>
      </w:r>
    </w:p>
    <w:p>
      <w:pPr>
        <w:spacing w:after="0" w:line="120" w:lineRule="exact"/>
        <w:rPr>
          <w:sz w:val="20"/>
          <w:szCs w:val="20"/>
          <w:color w:val="auto"/>
        </w:rPr>
      </w:pPr>
    </w:p>
    <w:p>
      <w:pPr>
        <w:ind w:left="360" w:right="260" w:hanging="360"/>
        <w:spacing w:after="0" w:line="260" w:lineRule="auto"/>
        <w:tabs>
          <w:tab w:leader="none" w:pos="164" w:val="left"/>
        </w:tabs>
        <w:numPr>
          <w:ilvl w:val="0"/>
          <w:numId w:val="84"/>
        </w:numPr>
        <w:rPr>
          <w:rFonts w:ascii="Arial" w:cs="Arial" w:eastAsia="Arial" w:hAnsi="Arial"/>
          <w:sz w:val="19"/>
          <w:szCs w:val="19"/>
          <w:color w:val="auto"/>
        </w:rPr>
      </w:pPr>
      <w:r>
        <w:rPr>
          <w:rFonts w:ascii="Arial" w:cs="Arial" w:eastAsia="Arial" w:hAnsi="Arial"/>
          <w:sz w:val="19"/>
          <w:szCs w:val="19"/>
          <w:color w:val="auto"/>
        </w:rPr>
        <w:t>The certifications furnished in Exhibit 32.1 hereto are deemed to be furnished with this Annual Report on form 10-K and will not be deemed to be "filed" for purposes of Section 18 of the Securities Exchange Act of 1934, as amended, except to the extent that the Registrant specifically incorporates it by reference.</w:t>
      </w:r>
    </w:p>
    <w:p>
      <w:pPr>
        <w:spacing w:after="0" w:line="65" w:lineRule="exact"/>
        <w:rPr>
          <w:sz w:val="20"/>
          <w:szCs w:val="20"/>
          <w:color w:val="auto"/>
        </w:rPr>
      </w:pPr>
    </w:p>
    <w:p>
      <w:pPr>
        <w:ind w:left="4880" w:right="2660" w:hanging="4880"/>
        <w:spacing w:after="0" w:line="552" w:lineRule="auto"/>
        <w:tabs>
          <w:tab w:leader="none" w:pos="210" w:val="left"/>
        </w:tabs>
        <w:numPr>
          <w:ilvl w:val="0"/>
          <w:numId w:val="85"/>
        </w:numPr>
        <w:rPr>
          <w:rFonts w:ascii="Arial" w:cs="Arial" w:eastAsia="Arial" w:hAnsi="Arial"/>
          <w:sz w:val="19"/>
          <w:szCs w:val="19"/>
          <w:color w:val="auto"/>
        </w:rPr>
      </w:pPr>
      <w:r>
        <w:rPr>
          <w:rFonts w:ascii="Arial" w:cs="Arial" w:eastAsia="Arial" w:hAnsi="Arial"/>
          <w:sz w:val="19"/>
          <w:szCs w:val="19"/>
          <w:color w:val="auto"/>
        </w:rPr>
        <w:t>Indicates a management contract or any compensatory plan, contract or arrangement 118</w:t>
      </w:r>
    </w:p>
    <w:p>
      <w:pPr>
        <w:sectPr>
          <w:pgSz w:w="12240" w:h="15840" w:orient="portrait"/>
          <w:cols w:equalWidth="0" w:num="1">
            <w:col w:w="10060"/>
          </w:cols>
          <w:pgMar w:left="1080" w:top="1074" w:right="1100" w:bottom="0" w:gutter="0" w:footer="0" w:header="0"/>
        </w:sectPr>
      </w:pPr>
    </w:p>
    <w:bookmarkStart w:id="122" w:name="page123"/>
    <w:bookmarkEnd w:id="122"/>
    <w:p>
      <w:pPr>
        <w:ind w:left="360" w:right="200" w:hanging="360"/>
        <w:spacing w:after="0" w:line="260" w:lineRule="auto"/>
        <w:tabs>
          <w:tab w:leader="none" w:pos="201" w:val="left"/>
        </w:tabs>
        <w:numPr>
          <w:ilvl w:val="0"/>
          <w:numId w:val="86"/>
        </w:numPr>
        <w:rPr>
          <w:rFonts w:ascii="Arial" w:cs="Arial" w:eastAsia="Arial" w:hAnsi="Arial"/>
          <w:sz w:val="19"/>
          <w:szCs w:val="19"/>
          <w:color w:val="auto"/>
        </w:rPr>
      </w:pPr>
      <w:r>
        <w:rPr>
          <w:rFonts w:ascii="Arial" w:cs="Arial" w:eastAsia="Arial" w:hAnsi="Arial"/>
          <w:sz w:val="19"/>
          <w:szCs w:val="19"/>
          <w:color w:val="auto"/>
        </w:rPr>
        <w:t>Portions of this exhibit have been omitted by means of redacting a portion of the text and replacing it with “[***]” because they are both (i) not material and (ii) the type of information that the Registrant treats as private or confidential.</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16. Form 10-K Summary</w:t>
      </w:r>
    </w:p>
    <w:p>
      <w:pPr>
        <w:spacing w:after="0" w:line="51" w:lineRule="exact"/>
        <w:rPr>
          <w:sz w:val="20"/>
          <w:szCs w:val="20"/>
          <w:color w:val="auto"/>
        </w:rPr>
      </w:pPr>
    </w:p>
    <w:p>
      <w:pPr>
        <w:spacing w:after="0"/>
        <w:rPr>
          <w:sz w:val="20"/>
          <w:szCs w:val="20"/>
          <w:color w:val="auto"/>
        </w:rPr>
      </w:pPr>
      <w:r>
        <w:rPr>
          <w:rFonts w:ascii="Arial" w:cs="Arial" w:eastAsia="Arial" w:hAnsi="Arial"/>
          <w:sz w:val="19"/>
          <w:szCs w:val="19"/>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59"/>
        <w:spacing w:after="0"/>
        <w:rPr>
          <w:sz w:val="20"/>
          <w:szCs w:val="20"/>
          <w:color w:val="auto"/>
        </w:rPr>
      </w:pPr>
      <w:r>
        <w:rPr>
          <w:rFonts w:ascii="Arial" w:cs="Arial" w:eastAsia="Arial" w:hAnsi="Arial"/>
          <w:sz w:val="19"/>
          <w:szCs w:val="19"/>
          <w:color w:val="auto"/>
        </w:rPr>
        <w:t>119</w:t>
      </w:r>
    </w:p>
    <w:p>
      <w:pPr>
        <w:sectPr>
          <w:pgSz w:w="12240" w:h="15840" w:orient="portrait"/>
          <w:cols w:equalWidth="0" w:num="1">
            <w:col w:w="9720"/>
          </w:cols>
          <w:pgMar w:left="1080" w:top="1062" w:right="1440" w:bottom="173"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164465</wp:posOffset>
                </wp:positionV>
                <wp:extent cx="6437630"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76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12.95pt" to="505.45pt,12.95pt" o:allowincell="f" strokecolor="#000000" strokeweight="0.75pt"/>
            </w:pict>
          </mc:Fallback>
        </mc:AlternateContent>
      </w:r>
    </w:p>
    <w:p>
      <w:pPr>
        <w:sectPr>
          <w:pgSz w:w="12240" w:h="15840" w:orient="portrait"/>
          <w:cols w:equalWidth="0" w:num="1">
            <w:col w:w="10080"/>
          </w:cols>
          <w:pgMar w:left="1080" w:top="1058" w:right="1080" w:bottom="18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3640"/>
        <w:spacing w:after="0" w:line="268" w:lineRule="auto"/>
        <w:rPr>
          <w:rFonts w:ascii="Arial" w:cs="Arial" w:eastAsia="Arial" w:hAnsi="Arial"/>
          <w:sz w:val="19"/>
          <w:szCs w:val="19"/>
          <w:u w:val="single" w:color="auto"/>
          <w:color w:val="0000FF"/>
        </w:rPr>
      </w:pPr>
      <w:hyperlink w:anchor="page125">
        <w:r>
          <w:rPr>
            <w:rFonts w:ascii="Arial" w:cs="Arial" w:eastAsia="Arial" w:hAnsi="Arial"/>
            <w:sz w:val="19"/>
            <w:szCs w:val="19"/>
            <w:u w:val="single" w:color="auto"/>
            <w:color w:val="0000FF"/>
          </w:rPr>
          <w:t>Report of Independent Registered Public Accounting Firm</w:t>
        </w:r>
      </w:hyperlink>
      <w:r>
        <w:rPr>
          <w:rFonts w:ascii="Arial" w:cs="Arial" w:eastAsia="Arial" w:hAnsi="Arial"/>
          <w:sz w:val="19"/>
          <w:szCs w:val="19"/>
          <w:u w:val="single" w:color="auto"/>
          <w:color w:val="0000FF"/>
        </w:rPr>
        <w:t xml:space="preserve"> </w:t>
      </w:r>
      <w:hyperlink w:anchor="page126">
        <w:r>
          <w:rPr>
            <w:rFonts w:ascii="Arial" w:cs="Arial" w:eastAsia="Arial" w:hAnsi="Arial"/>
            <w:sz w:val="19"/>
            <w:szCs w:val="19"/>
            <w:u w:val="single" w:color="auto"/>
            <w:color w:val="0000FF"/>
          </w:rPr>
          <w:t>Consolidated Balance Sheets</w:t>
        </w:r>
      </w:hyperlink>
      <w:r>
        <w:rPr>
          <w:rFonts w:ascii="Arial" w:cs="Arial" w:eastAsia="Arial" w:hAnsi="Arial"/>
          <w:sz w:val="19"/>
          <w:szCs w:val="19"/>
          <w:u w:val="single" w:color="auto"/>
          <w:color w:val="0000FF"/>
        </w:rPr>
        <w:t xml:space="preserve"> </w:t>
      </w:r>
      <w:hyperlink w:anchor="page127">
        <w:r>
          <w:rPr>
            <w:rFonts w:ascii="Arial" w:cs="Arial" w:eastAsia="Arial" w:hAnsi="Arial"/>
            <w:sz w:val="19"/>
            <w:szCs w:val="19"/>
            <w:u w:val="single" w:color="auto"/>
            <w:color w:val="0000FF"/>
          </w:rPr>
          <w:t>Consolidated Statements of Operations</w:t>
        </w:r>
      </w:hyperlink>
    </w:p>
    <w:p>
      <w:pPr>
        <w:spacing w:after="0" w:line="1" w:lineRule="exact"/>
        <w:rPr>
          <w:rFonts w:ascii="Arial" w:cs="Arial" w:eastAsia="Arial" w:hAnsi="Arial"/>
          <w:sz w:val="19"/>
          <w:szCs w:val="19"/>
          <w:u w:val="single" w:color="auto"/>
          <w:color w:val="0000FF"/>
        </w:rPr>
      </w:pPr>
    </w:p>
    <w:p>
      <w:pPr>
        <w:spacing w:after="0"/>
        <w:rPr>
          <w:rFonts w:ascii="Arial" w:cs="Arial" w:eastAsia="Arial" w:hAnsi="Arial"/>
          <w:sz w:val="19"/>
          <w:szCs w:val="19"/>
          <w:u w:val="single" w:color="auto"/>
          <w:color w:val="0000FF"/>
        </w:rPr>
      </w:pPr>
      <w:hyperlink w:anchor="page128">
        <w:r>
          <w:rPr>
            <w:rFonts w:ascii="Arial" w:cs="Arial" w:eastAsia="Arial" w:hAnsi="Arial"/>
            <w:sz w:val="19"/>
            <w:szCs w:val="19"/>
            <w:u w:val="single" w:color="auto"/>
            <w:color w:val="0000FF"/>
          </w:rPr>
          <w:t>Consolidated Statements of Stockholders’ Equity</w:t>
        </w:r>
      </w:hyperlink>
    </w:p>
    <w:p>
      <w:pPr>
        <w:spacing w:after="0" w:line="20" w:lineRule="exact"/>
        <w:rPr>
          <w:rFonts w:ascii="Arial" w:cs="Arial" w:eastAsia="Arial" w:hAnsi="Arial"/>
          <w:sz w:val="19"/>
          <w:szCs w:val="19"/>
          <w:u w:val="single" w:color="auto"/>
          <w:color w:val="0000FF"/>
        </w:rPr>
      </w:pPr>
    </w:p>
    <w:p>
      <w:pPr>
        <w:spacing w:after="0"/>
        <w:rPr>
          <w:rFonts w:ascii="Arial" w:cs="Arial" w:eastAsia="Arial" w:hAnsi="Arial"/>
          <w:sz w:val="19"/>
          <w:szCs w:val="19"/>
          <w:u w:val="single" w:color="auto"/>
          <w:color w:val="0000FF"/>
        </w:rPr>
      </w:pPr>
      <w:hyperlink w:anchor="page129">
        <w:r>
          <w:rPr>
            <w:rFonts w:ascii="Arial" w:cs="Arial" w:eastAsia="Arial" w:hAnsi="Arial"/>
            <w:sz w:val="19"/>
            <w:szCs w:val="19"/>
            <w:u w:val="single" w:color="auto"/>
            <w:color w:val="0000FF"/>
          </w:rPr>
          <w:t>Consolidated Statements of Cash Flows</w:t>
        </w:r>
      </w:hyperlink>
    </w:p>
    <w:p>
      <w:pPr>
        <w:spacing w:after="0" w:line="20" w:lineRule="exact"/>
        <w:rPr>
          <w:rFonts w:ascii="Arial" w:cs="Arial" w:eastAsia="Arial" w:hAnsi="Arial"/>
          <w:sz w:val="19"/>
          <w:szCs w:val="19"/>
          <w:u w:val="single" w:color="auto"/>
          <w:color w:val="0000FF"/>
        </w:rPr>
      </w:pPr>
    </w:p>
    <w:p>
      <w:pPr>
        <w:spacing w:after="0"/>
        <w:rPr>
          <w:rFonts w:ascii="Arial" w:cs="Arial" w:eastAsia="Arial" w:hAnsi="Arial"/>
          <w:sz w:val="19"/>
          <w:szCs w:val="19"/>
          <w:u w:val="single" w:color="auto"/>
          <w:color w:val="0000FF"/>
        </w:rPr>
      </w:pPr>
      <w:hyperlink w:anchor="page130">
        <w:r>
          <w:rPr>
            <w:rFonts w:ascii="Arial" w:cs="Arial" w:eastAsia="Arial" w:hAnsi="Arial"/>
            <w:sz w:val="19"/>
            <w:szCs w:val="19"/>
            <w:u w:val="single" w:color="auto"/>
            <w:color w:val="0000FF"/>
          </w:rPr>
          <w:t>Notes to Consolidated Financial Statements</w:t>
        </w:r>
      </w:hyperlink>
    </w:p>
    <w:p>
      <w:pPr>
        <w:spacing w:after="0" w:line="20" w:lineRule="exact"/>
        <w:rPr>
          <w:rFonts w:ascii="Arial" w:cs="Arial" w:eastAsia="Arial" w:hAnsi="Arial"/>
          <w:sz w:val="19"/>
          <w:szCs w:val="19"/>
          <w:u w:val="single" w:color="auto"/>
          <w:color w:val="0000FF"/>
        </w:rPr>
      </w:pPr>
      <w:r>
        <w:rPr>
          <w:rFonts w:ascii="Arial" w:cs="Arial" w:eastAsia="Arial" w:hAnsi="Arial"/>
          <w:sz w:val="19"/>
          <w:szCs w:val="19"/>
          <w:u w:val="single" w:color="auto"/>
          <w:color w:val="0000FF"/>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163195</wp:posOffset>
                </wp:positionV>
                <wp:extent cx="643763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76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12.85pt" to="505.45pt,12.85pt" o:allowincell="f" strokecolor="#000000" strokeweight="0.75pt"/>
            </w:pict>
          </mc:Fallback>
        </mc:AlternateContent>
      </w:r>
    </w:p>
    <w:p>
      <w:pPr>
        <w:spacing w:after="0" w:line="20" w:lineRule="exact"/>
        <w:rPr>
          <w:rFonts w:ascii="Arial" w:cs="Arial" w:eastAsia="Arial" w:hAnsi="Arial"/>
          <w:sz w:val="19"/>
          <w:szCs w:val="19"/>
          <w:u w:val="single" w:color="auto"/>
          <w:color w:val="0000FF"/>
        </w:rPr>
      </w:pPr>
      <w:r>
        <w:rPr>
          <w:rFonts w:ascii="Arial" w:cs="Arial" w:eastAsia="Arial" w:hAnsi="Arial"/>
          <w:sz w:val="19"/>
          <w:szCs w:val="19"/>
          <w:u w:val="single" w:color="auto"/>
          <w:color w:val="0000FF"/>
        </w:rPr>
        <w:br w:type="column"/>
      </w:r>
    </w:p>
    <w:p>
      <w:pPr>
        <w:spacing w:after="0" w:line="200" w:lineRule="exact"/>
        <w:rPr>
          <w:rFonts w:ascii="Arial" w:cs="Arial" w:eastAsia="Arial" w:hAnsi="Arial"/>
          <w:sz w:val="19"/>
          <w:szCs w:val="19"/>
          <w:u w:val="single" w:color="auto"/>
          <w:color w:val="0000FF"/>
        </w:rPr>
      </w:pPr>
    </w:p>
    <w:p>
      <w:pPr>
        <w:spacing w:after="0" w:line="255" w:lineRule="exact"/>
        <w:rPr>
          <w:rFonts w:ascii="Arial" w:cs="Arial" w:eastAsia="Arial" w:hAnsi="Arial"/>
          <w:sz w:val="19"/>
          <w:szCs w:val="19"/>
          <w:u w:val="single" w:color="auto"/>
          <w:color w:val="0000FF"/>
        </w:rPr>
      </w:pPr>
    </w:p>
    <w:p>
      <w:pPr>
        <w:spacing w:after="0"/>
        <w:rPr>
          <w:sz w:val="20"/>
          <w:szCs w:val="20"/>
          <w:color w:val="auto"/>
        </w:rPr>
      </w:pPr>
      <w:r>
        <w:rPr>
          <w:rFonts w:ascii="Arial" w:cs="Arial" w:eastAsia="Arial" w:hAnsi="Arial"/>
          <w:sz w:val="16"/>
          <w:szCs w:val="16"/>
          <w:b w:val="1"/>
          <w:bCs w:val="1"/>
          <w:color w:val="auto"/>
        </w:rPr>
        <w:t>PAGE</w:t>
      </w:r>
    </w:p>
    <w:p>
      <w:pPr>
        <w:spacing w:after="0" w:line="20" w:lineRule="exact"/>
        <w:rPr>
          <w:rFonts w:ascii="Arial" w:cs="Arial" w:eastAsia="Arial" w:hAnsi="Arial"/>
          <w:sz w:val="19"/>
          <w:szCs w:val="19"/>
          <w:u w:val="single" w:color="auto"/>
          <w:color w:val="0000FF"/>
        </w:rPr>
      </w:pPr>
      <w:r>
        <w:rPr>
          <w:rFonts w:ascii="Arial" w:cs="Arial" w:eastAsia="Arial" w:hAnsi="Arial"/>
          <w:sz w:val="19"/>
          <w:szCs w:val="19"/>
          <w:u w:val="single" w:color="auto"/>
          <w:color w:val="0000FF"/>
        </w:rPr>
        <w:drawing>
          <wp:anchor simplePos="0" relativeHeight="251657728" behindDoc="1" locked="0" layoutInCell="0" allowOverlap="1">
            <wp:simplePos x="0" y="0"/>
            <wp:positionH relativeFrom="column">
              <wp:posOffset>-276225</wp:posOffset>
            </wp:positionH>
            <wp:positionV relativeFrom="paragraph">
              <wp:posOffset>12065</wp:posOffset>
            </wp:positionV>
            <wp:extent cx="832485" cy="12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9">
                      <a:extLst>
                        <a:ext uri="{28A0092B-C50C-407E-A947-70E740481C1C}"/>
                      </a:extLst>
                    </a:blip>
                    <a:srcRect/>
                    <a:stretch>
                      <a:fillRect/>
                    </a:stretch>
                  </pic:blipFill>
                  <pic:spPr bwMode="auto">
                    <a:xfrm>
                      <a:off x="0" y="0"/>
                      <a:ext cx="832485" cy="12700"/>
                    </a:xfrm>
                    <a:prstGeom prst="rect">
                      <a:avLst/>
                    </a:prstGeom>
                    <a:noFill/>
                  </pic:spPr>
                </pic:pic>
              </a:graphicData>
            </a:graphic>
          </wp:anchor>
        </w:drawing>
      </w:r>
    </w:p>
    <w:p>
      <w:pPr>
        <w:spacing w:after="0" w:line="41" w:lineRule="exact"/>
        <w:rPr>
          <w:rFonts w:ascii="Arial" w:cs="Arial" w:eastAsia="Arial" w:hAnsi="Arial"/>
          <w:sz w:val="19"/>
          <w:szCs w:val="19"/>
          <w:u w:val="single" w:color="auto"/>
          <w:color w:val="0000FF"/>
        </w:rPr>
      </w:pPr>
    </w:p>
    <w:p>
      <w:pPr>
        <w:jc w:val="right"/>
        <w:spacing w:after="0"/>
        <w:rPr>
          <w:sz w:val="20"/>
          <w:szCs w:val="20"/>
          <w:color w:val="auto"/>
        </w:rPr>
      </w:pPr>
      <w:r>
        <w:rPr>
          <w:rFonts w:ascii="Arial" w:cs="Arial" w:eastAsia="Arial" w:hAnsi="Arial"/>
          <w:sz w:val="19"/>
          <w:szCs w:val="19"/>
          <w:color w:val="auto"/>
        </w:rPr>
        <w:t>F-2</w:t>
      </w:r>
    </w:p>
    <w:p>
      <w:pPr>
        <w:spacing w:after="0" w:line="37" w:lineRule="exact"/>
        <w:rPr>
          <w:rFonts w:ascii="Arial" w:cs="Arial" w:eastAsia="Arial" w:hAnsi="Arial"/>
          <w:sz w:val="19"/>
          <w:szCs w:val="19"/>
          <w:u w:val="single" w:color="auto"/>
          <w:color w:val="0000FF"/>
        </w:rPr>
      </w:pPr>
    </w:p>
    <w:p>
      <w:pPr>
        <w:jc w:val="right"/>
        <w:spacing w:after="0"/>
        <w:rPr>
          <w:sz w:val="20"/>
          <w:szCs w:val="20"/>
          <w:color w:val="auto"/>
        </w:rPr>
      </w:pPr>
      <w:r>
        <w:rPr>
          <w:rFonts w:ascii="Arial" w:cs="Arial" w:eastAsia="Arial" w:hAnsi="Arial"/>
          <w:sz w:val="19"/>
          <w:szCs w:val="19"/>
          <w:color w:val="auto"/>
        </w:rPr>
        <w:t>F-3</w:t>
      </w:r>
    </w:p>
    <w:p>
      <w:pPr>
        <w:spacing w:after="0" w:line="20" w:lineRule="exact"/>
        <w:rPr>
          <w:rFonts w:ascii="Arial" w:cs="Arial" w:eastAsia="Arial" w:hAnsi="Arial"/>
          <w:sz w:val="19"/>
          <w:szCs w:val="19"/>
          <w:u w:val="single" w:color="auto"/>
          <w:color w:val="0000FF"/>
        </w:rPr>
      </w:pPr>
    </w:p>
    <w:p>
      <w:pPr>
        <w:jc w:val="right"/>
        <w:spacing w:after="0"/>
        <w:rPr>
          <w:sz w:val="20"/>
          <w:szCs w:val="20"/>
          <w:color w:val="auto"/>
        </w:rPr>
      </w:pPr>
      <w:r>
        <w:rPr>
          <w:rFonts w:ascii="Arial" w:cs="Arial" w:eastAsia="Arial" w:hAnsi="Arial"/>
          <w:sz w:val="19"/>
          <w:szCs w:val="19"/>
          <w:color w:val="auto"/>
        </w:rPr>
        <w:t>F-4</w:t>
      </w:r>
    </w:p>
    <w:p>
      <w:pPr>
        <w:spacing w:after="0" w:line="20" w:lineRule="exact"/>
        <w:rPr>
          <w:rFonts w:ascii="Arial" w:cs="Arial" w:eastAsia="Arial" w:hAnsi="Arial"/>
          <w:sz w:val="19"/>
          <w:szCs w:val="19"/>
          <w:u w:val="single" w:color="auto"/>
          <w:color w:val="0000FF"/>
        </w:rPr>
      </w:pPr>
    </w:p>
    <w:p>
      <w:pPr>
        <w:jc w:val="right"/>
        <w:spacing w:after="0"/>
        <w:rPr>
          <w:sz w:val="20"/>
          <w:szCs w:val="20"/>
          <w:color w:val="auto"/>
        </w:rPr>
      </w:pPr>
      <w:r>
        <w:rPr>
          <w:rFonts w:ascii="Arial" w:cs="Arial" w:eastAsia="Arial" w:hAnsi="Arial"/>
          <w:sz w:val="19"/>
          <w:szCs w:val="19"/>
          <w:color w:val="auto"/>
        </w:rPr>
        <w:t>F-5</w:t>
      </w:r>
    </w:p>
    <w:p>
      <w:pPr>
        <w:spacing w:after="0" w:line="20" w:lineRule="exact"/>
        <w:rPr>
          <w:rFonts w:ascii="Arial" w:cs="Arial" w:eastAsia="Arial" w:hAnsi="Arial"/>
          <w:sz w:val="19"/>
          <w:szCs w:val="19"/>
          <w:u w:val="single" w:color="auto"/>
          <w:color w:val="0000FF"/>
        </w:rPr>
      </w:pPr>
    </w:p>
    <w:p>
      <w:pPr>
        <w:jc w:val="right"/>
        <w:spacing w:after="0"/>
        <w:rPr>
          <w:sz w:val="20"/>
          <w:szCs w:val="20"/>
          <w:color w:val="auto"/>
        </w:rPr>
      </w:pPr>
      <w:r>
        <w:rPr>
          <w:rFonts w:ascii="Arial" w:cs="Arial" w:eastAsia="Arial" w:hAnsi="Arial"/>
          <w:sz w:val="19"/>
          <w:szCs w:val="19"/>
          <w:color w:val="auto"/>
        </w:rPr>
        <w:t>F-6</w:t>
      </w:r>
    </w:p>
    <w:p>
      <w:pPr>
        <w:spacing w:after="0" w:line="20" w:lineRule="exact"/>
        <w:rPr>
          <w:rFonts w:ascii="Arial" w:cs="Arial" w:eastAsia="Arial" w:hAnsi="Arial"/>
          <w:sz w:val="19"/>
          <w:szCs w:val="19"/>
          <w:u w:val="single" w:color="auto"/>
          <w:color w:val="0000FF"/>
        </w:rPr>
      </w:pPr>
    </w:p>
    <w:p>
      <w:pPr>
        <w:jc w:val="right"/>
        <w:spacing w:after="0"/>
        <w:rPr>
          <w:sz w:val="20"/>
          <w:szCs w:val="20"/>
          <w:color w:val="auto"/>
        </w:rPr>
      </w:pPr>
      <w:r>
        <w:rPr>
          <w:rFonts w:ascii="Arial" w:cs="Arial" w:eastAsia="Arial" w:hAnsi="Arial"/>
          <w:sz w:val="19"/>
          <w:szCs w:val="19"/>
          <w:color w:val="auto"/>
        </w:rPr>
        <w:t>F-7</w:t>
      </w:r>
    </w:p>
    <w:p>
      <w:pPr>
        <w:spacing w:after="0" w:line="220" w:lineRule="exact"/>
        <w:rPr>
          <w:rFonts w:ascii="Arial" w:cs="Arial" w:eastAsia="Arial" w:hAnsi="Arial"/>
          <w:sz w:val="19"/>
          <w:szCs w:val="19"/>
          <w:u w:val="single" w:color="auto"/>
          <w:color w:val="0000FF"/>
        </w:rPr>
      </w:pPr>
    </w:p>
    <w:p>
      <w:pPr>
        <w:sectPr>
          <w:pgSz w:w="12240" w:h="15840" w:orient="portrait"/>
          <w:cols w:equalWidth="0" w:num="2">
            <w:col w:w="8500" w:space="720"/>
            <w:col w:w="860"/>
          </w:cols>
          <w:pgMar w:left="1080" w:top="1058" w:right="1080" w:bottom="185" w:gutter="0" w:footer="0" w:header="0"/>
          <w:type w:val="continuous"/>
        </w:sect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50" w:lineRule="exact"/>
        <w:rPr>
          <w:rFonts w:ascii="Arial" w:cs="Arial" w:eastAsia="Arial" w:hAnsi="Arial"/>
          <w:sz w:val="19"/>
          <w:szCs w:val="19"/>
          <w:u w:val="single" w:color="auto"/>
          <w:color w:val="0000FF"/>
        </w:rPr>
      </w:pPr>
    </w:p>
    <w:p>
      <w:pPr>
        <w:jc w:val="center"/>
        <w:spacing w:after="0"/>
        <w:rPr>
          <w:sz w:val="20"/>
          <w:szCs w:val="20"/>
          <w:color w:val="auto"/>
        </w:rPr>
      </w:pPr>
      <w:r>
        <w:rPr>
          <w:rFonts w:ascii="Arial" w:cs="Arial" w:eastAsia="Arial" w:hAnsi="Arial"/>
          <w:sz w:val="18"/>
          <w:szCs w:val="18"/>
          <w:color w:val="auto"/>
        </w:rPr>
        <w:t>F-1</w:t>
      </w:r>
    </w:p>
    <w:p>
      <w:pPr>
        <w:sectPr>
          <w:pgSz w:w="12240" w:h="15840" w:orient="portrait"/>
          <w:cols w:equalWidth="0" w:num="1">
            <w:col w:w="10080"/>
          </w:cols>
          <w:pgMar w:left="1080" w:top="1058" w:right="1080" w:bottom="185" w:gutter="0" w:footer="0" w:header="0"/>
          <w:type w:val="continuous"/>
        </w:sectPr>
      </w:pPr>
    </w:p>
    <w:bookmarkStart w:id="124" w:name="page125"/>
    <w:bookmarkEnd w:id="124"/>
    <w:p>
      <w:pPr>
        <w:jc w:val="center"/>
        <w:ind w:right="-79"/>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9"/>
          <w:szCs w:val="19"/>
          <w:color w:val="auto"/>
        </w:rPr>
        <w:t>To the Stockholders and Board of Directors</w:t>
      </w:r>
    </w:p>
    <w:p>
      <w:pPr>
        <w:spacing w:after="0" w:line="24" w:lineRule="exact"/>
        <w:rPr>
          <w:sz w:val="20"/>
          <w:szCs w:val="20"/>
          <w:color w:val="auto"/>
        </w:rPr>
      </w:pPr>
    </w:p>
    <w:p>
      <w:pPr>
        <w:spacing w:after="0"/>
        <w:rPr>
          <w:sz w:val="20"/>
          <w:szCs w:val="20"/>
          <w:color w:val="auto"/>
        </w:rPr>
      </w:pPr>
      <w:r>
        <w:rPr>
          <w:rFonts w:ascii="Arial" w:cs="Arial" w:eastAsia="Arial" w:hAnsi="Arial"/>
          <w:sz w:val="19"/>
          <w:szCs w:val="19"/>
          <w:color w:val="auto"/>
        </w:rPr>
        <w:t>Candel Therapeutics, Inc.:</w:t>
      </w:r>
    </w:p>
    <w:p>
      <w:pPr>
        <w:spacing w:after="0" w:line="34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Opinion on the Consolidated Financial Statements</w:t>
      </w:r>
    </w:p>
    <w:p>
      <w:pPr>
        <w:spacing w:after="0" w:line="112" w:lineRule="exact"/>
        <w:rPr>
          <w:sz w:val="20"/>
          <w:szCs w:val="20"/>
          <w:color w:val="auto"/>
        </w:rPr>
      </w:pPr>
    </w:p>
    <w:p>
      <w:pPr>
        <w:spacing w:after="0" w:line="248" w:lineRule="auto"/>
        <w:rPr>
          <w:sz w:val="20"/>
          <w:szCs w:val="20"/>
          <w:color w:val="auto"/>
        </w:rPr>
      </w:pPr>
      <w:r>
        <w:rPr>
          <w:rFonts w:ascii="Arial" w:cs="Arial" w:eastAsia="Arial" w:hAnsi="Arial"/>
          <w:sz w:val="19"/>
          <w:szCs w:val="19"/>
          <w:color w:val="auto"/>
        </w:rPr>
        <w:t>We have audited the accompanying consolidated balance sheets of Candel Therapeutics, Inc. and subsidiary (the Company) as of December 31, 2023 and 2022, the related consolidated statements of operations, stockholders’ equity, and cash flows for each of the years ended December 31, 2023, and the related notes (collectively, the consolidated financial statements). In our opinion, the consolidated financial statements present fairly, in all material respects, the financial position of the Company as of December 31, 2023 and 2022, and the results of its operations and its cash flows for each of the years then ended, in conformity with U.S. generally accepted accounting principles.</w:t>
      </w:r>
    </w:p>
    <w:p>
      <w:pPr>
        <w:spacing w:after="0" w:line="32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Going Concern</w:t>
      </w:r>
    </w:p>
    <w:p>
      <w:pPr>
        <w:spacing w:after="0" w:line="11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accompanying consolidated financial statements have been prepared assuming that the Company will continue as a going concern. As discussed in Note 1 to the consolidated financial statements, the Company has an accumulated deficit, has incurred operating losses and negative cash flows from operations since inception and expects to continue to incur such losses and negative cash flows into the foreseeable future which raises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31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Basis for Opinion</w:t>
      </w:r>
    </w:p>
    <w:p>
      <w:pPr>
        <w:spacing w:after="0" w:line="112" w:lineRule="exact"/>
        <w:rPr>
          <w:sz w:val="20"/>
          <w:szCs w:val="20"/>
          <w:color w:val="auto"/>
        </w:rPr>
      </w:pPr>
    </w:p>
    <w:p>
      <w:pPr>
        <w:ind w:right="140"/>
        <w:spacing w:after="0" w:line="250" w:lineRule="auto"/>
        <w:rPr>
          <w:sz w:val="20"/>
          <w:szCs w:val="20"/>
          <w:color w:val="auto"/>
        </w:rPr>
      </w:pPr>
      <w:r>
        <w:rPr>
          <w:rFonts w:ascii="Arial" w:cs="Arial" w:eastAsia="Arial" w:hAnsi="Arial"/>
          <w:sz w:val="19"/>
          <w:szCs w:val="19"/>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314" w:lineRule="exact"/>
        <w:rPr>
          <w:sz w:val="20"/>
          <w:szCs w:val="20"/>
          <w:color w:val="auto"/>
        </w:rPr>
      </w:pPr>
    </w:p>
    <w:p>
      <w:pPr>
        <w:ind w:right="200"/>
        <w:spacing w:after="0" w:line="271" w:lineRule="auto"/>
        <w:rPr>
          <w:sz w:val="20"/>
          <w:szCs w:val="20"/>
          <w:color w:val="auto"/>
        </w:rPr>
      </w:pPr>
      <w:r>
        <w:rPr>
          <w:rFonts w:ascii="Arial" w:cs="Arial" w:eastAsia="Arial" w:hAnsi="Arial"/>
          <w:sz w:val="19"/>
          <w:szCs w:val="19"/>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8" w:lineRule="exact"/>
        <w:rPr>
          <w:sz w:val="20"/>
          <w:szCs w:val="20"/>
          <w:color w:val="auto"/>
        </w:rPr>
      </w:pPr>
    </w:p>
    <w:p>
      <w:pPr>
        <w:ind w:right="200"/>
        <w:spacing w:after="0" w:line="248" w:lineRule="auto"/>
        <w:rPr>
          <w:sz w:val="20"/>
          <w:szCs w:val="20"/>
          <w:color w:val="auto"/>
        </w:rPr>
      </w:pPr>
      <w:r>
        <w:rPr>
          <w:rFonts w:ascii="Arial" w:cs="Arial" w:eastAsia="Arial" w:hAnsi="Arial"/>
          <w:sz w:val="19"/>
          <w:szCs w:val="19"/>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6" w:lineRule="exact"/>
        <w:rPr>
          <w:sz w:val="20"/>
          <w:szCs w:val="20"/>
          <w:color w:val="auto"/>
        </w:rPr>
      </w:pPr>
    </w:p>
    <w:p>
      <w:pPr>
        <w:ind w:left="4440"/>
        <w:spacing w:after="0"/>
        <w:rPr>
          <w:sz w:val="20"/>
          <w:szCs w:val="20"/>
          <w:color w:val="auto"/>
        </w:rPr>
      </w:pPr>
      <w:r>
        <w:rPr>
          <w:rFonts w:ascii="Arial" w:cs="Arial" w:eastAsia="Arial" w:hAnsi="Arial"/>
          <w:sz w:val="19"/>
          <w:szCs w:val="19"/>
          <w:color w:val="auto"/>
        </w:rPr>
        <w:t>/s/ KPMG LLP</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color w:val="auto"/>
        </w:rPr>
        <w:t>We have served as the Company’s auditor since 2019</w:t>
      </w:r>
    </w:p>
    <w:p>
      <w:pPr>
        <w:spacing w:after="0" w:line="360" w:lineRule="exact"/>
        <w:rPr>
          <w:sz w:val="20"/>
          <w:szCs w:val="20"/>
          <w:color w:val="auto"/>
        </w:rPr>
      </w:pPr>
    </w:p>
    <w:p>
      <w:pPr>
        <w:spacing w:after="0"/>
        <w:rPr>
          <w:sz w:val="20"/>
          <w:szCs w:val="20"/>
          <w:color w:val="auto"/>
        </w:rPr>
      </w:pPr>
      <w:r>
        <w:rPr>
          <w:rFonts w:ascii="Arial" w:cs="Arial" w:eastAsia="Arial" w:hAnsi="Arial"/>
          <w:sz w:val="19"/>
          <w:szCs w:val="19"/>
          <w:color w:val="auto"/>
        </w:rPr>
        <w:t>Boston, Massachusetts</w:t>
      </w:r>
    </w:p>
    <w:p>
      <w:pPr>
        <w:spacing w:after="0" w:line="24" w:lineRule="exact"/>
        <w:rPr>
          <w:sz w:val="20"/>
          <w:szCs w:val="20"/>
          <w:color w:val="auto"/>
        </w:rPr>
      </w:pPr>
    </w:p>
    <w:p>
      <w:pPr>
        <w:spacing w:after="0"/>
        <w:rPr>
          <w:sz w:val="20"/>
          <w:szCs w:val="20"/>
          <w:color w:val="auto"/>
        </w:rPr>
      </w:pPr>
      <w:r>
        <w:rPr>
          <w:rFonts w:ascii="Arial" w:cs="Arial" w:eastAsia="Arial" w:hAnsi="Arial"/>
          <w:sz w:val="19"/>
          <w:szCs w:val="19"/>
          <w:color w:val="auto"/>
        </w:rPr>
        <w:t>March 28,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F-2</w:t>
      </w:r>
    </w:p>
    <w:p>
      <w:pPr>
        <w:sectPr>
          <w:pgSz w:w="12240" w:h="15840" w:orient="portrait"/>
          <w:cols w:equalWidth="0" w:num="1">
            <w:col w:w="10000"/>
          </w:cols>
          <w:pgMar w:left="1080" w:top="1056" w:right="1160" w:bottom="173" w:gutter="0" w:footer="0" w:header="0"/>
        </w:sectPr>
      </w:pPr>
    </w:p>
    <w:bookmarkStart w:id="125" w:name="page126"/>
    <w:bookmarkEnd w:id="125"/>
    <w:p>
      <w:pPr>
        <w:jc w:val="center"/>
        <w:spacing w:after="0"/>
        <w:rPr>
          <w:sz w:val="20"/>
          <w:szCs w:val="20"/>
          <w:color w:val="auto"/>
        </w:rPr>
      </w:pPr>
      <w:r>
        <w:rPr>
          <w:rFonts w:ascii="Arial" w:cs="Arial" w:eastAsia="Arial" w:hAnsi="Arial"/>
          <w:sz w:val="20"/>
          <w:szCs w:val="20"/>
          <w:b w:val="1"/>
          <w:bCs w:val="1"/>
          <w:color w:val="auto"/>
        </w:rPr>
        <w:t>CANDEL THERAPEUTICS, INC.</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Balance Sheets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(In thousands, except share and per share amounts)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78740</wp:posOffset>
                </wp:positionV>
                <wp:extent cx="6437630"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76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6.2pt" to="506.45pt,6.2pt" o:allowincell="f" strokecolor="#000000" strokeweight="0.75pt"/>
            </w:pict>
          </mc:Fallback>
        </mc:AlternateConten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7180" w:type="dxa"/>
            <w:vAlign w:val="bottom"/>
            <w:vMerge w:val="restart"/>
          </w:tcPr>
          <w:p>
            <w:pPr>
              <w:ind w:left="20"/>
              <w:spacing w:after="0"/>
              <w:rPr>
                <w:sz w:val="20"/>
                <w:szCs w:val="20"/>
                <w:color w:val="auto"/>
              </w:rPr>
            </w:pPr>
            <w:r>
              <w:rPr>
                <w:rFonts w:ascii="Arial" w:cs="Arial" w:eastAsia="Arial" w:hAnsi="Arial"/>
                <w:sz w:val="19"/>
                <w:szCs w:val="19"/>
                <w:b w:val="1"/>
                <w:bCs w:val="1"/>
                <w:color w:val="auto"/>
              </w:rPr>
              <w:t>Assets</w:t>
            </w: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66"/>
              <w:spacing w:after="0" w:line="174" w:lineRule="exact"/>
              <w:rPr>
                <w:sz w:val="20"/>
                <w:szCs w:val="20"/>
                <w:color w:val="auto"/>
              </w:rPr>
            </w:pPr>
            <w:r>
              <w:rPr>
                <w:rFonts w:ascii="Arial" w:cs="Arial" w:eastAsia="Arial" w:hAnsi="Arial"/>
                <w:sz w:val="16"/>
                <w:szCs w:val="16"/>
                <w:b w:val="1"/>
                <w:bCs w:val="1"/>
                <w:color w:val="auto"/>
              </w:rPr>
              <w:t>2023</w:t>
            </w:r>
          </w:p>
        </w:tc>
        <w:tc>
          <w:tcPr>
            <w:tcW w:w="26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66"/>
              <w:spacing w:after="0" w:line="174" w:lineRule="exact"/>
              <w:rPr>
                <w:sz w:val="20"/>
                <w:szCs w:val="20"/>
                <w:color w:val="auto"/>
              </w:rPr>
            </w:pPr>
            <w:r>
              <w:rPr>
                <w:rFonts w:ascii="Arial" w:cs="Arial" w:eastAsia="Arial" w:hAnsi="Arial"/>
                <w:sz w:val="16"/>
                <w:szCs w:val="16"/>
                <w:b w:val="1"/>
                <w:bCs w:val="1"/>
                <w:color w:val="auto"/>
                <w:w w:val="95"/>
              </w:rPr>
              <w:t>2022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1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180" w:type="dxa"/>
            <w:vAlign w:val="bottom"/>
          </w:tcPr>
          <w:p>
            <w:pPr>
              <w:ind w:left="300"/>
              <w:spacing w:after="0"/>
              <w:rPr>
                <w:sz w:val="20"/>
                <w:szCs w:val="20"/>
                <w:color w:val="auto"/>
              </w:rPr>
            </w:pPr>
            <w:r>
              <w:rPr>
                <w:rFonts w:ascii="Arial" w:cs="Arial" w:eastAsia="Arial" w:hAnsi="Arial"/>
                <w:sz w:val="19"/>
                <w:szCs w:val="19"/>
                <w:color w:val="auto"/>
              </w:rPr>
              <w:t>Current assets: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180" w:type="dxa"/>
            <w:vAlign w:val="bottom"/>
          </w:tcPr>
          <w:p>
            <w:pPr>
              <w:ind w:left="580"/>
              <w:spacing w:after="0"/>
              <w:rPr>
                <w:sz w:val="20"/>
                <w:szCs w:val="20"/>
                <w:color w:val="auto"/>
              </w:rPr>
            </w:pPr>
            <w:r>
              <w:rPr>
                <w:rFonts w:ascii="Arial" w:cs="Arial" w:eastAsia="Arial" w:hAnsi="Arial"/>
                <w:sz w:val="19"/>
                <w:szCs w:val="19"/>
                <w:color w:val="auto"/>
              </w:rPr>
              <w:t>Cash and cash equivalents</w:t>
            </w:r>
          </w:p>
        </w:tc>
        <w:tc>
          <w:tcPr>
            <w:tcW w:w="280" w:type="dxa"/>
            <w:vAlign w:val="bottom"/>
          </w:tcPr>
          <w:p>
            <w:pPr>
              <w:jc w:val="right"/>
              <w:ind w:right="85"/>
              <w:spacing w:after="0"/>
              <w:rPr>
                <w:sz w:val="20"/>
                <w:szCs w:val="20"/>
                <w:color w:val="auto"/>
              </w:rPr>
            </w:pPr>
            <w:r>
              <w:rPr>
                <w:rFonts w:ascii="Arial" w:cs="Arial" w:eastAsia="Arial" w:hAnsi="Arial"/>
                <w:sz w:val="19"/>
                <w:szCs w:val="19"/>
                <w:color w:val="auto"/>
                <w:w w:val="75"/>
              </w:rPr>
              <w:t>$</w:t>
            </w:r>
          </w:p>
        </w:tc>
        <w:tc>
          <w:tcPr>
            <w:tcW w:w="1000" w:type="dxa"/>
            <w:vAlign w:val="bottom"/>
          </w:tcPr>
          <w:p>
            <w:pPr>
              <w:jc w:val="right"/>
              <w:spacing w:after="0"/>
              <w:rPr>
                <w:sz w:val="20"/>
                <w:szCs w:val="20"/>
                <w:color w:val="auto"/>
              </w:rPr>
            </w:pPr>
            <w:r>
              <w:rPr>
                <w:rFonts w:ascii="Arial" w:cs="Arial" w:eastAsia="Arial" w:hAnsi="Arial"/>
                <w:sz w:val="19"/>
                <w:szCs w:val="19"/>
                <w:color w:val="auto"/>
              </w:rPr>
              <w:t>35,413</w:t>
            </w:r>
          </w:p>
        </w:tc>
        <w:tc>
          <w:tcPr>
            <w:tcW w:w="260" w:type="dxa"/>
            <w:vAlign w:val="bottom"/>
          </w:tcPr>
          <w:p>
            <w:pPr>
              <w:spacing w:after="0"/>
              <w:rPr>
                <w:sz w:val="18"/>
                <w:szCs w:val="18"/>
                <w:color w:val="auto"/>
              </w:rPr>
            </w:pPr>
          </w:p>
        </w:tc>
        <w:tc>
          <w:tcPr>
            <w:tcW w:w="460" w:type="dxa"/>
            <w:vAlign w:val="bottom"/>
          </w:tcPr>
          <w:p>
            <w:pPr>
              <w:jc w:val="right"/>
              <w:ind w:right="265"/>
              <w:spacing w:after="0"/>
              <w:rPr>
                <w:sz w:val="20"/>
                <w:szCs w:val="20"/>
                <w:color w:val="auto"/>
              </w:rPr>
            </w:pPr>
            <w:r>
              <w:rPr>
                <w:rFonts w:ascii="Arial" w:cs="Arial" w:eastAsia="Arial" w:hAnsi="Arial"/>
                <w:sz w:val="19"/>
                <w:szCs w:val="19"/>
                <w:color w:val="auto"/>
                <w:w w:val="75"/>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70,058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180" w:type="dxa"/>
            <w:vAlign w:val="bottom"/>
          </w:tcPr>
          <w:p>
            <w:pPr>
              <w:ind w:left="580"/>
              <w:spacing w:after="0"/>
              <w:rPr>
                <w:sz w:val="20"/>
                <w:szCs w:val="20"/>
                <w:color w:val="auto"/>
              </w:rPr>
            </w:pPr>
            <w:r>
              <w:rPr>
                <w:rFonts w:ascii="Arial" w:cs="Arial" w:eastAsia="Arial" w:hAnsi="Arial"/>
                <w:sz w:val="19"/>
                <w:szCs w:val="19"/>
                <w:color w:val="auto"/>
              </w:rPr>
              <w:t>Prepaid expenses and other current assets</w:t>
            </w:r>
          </w:p>
        </w:tc>
        <w:tc>
          <w:tcPr>
            <w:tcW w:w="280" w:type="dxa"/>
            <w:vAlign w:val="bottom"/>
            <w:tcBorders>
              <w:bottom w:val="single" w:sz="8" w:color="auto"/>
            </w:tcBorders>
          </w:tcPr>
          <w:p>
            <w:pPr>
              <w:jc w:val="right"/>
              <w:ind w:right="85"/>
              <w:spacing w:after="0"/>
              <w:rPr>
                <w:sz w:val="20"/>
                <w:szCs w:val="20"/>
                <w:color w:val="auto"/>
              </w:rPr>
            </w:pPr>
            <w:r>
              <w:rPr>
                <w:rFonts w:ascii="Arial" w:cs="Arial" w:eastAsia="Arial" w:hAnsi="Arial"/>
                <w:sz w:val="19"/>
                <w:szCs w:val="19"/>
                <w:color w:val="auto"/>
                <w:w w:val="7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1,384</w:t>
            </w:r>
          </w:p>
        </w:tc>
        <w:tc>
          <w:tcPr>
            <w:tcW w:w="2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1,887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7180" w:type="dxa"/>
            <w:vAlign w:val="bottom"/>
          </w:tcPr>
          <w:p>
            <w:pPr>
              <w:ind w:left="860"/>
              <w:spacing w:after="0" w:line="191" w:lineRule="exact"/>
              <w:rPr>
                <w:sz w:val="20"/>
                <w:szCs w:val="20"/>
                <w:color w:val="auto"/>
              </w:rPr>
            </w:pPr>
            <w:r>
              <w:rPr>
                <w:rFonts w:ascii="Arial" w:cs="Arial" w:eastAsia="Arial" w:hAnsi="Arial"/>
                <w:sz w:val="19"/>
                <w:szCs w:val="19"/>
                <w:b w:val="1"/>
                <w:bCs w:val="1"/>
                <w:color w:val="auto"/>
              </w:rPr>
              <w:t>Total current assets</w:t>
            </w:r>
          </w:p>
        </w:tc>
        <w:tc>
          <w:tcPr>
            <w:tcW w:w="280" w:type="dxa"/>
            <w:vAlign w:val="bottom"/>
          </w:tcPr>
          <w:p>
            <w:pPr>
              <w:spacing w:after="0"/>
              <w:rPr>
                <w:sz w:val="16"/>
                <w:szCs w:val="16"/>
                <w:color w:val="auto"/>
              </w:rPr>
            </w:pPr>
          </w:p>
        </w:tc>
        <w:tc>
          <w:tcPr>
            <w:tcW w:w="1000" w:type="dxa"/>
            <w:vAlign w:val="bottom"/>
          </w:tcPr>
          <w:p>
            <w:pPr>
              <w:jc w:val="right"/>
              <w:spacing w:after="0" w:line="191" w:lineRule="exact"/>
              <w:rPr>
                <w:sz w:val="20"/>
                <w:szCs w:val="20"/>
                <w:color w:val="auto"/>
              </w:rPr>
            </w:pPr>
            <w:r>
              <w:rPr>
                <w:rFonts w:ascii="Arial" w:cs="Arial" w:eastAsia="Arial" w:hAnsi="Arial"/>
                <w:sz w:val="19"/>
                <w:szCs w:val="19"/>
                <w:color w:val="auto"/>
              </w:rPr>
              <w:t>36,797</w:t>
            </w: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jc w:val="right"/>
              <w:spacing w:after="0" w:line="191" w:lineRule="exact"/>
              <w:rPr>
                <w:sz w:val="20"/>
                <w:szCs w:val="20"/>
                <w:color w:val="auto"/>
              </w:rPr>
            </w:pPr>
            <w:r>
              <w:rPr>
                <w:rFonts w:ascii="Arial" w:cs="Arial" w:eastAsia="Arial" w:hAnsi="Arial"/>
                <w:sz w:val="19"/>
                <w:szCs w:val="19"/>
                <w:color w:val="auto"/>
              </w:rPr>
              <w:t>71,945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180" w:type="dxa"/>
            <w:vAlign w:val="bottom"/>
          </w:tcPr>
          <w:p>
            <w:pPr>
              <w:ind w:left="300"/>
              <w:spacing w:after="0"/>
              <w:rPr>
                <w:sz w:val="20"/>
                <w:szCs w:val="20"/>
                <w:color w:val="auto"/>
              </w:rPr>
            </w:pPr>
            <w:r>
              <w:rPr>
                <w:rFonts w:ascii="Arial" w:cs="Arial" w:eastAsia="Arial" w:hAnsi="Arial"/>
                <w:sz w:val="19"/>
                <w:szCs w:val="19"/>
                <w:color w:val="auto"/>
              </w:rPr>
              <w:t>Fixed assets, net</w:t>
            </w:r>
          </w:p>
        </w:tc>
        <w:tc>
          <w:tcPr>
            <w:tcW w:w="280" w:type="dxa"/>
            <w:vAlign w:val="bottom"/>
          </w:tcPr>
          <w:p>
            <w:pPr>
              <w:jc w:val="right"/>
              <w:ind w:right="85"/>
              <w:spacing w:after="0"/>
              <w:rPr>
                <w:sz w:val="20"/>
                <w:szCs w:val="20"/>
                <w:color w:val="auto"/>
              </w:rPr>
            </w:pPr>
            <w:r>
              <w:rPr>
                <w:rFonts w:ascii="Arial" w:cs="Arial" w:eastAsia="Arial" w:hAnsi="Arial"/>
                <w:sz w:val="19"/>
                <w:szCs w:val="19"/>
                <w:color w:val="auto"/>
                <w:w w:val="75"/>
              </w:rPr>
              <w:t>$</w:t>
            </w:r>
          </w:p>
        </w:tc>
        <w:tc>
          <w:tcPr>
            <w:tcW w:w="1000" w:type="dxa"/>
            <w:vAlign w:val="bottom"/>
          </w:tcPr>
          <w:p>
            <w:pPr>
              <w:jc w:val="right"/>
              <w:spacing w:after="0"/>
              <w:rPr>
                <w:sz w:val="20"/>
                <w:szCs w:val="20"/>
                <w:color w:val="auto"/>
              </w:rPr>
            </w:pPr>
            <w:r>
              <w:rPr>
                <w:rFonts w:ascii="Arial" w:cs="Arial" w:eastAsia="Arial" w:hAnsi="Arial"/>
                <w:sz w:val="19"/>
                <w:szCs w:val="19"/>
                <w:color w:val="auto"/>
              </w:rPr>
              <w:t>3,206</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4,424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180" w:type="dxa"/>
            <w:vAlign w:val="bottom"/>
          </w:tcPr>
          <w:p>
            <w:pPr>
              <w:ind w:left="300"/>
              <w:spacing w:after="0"/>
              <w:rPr>
                <w:sz w:val="20"/>
                <w:szCs w:val="20"/>
                <w:color w:val="auto"/>
              </w:rPr>
            </w:pPr>
            <w:r>
              <w:rPr>
                <w:rFonts w:ascii="Arial" w:cs="Arial" w:eastAsia="Arial" w:hAnsi="Arial"/>
                <w:sz w:val="19"/>
                <w:szCs w:val="19"/>
                <w:color w:val="auto"/>
              </w:rPr>
              <w:t>Lease right of use assets</w:t>
            </w:r>
          </w:p>
        </w:tc>
        <w:tc>
          <w:tcPr>
            <w:tcW w:w="280" w:type="dxa"/>
            <w:vAlign w:val="bottom"/>
          </w:tcPr>
          <w:p>
            <w:pPr>
              <w:jc w:val="right"/>
              <w:ind w:right="85"/>
              <w:spacing w:after="0"/>
              <w:rPr>
                <w:sz w:val="20"/>
                <w:szCs w:val="20"/>
                <w:color w:val="auto"/>
              </w:rPr>
            </w:pPr>
            <w:r>
              <w:rPr>
                <w:rFonts w:ascii="Arial" w:cs="Arial" w:eastAsia="Arial" w:hAnsi="Arial"/>
                <w:sz w:val="19"/>
                <w:szCs w:val="19"/>
                <w:color w:val="auto"/>
                <w:w w:val="75"/>
              </w:rPr>
              <w:t>$</w:t>
            </w:r>
          </w:p>
        </w:tc>
        <w:tc>
          <w:tcPr>
            <w:tcW w:w="1000" w:type="dxa"/>
            <w:vAlign w:val="bottom"/>
          </w:tcPr>
          <w:p>
            <w:pPr>
              <w:jc w:val="right"/>
              <w:spacing w:after="0"/>
              <w:rPr>
                <w:sz w:val="20"/>
                <w:szCs w:val="20"/>
                <w:color w:val="auto"/>
              </w:rPr>
            </w:pPr>
            <w:r>
              <w:rPr>
                <w:rFonts w:ascii="Arial" w:cs="Arial" w:eastAsia="Arial" w:hAnsi="Arial"/>
                <w:sz w:val="19"/>
                <w:szCs w:val="19"/>
                <w:color w:val="auto"/>
              </w:rPr>
              <w:t>816</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1,056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180" w:type="dxa"/>
            <w:vAlign w:val="bottom"/>
          </w:tcPr>
          <w:p>
            <w:pPr>
              <w:ind w:left="300"/>
              <w:spacing w:after="0"/>
              <w:rPr>
                <w:sz w:val="20"/>
                <w:szCs w:val="20"/>
                <w:color w:val="auto"/>
              </w:rPr>
            </w:pPr>
            <w:r>
              <w:rPr>
                <w:rFonts w:ascii="Arial" w:cs="Arial" w:eastAsia="Arial" w:hAnsi="Arial"/>
                <w:sz w:val="19"/>
                <w:szCs w:val="19"/>
                <w:color w:val="auto"/>
              </w:rPr>
              <w:t>Restricted cash</w:t>
            </w:r>
          </w:p>
        </w:tc>
        <w:tc>
          <w:tcPr>
            <w:tcW w:w="280" w:type="dxa"/>
            <w:vAlign w:val="bottom"/>
          </w:tcPr>
          <w:p>
            <w:pPr>
              <w:jc w:val="right"/>
              <w:ind w:right="85"/>
              <w:spacing w:after="0"/>
              <w:rPr>
                <w:sz w:val="20"/>
                <w:szCs w:val="20"/>
                <w:color w:val="auto"/>
              </w:rPr>
            </w:pPr>
            <w:r>
              <w:rPr>
                <w:rFonts w:ascii="Arial" w:cs="Arial" w:eastAsia="Arial" w:hAnsi="Arial"/>
                <w:sz w:val="19"/>
                <w:szCs w:val="19"/>
                <w:color w:val="auto"/>
                <w:w w:val="75"/>
              </w:rPr>
              <w:t>$</w:t>
            </w:r>
          </w:p>
        </w:tc>
        <w:tc>
          <w:tcPr>
            <w:tcW w:w="1000" w:type="dxa"/>
            <w:vAlign w:val="bottom"/>
          </w:tcPr>
          <w:p>
            <w:pPr>
              <w:jc w:val="right"/>
              <w:spacing w:after="0"/>
              <w:rPr>
                <w:sz w:val="20"/>
                <w:szCs w:val="20"/>
                <w:color w:val="auto"/>
              </w:rPr>
            </w:pPr>
            <w:r>
              <w:rPr>
                <w:rFonts w:ascii="Arial" w:cs="Arial" w:eastAsia="Arial" w:hAnsi="Arial"/>
                <w:sz w:val="19"/>
                <w:szCs w:val="19"/>
                <w:color w:val="auto"/>
              </w:rPr>
              <w:t>266</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266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180" w:type="dxa"/>
            <w:vAlign w:val="bottom"/>
          </w:tcPr>
          <w:p>
            <w:pPr>
              <w:ind w:left="300"/>
              <w:spacing w:after="0"/>
              <w:rPr>
                <w:sz w:val="20"/>
                <w:szCs w:val="20"/>
                <w:color w:val="auto"/>
              </w:rPr>
            </w:pPr>
            <w:r>
              <w:rPr>
                <w:rFonts w:ascii="Arial" w:cs="Arial" w:eastAsia="Arial" w:hAnsi="Arial"/>
                <w:sz w:val="19"/>
                <w:szCs w:val="19"/>
                <w:color w:val="auto"/>
              </w:rPr>
              <w:t>Other assets</w:t>
            </w:r>
          </w:p>
        </w:tc>
        <w:tc>
          <w:tcPr>
            <w:tcW w:w="280" w:type="dxa"/>
            <w:vAlign w:val="bottom"/>
          </w:tcPr>
          <w:p>
            <w:pPr>
              <w:jc w:val="right"/>
              <w:ind w:right="85"/>
              <w:spacing w:after="0"/>
              <w:rPr>
                <w:sz w:val="20"/>
                <w:szCs w:val="20"/>
                <w:color w:val="auto"/>
              </w:rPr>
            </w:pPr>
            <w:r>
              <w:rPr>
                <w:rFonts w:ascii="Arial" w:cs="Arial" w:eastAsia="Arial" w:hAnsi="Arial"/>
                <w:sz w:val="19"/>
                <w:szCs w:val="19"/>
                <w:color w:val="auto"/>
                <w:w w:val="75"/>
              </w:rPr>
              <w:t>$</w:t>
            </w:r>
          </w:p>
        </w:tc>
        <w:tc>
          <w:tcPr>
            <w:tcW w:w="1000" w:type="dxa"/>
            <w:vAlign w:val="bottom"/>
          </w:tcPr>
          <w:p>
            <w:pPr>
              <w:jc w:val="right"/>
              <w:spacing w:after="0"/>
              <w:rPr>
                <w:sz w:val="20"/>
                <w:szCs w:val="20"/>
                <w:color w:val="auto"/>
              </w:rPr>
            </w:pPr>
            <w:r>
              <w:rPr>
                <w:rFonts w:ascii="Arial" w:cs="Arial" w:eastAsia="Arial" w:hAnsi="Arial"/>
                <w:sz w:val="19"/>
                <w:szCs w:val="19"/>
                <w:color w:val="auto"/>
              </w:rPr>
              <w:t>116</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08"/>
        </w:trPr>
        <w:tc>
          <w:tcPr>
            <w:tcW w:w="7180" w:type="dxa"/>
            <w:vAlign w:val="bottom"/>
          </w:tcPr>
          <w:p>
            <w:pPr>
              <w:ind w:left="860"/>
              <w:spacing w:after="0" w:line="209" w:lineRule="exact"/>
              <w:rPr>
                <w:sz w:val="20"/>
                <w:szCs w:val="20"/>
                <w:color w:val="auto"/>
              </w:rPr>
            </w:pPr>
            <w:r>
              <w:rPr>
                <w:rFonts w:ascii="Arial" w:cs="Arial" w:eastAsia="Arial" w:hAnsi="Arial"/>
                <w:sz w:val="19"/>
                <w:szCs w:val="19"/>
                <w:b w:val="1"/>
                <w:bCs w:val="1"/>
                <w:color w:val="auto"/>
              </w:rPr>
              <w:t>Total assets</w:t>
            </w:r>
          </w:p>
        </w:tc>
        <w:tc>
          <w:tcPr>
            <w:tcW w:w="280" w:type="dxa"/>
            <w:vAlign w:val="bottom"/>
            <w:tcBorders>
              <w:top w:val="single" w:sz="8" w:color="auto"/>
              <w:bottom w:val="single" w:sz="8" w:color="auto"/>
            </w:tcBorders>
          </w:tcPr>
          <w:p>
            <w:pPr>
              <w:jc w:val="right"/>
              <w:ind w:right="85"/>
              <w:spacing w:after="0" w:line="209" w:lineRule="exact"/>
              <w:rPr>
                <w:sz w:val="20"/>
                <w:szCs w:val="20"/>
                <w:color w:val="auto"/>
              </w:rPr>
            </w:pPr>
            <w:r>
              <w:rPr>
                <w:rFonts w:ascii="Arial" w:cs="Arial" w:eastAsia="Arial" w:hAnsi="Arial"/>
                <w:sz w:val="19"/>
                <w:szCs w:val="19"/>
                <w:color w:val="auto"/>
                <w:w w:val="75"/>
              </w:rPr>
              <w:t>$</w:t>
            </w:r>
          </w:p>
        </w:tc>
        <w:tc>
          <w:tcPr>
            <w:tcW w:w="100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41,201</w:t>
            </w:r>
          </w:p>
        </w:tc>
        <w:tc>
          <w:tcPr>
            <w:tcW w:w="26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65"/>
              <w:spacing w:after="0" w:line="209" w:lineRule="exact"/>
              <w:rPr>
                <w:sz w:val="20"/>
                <w:szCs w:val="20"/>
                <w:color w:val="auto"/>
              </w:rPr>
            </w:pPr>
            <w:r>
              <w:rPr>
                <w:rFonts w:ascii="Arial" w:cs="Arial" w:eastAsia="Arial" w:hAnsi="Arial"/>
                <w:sz w:val="19"/>
                <w:szCs w:val="19"/>
                <w:color w:val="auto"/>
                <w:w w:val="75"/>
              </w:rPr>
              <w:t>$</w:t>
            </w:r>
          </w:p>
        </w:tc>
        <w:tc>
          <w:tcPr>
            <w:tcW w:w="82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77,691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80" w:type="dxa"/>
            <w:vAlign w:val="bottom"/>
            <w:vMerge w:val="restart"/>
          </w:tcPr>
          <w:p>
            <w:pPr>
              <w:ind w:left="20"/>
              <w:spacing w:after="0"/>
              <w:rPr>
                <w:sz w:val="20"/>
                <w:szCs w:val="20"/>
                <w:color w:val="auto"/>
              </w:rPr>
            </w:pPr>
            <w:r>
              <w:rPr>
                <w:rFonts w:ascii="Arial" w:cs="Arial" w:eastAsia="Arial" w:hAnsi="Arial"/>
                <w:sz w:val="19"/>
                <w:szCs w:val="19"/>
                <w:b w:val="1"/>
                <w:bCs w:val="1"/>
                <w:color w:val="auto"/>
              </w:rPr>
              <w:t>Liabilities and Stockholders’ Equity</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1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180" w:type="dxa"/>
            <w:vAlign w:val="bottom"/>
          </w:tcPr>
          <w:p>
            <w:pPr>
              <w:ind w:left="300"/>
              <w:spacing w:after="0"/>
              <w:rPr>
                <w:sz w:val="20"/>
                <w:szCs w:val="20"/>
                <w:color w:val="auto"/>
              </w:rPr>
            </w:pPr>
            <w:r>
              <w:rPr>
                <w:rFonts w:ascii="Arial" w:cs="Arial" w:eastAsia="Arial" w:hAnsi="Arial"/>
                <w:sz w:val="19"/>
                <w:szCs w:val="19"/>
                <w:color w:val="auto"/>
              </w:rPr>
              <w:t>Current liabilities: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180" w:type="dxa"/>
            <w:vAlign w:val="bottom"/>
          </w:tcPr>
          <w:p>
            <w:pPr>
              <w:ind w:left="580"/>
              <w:spacing w:after="0"/>
              <w:rPr>
                <w:sz w:val="20"/>
                <w:szCs w:val="20"/>
                <w:color w:val="auto"/>
              </w:rPr>
            </w:pPr>
            <w:r>
              <w:rPr>
                <w:rFonts w:ascii="Arial" w:cs="Arial" w:eastAsia="Arial" w:hAnsi="Arial"/>
                <w:sz w:val="19"/>
                <w:szCs w:val="19"/>
                <w:color w:val="auto"/>
              </w:rPr>
              <w:t>Accounts payable</w:t>
            </w:r>
          </w:p>
        </w:tc>
        <w:tc>
          <w:tcPr>
            <w:tcW w:w="280" w:type="dxa"/>
            <w:vAlign w:val="bottom"/>
          </w:tcPr>
          <w:p>
            <w:pPr>
              <w:jc w:val="right"/>
              <w:ind w:right="85"/>
              <w:spacing w:after="0"/>
              <w:rPr>
                <w:sz w:val="20"/>
                <w:szCs w:val="20"/>
                <w:color w:val="auto"/>
              </w:rPr>
            </w:pPr>
            <w:r>
              <w:rPr>
                <w:rFonts w:ascii="Arial" w:cs="Arial" w:eastAsia="Arial" w:hAnsi="Arial"/>
                <w:sz w:val="19"/>
                <w:szCs w:val="19"/>
                <w:color w:val="auto"/>
                <w:w w:val="75"/>
              </w:rPr>
              <w:t>$</w:t>
            </w:r>
          </w:p>
        </w:tc>
        <w:tc>
          <w:tcPr>
            <w:tcW w:w="1000" w:type="dxa"/>
            <w:vAlign w:val="bottom"/>
          </w:tcPr>
          <w:p>
            <w:pPr>
              <w:jc w:val="right"/>
              <w:spacing w:after="0"/>
              <w:rPr>
                <w:sz w:val="20"/>
                <w:szCs w:val="20"/>
                <w:color w:val="auto"/>
              </w:rPr>
            </w:pPr>
            <w:r>
              <w:rPr>
                <w:rFonts w:ascii="Arial" w:cs="Arial" w:eastAsia="Arial" w:hAnsi="Arial"/>
                <w:sz w:val="19"/>
                <w:szCs w:val="19"/>
                <w:color w:val="auto"/>
              </w:rPr>
              <w:t>422</w:t>
            </w:r>
          </w:p>
        </w:tc>
        <w:tc>
          <w:tcPr>
            <w:tcW w:w="260" w:type="dxa"/>
            <w:vAlign w:val="bottom"/>
          </w:tcPr>
          <w:p>
            <w:pPr>
              <w:spacing w:after="0"/>
              <w:rPr>
                <w:sz w:val="18"/>
                <w:szCs w:val="18"/>
                <w:color w:val="auto"/>
              </w:rPr>
            </w:pPr>
          </w:p>
        </w:tc>
        <w:tc>
          <w:tcPr>
            <w:tcW w:w="460" w:type="dxa"/>
            <w:vAlign w:val="bottom"/>
          </w:tcPr>
          <w:p>
            <w:pPr>
              <w:jc w:val="right"/>
              <w:ind w:right="265"/>
              <w:spacing w:after="0"/>
              <w:rPr>
                <w:sz w:val="20"/>
                <w:szCs w:val="20"/>
                <w:color w:val="auto"/>
              </w:rPr>
            </w:pPr>
            <w:r>
              <w:rPr>
                <w:rFonts w:ascii="Arial" w:cs="Arial" w:eastAsia="Arial" w:hAnsi="Arial"/>
                <w:sz w:val="19"/>
                <w:szCs w:val="19"/>
                <w:color w:val="auto"/>
                <w:w w:val="75"/>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380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180" w:type="dxa"/>
            <w:vAlign w:val="bottom"/>
          </w:tcPr>
          <w:p>
            <w:pPr>
              <w:ind w:left="580"/>
              <w:spacing w:after="0"/>
              <w:rPr>
                <w:sz w:val="20"/>
                <w:szCs w:val="20"/>
                <w:color w:val="auto"/>
              </w:rPr>
            </w:pPr>
            <w:r>
              <w:rPr>
                <w:rFonts w:ascii="Arial" w:cs="Arial" w:eastAsia="Arial" w:hAnsi="Arial"/>
                <w:sz w:val="19"/>
                <w:szCs w:val="19"/>
                <w:color w:val="auto"/>
              </w:rPr>
              <w:t>Accrued expenses</w:t>
            </w:r>
          </w:p>
        </w:tc>
        <w:tc>
          <w:tcPr>
            <w:tcW w:w="280" w:type="dxa"/>
            <w:vAlign w:val="bottom"/>
          </w:tcPr>
          <w:p>
            <w:pPr>
              <w:jc w:val="right"/>
              <w:ind w:right="85"/>
              <w:spacing w:after="0"/>
              <w:rPr>
                <w:sz w:val="20"/>
                <w:szCs w:val="20"/>
                <w:color w:val="auto"/>
              </w:rPr>
            </w:pPr>
            <w:r>
              <w:rPr>
                <w:rFonts w:ascii="Arial" w:cs="Arial" w:eastAsia="Arial" w:hAnsi="Arial"/>
                <w:sz w:val="19"/>
                <w:szCs w:val="19"/>
                <w:color w:val="auto"/>
                <w:w w:val="75"/>
              </w:rPr>
              <w:t>$</w:t>
            </w:r>
          </w:p>
        </w:tc>
        <w:tc>
          <w:tcPr>
            <w:tcW w:w="1000" w:type="dxa"/>
            <w:vAlign w:val="bottom"/>
          </w:tcPr>
          <w:p>
            <w:pPr>
              <w:jc w:val="right"/>
              <w:spacing w:after="0"/>
              <w:rPr>
                <w:sz w:val="20"/>
                <w:szCs w:val="20"/>
                <w:color w:val="auto"/>
              </w:rPr>
            </w:pPr>
            <w:r>
              <w:rPr>
                <w:rFonts w:ascii="Arial" w:cs="Arial" w:eastAsia="Arial" w:hAnsi="Arial"/>
                <w:sz w:val="19"/>
                <w:szCs w:val="19"/>
                <w:color w:val="auto"/>
              </w:rPr>
              <w:t>4,356</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4,723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180" w:type="dxa"/>
            <w:vAlign w:val="bottom"/>
          </w:tcPr>
          <w:p>
            <w:pPr>
              <w:ind w:left="580"/>
              <w:spacing w:after="0"/>
              <w:rPr>
                <w:sz w:val="20"/>
                <w:szCs w:val="20"/>
                <w:color w:val="auto"/>
              </w:rPr>
            </w:pPr>
            <w:r>
              <w:rPr>
                <w:rFonts w:ascii="Arial" w:cs="Arial" w:eastAsia="Arial" w:hAnsi="Arial"/>
                <w:sz w:val="19"/>
                <w:szCs w:val="19"/>
                <w:color w:val="auto"/>
              </w:rPr>
              <w:t>Current portion of term loan payable to a bank</w:t>
            </w:r>
          </w:p>
        </w:tc>
        <w:tc>
          <w:tcPr>
            <w:tcW w:w="280" w:type="dxa"/>
            <w:vAlign w:val="bottom"/>
          </w:tcPr>
          <w:p>
            <w:pPr>
              <w:jc w:val="right"/>
              <w:ind w:right="85"/>
              <w:spacing w:after="0"/>
              <w:rPr>
                <w:sz w:val="20"/>
                <w:szCs w:val="20"/>
                <w:color w:val="auto"/>
              </w:rPr>
            </w:pPr>
            <w:r>
              <w:rPr>
                <w:rFonts w:ascii="Arial" w:cs="Arial" w:eastAsia="Arial" w:hAnsi="Arial"/>
                <w:sz w:val="19"/>
                <w:szCs w:val="19"/>
                <w:color w:val="auto"/>
                <w:w w:val="75"/>
              </w:rPr>
              <w:t>$</w:t>
            </w:r>
          </w:p>
        </w:tc>
        <w:tc>
          <w:tcPr>
            <w:tcW w:w="1000" w:type="dxa"/>
            <w:vAlign w:val="bottom"/>
          </w:tcPr>
          <w:p>
            <w:pPr>
              <w:jc w:val="right"/>
              <w:spacing w:after="0"/>
              <w:rPr>
                <w:sz w:val="20"/>
                <w:szCs w:val="20"/>
                <w:color w:val="auto"/>
              </w:rPr>
            </w:pPr>
            <w:r>
              <w:rPr>
                <w:rFonts w:ascii="Arial" w:cs="Arial" w:eastAsia="Arial" w:hAnsi="Arial"/>
                <w:sz w:val="19"/>
                <w:szCs w:val="19"/>
                <w:color w:val="auto"/>
              </w:rPr>
              <w:t>8,893</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8"/>
        </w:trPr>
        <w:tc>
          <w:tcPr>
            <w:tcW w:w="7180" w:type="dxa"/>
            <w:vAlign w:val="bottom"/>
          </w:tcPr>
          <w:p>
            <w:pPr>
              <w:ind w:left="580"/>
              <w:spacing w:after="0"/>
              <w:rPr>
                <w:sz w:val="20"/>
                <w:szCs w:val="20"/>
                <w:color w:val="auto"/>
              </w:rPr>
            </w:pPr>
            <w:r>
              <w:rPr>
                <w:rFonts w:ascii="Arial" w:cs="Arial" w:eastAsia="Arial" w:hAnsi="Arial"/>
                <w:sz w:val="19"/>
                <w:szCs w:val="19"/>
                <w:color w:val="auto"/>
              </w:rPr>
              <w:t>Current portion of lease liability</w:t>
            </w:r>
          </w:p>
        </w:tc>
        <w:tc>
          <w:tcPr>
            <w:tcW w:w="280" w:type="dxa"/>
            <w:vAlign w:val="bottom"/>
          </w:tcPr>
          <w:p>
            <w:pPr>
              <w:jc w:val="right"/>
              <w:ind w:right="85"/>
              <w:spacing w:after="0"/>
              <w:rPr>
                <w:sz w:val="20"/>
                <w:szCs w:val="20"/>
                <w:color w:val="auto"/>
              </w:rPr>
            </w:pPr>
            <w:r>
              <w:rPr>
                <w:rFonts w:ascii="Arial" w:cs="Arial" w:eastAsia="Arial" w:hAnsi="Arial"/>
                <w:sz w:val="19"/>
                <w:szCs w:val="19"/>
                <w:color w:val="auto"/>
                <w:w w:val="75"/>
              </w:rPr>
              <w:t>$</w:t>
            </w:r>
          </w:p>
        </w:tc>
        <w:tc>
          <w:tcPr>
            <w:tcW w:w="1000" w:type="dxa"/>
            <w:vAlign w:val="bottom"/>
          </w:tcPr>
          <w:p>
            <w:pPr>
              <w:jc w:val="right"/>
              <w:spacing w:after="0"/>
              <w:rPr>
                <w:sz w:val="20"/>
                <w:szCs w:val="20"/>
                <w:color w:val="auto"/>
              </w:rPr>
            </w:pPr>
            <w:r>
              <w:rPr>
                <w:rFonts w:ascii="Arial" w:cs="Arial" w:eastAsia="Arial" w:hAnsi="Arial"/>
                <w:sz w:val="19"/>
                <w:szCs w:val="19"/>
                <w:color w:val="auto"/>
              </w:rPr>
              <w:t>513</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464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180" w:type="dxa"/>
            <w:vAlign w:val="bottom"/>
          </w:tcPr>
          <w:p>
            <w:pPr>
              <w:ind w:left="580"/>
              <w:spacing w:after="0"/>
              <w:rPr>
                <w:sz w:val="20"/>
                <w:szCs w:val="20"/>
                <w:color w:val="auto"/>
              </w:rPr>
            </w:pPr>
            <w:r>
              <w:rPr>
                <w:rFonts w:ascii="Arial" w:cs="Arial" w:eastAsia="Arial" w:hAnsi="Arial"/>
                <w:sz w:val="19"/>
                <w:szCs w:val="19"/>
                <w:color w:val="auto"/>
              </w:rPr>
              <w:t>Other current liabilities</w:t>
            </w:r>
          </w:p>
        </w:tc>
        <w:tc>
          <w:tcPr>
            <w:tcW w:w="280" w:type="dxa"/>
            <w:vAlign w:val="bottom"/>
          </w:tcPr>
          <w:p>
            <w:pPr>
              <w:jc w:val="right"/>
              <w:ind w:right="85"/>
              <w:spacing w:after="0"/>
              <w:rPr>
                <w:sz w:val="20"/>
                <w:szCs w:val="20"/>
                <w:color w:val="auto"/>
              </w:rPr>
            </w:pPr>
            <w:r>
              <w:rPr>
                <w:rFonts w:ascii="Arial" w:cs="Arial" w:eastAsia="Arial" w:hAnsi="Arial"/>
                <w:sz w:val="19"/>
                <w:szCs w:val="19"/>
                <w:color w:val="auto"/>
                <w:w w:val="75"/>
              </w:rPr>
              <w:t>$</w:t>
            </w:r>
          </w:p>
        </w:tc>
        <w:tc>
          <w:tcPr>
            <w:tcW w:w="1260" w:type="dxa"/>
            <w:vAlign w:val="bottom"/>
            <w:gridSpan w:val="2"/>
          </w:tcPr>
          <w:p>
            <w:pPr>
              <w:jc w:val="right"/>
              <w:ind w:right="260"/>
              <w:spacing w:after="0"/>
              <w:rPr>
                <w:sz w:val="20"/>
                <w:szCs w:val="20"/>
                <w:color w:val="auto"/>
              </w:rPr>
            </w:pPr>
            <w:r>
              <w:rPr>
                <w:rFonts w:ascii="Arial" w:cs="Arial" w:eastAsia="Arial" w:hAnsi="Arial"/>
                <w:sz w:val="19"/>
                <w:szCs w:val="19"/>
                <w:color w:val="auto"/>
              </w:rPr>
              <w:t>—</w:t>
            </w:r>
          </w:p>
        </w:tc>
        <w:tc>
          <w:tcPr>
            <w:tcW w:w="4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48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7180" w:type="dxa"/>
            <w:vAlign w:val="bottom"/>
          </w:tcPr>
          <w:p>
            <w:pPr>
              <w:ind w:left="860"/>
              <w:spacing w:after="0" w:line="191" w:lineRule="exact"/>
              <w:rPr>
                <w:sz w:val="20"/>
                <w:szCs w:val="20"/>
                <w:color w:val="auto"/>
              </w:rPr>
            </w:pPr>
            <w:r>
              <w:rPr>
                <w:rFonts w:ascii="Arial" w:cs="Arial" w:eastAsia="Arial" w:hAnsi="Arial"/>
                <w:sz w:val="19"/>
                <w:szCs w:val="19"/>
                <w:b w:val="1"/>
                <w:bCs w:val="1"/>
                <w:color w:val="auto"/>
              </w:rPr>
              <w:t>Total current liabilities</w:t>
            </w:r>
          </w:p>
        </w:tc>
        <w:tc>
          <w:tcPr>
            <w:tcW w:w="2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9"/>
                <w:szCs w:val="19"/>
                <w:color w:val="auto"/>
              </w:rPr>
              <w:t>14,184</w:t>
            </w:r>
          </w:p>
        </w:tc>
        <w:tc>
          <w:tcPr>
            <w:tcW w:w="26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9"/>
                <w:szCs w:val="19"/>
                <w:color w:val="auto"/>
              </w:rPr>
              <w:t>5,615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180" w:type="dxa"/>
            <w:vAlign w:val="bottom"/>
          </w:tcPr>
          <w:p>
            <w:pPr>
              <w:ind w:left="300"/>
              <w:spacing w:after="0"/>
              <w:rPr>
                <w:sz w:val="20"/>
                <w:szCs w:val="20"/>
                <w:color w:val="auto"/>
              </w:rPr>
            </w:pPr>
            <w:r>
              <w:rPr>
                <w:rFonts w:ascii="Arial" w:cs="Arial" w:eastAsia="Arial" w:hAnsi="Arial"/>
                <w:sz w:val="19"/>
                <w:szCs w:val="19"/>
                <w:color w:val="auto"/>
              </w:rPr>
              <w:t>Deferred revenue</w:t>
            </w:r>
          </w:p>
        </w:tc>
        <w:tc>
          <w:tcPr>
            <w:tcW w:w="280" w:type="dxa"/>
            <w:vAlign w:val="bottom"/>
          </w:tcPr>
          <w:p>
            <w:pPr>
              <w:jc w:val="right"/>
              <w:ind w:right="85"/>
              <w:spacing w:after="0"/>
              <w:rPr>
                <w:sz w:val="20"/>
                <w:szCs w:val="20"/>
                <w:color w:val="auto"/>
              </w:rPr>
            </w:pPr>
            <w:r>
              <w:rPr>
                <w:rFonts w:ascii="Arial" w:cs="Arial" w:eastAsia="Arial" w:hAnsi="Arial"/>
                <w:sz w:val="19"/>
                <w:szCs w:val="19"/>
                <w:color w:val="auto"/>
                <w:w w:val="75"/>
              </w:rPr>
              <w:t>$</w:t>
            </w:r>
          </w:p>
        </w:tc>
        <w:tc>
          <w:tcPr>
            <w:tcW w:w="1260" w:type="dxa"/>
            <w:vAlign w:val="bottom"/>
            <w:gridSpan w:val="2"/>
          </w:tcPr>
          <w:p>
            <w:pPr>
              <w:jc w:val="right"/>
              <w:ind w:right="260"/>
              <w:spacing w:after="0"/>
              <w:rPr>
                <w:sz w:val="20"/>
                <w:szCs w:val="20"/>
                <w:color w:val="auto"/>
              </w:rPr>
            </w:pPr>
            <w:r>
              <w:rPr>
                <w:rFonts w:ascii="Arial" w:cs="Arial" w:eastAsia="Arial" w:hAnsi="Arial"/>
                <w:sz w:val="19"/>
                <w:szCs w:val="19"/>
                <w:color w:val="auto"/>
              </w:rPr>
              <w:t>—</w:t>
            </w: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144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180" w:type="dxa"/>
            <w:vAlign w:val="bottom"/>
          </w:tcPr>
          <w:p>
            <w:pPr>
              <w:ind w:left="300"/>
              <w:spacing w:after="0"/>
              <w:rPr>
                <w:sz w:val="20"/>
                <w:szCs w:val="20"/>
                <w:color w:val="auto"/>
              </w:rPr>
            </w:pPr>
            <w:r>
              <w:rPr>
                <w:rFonts w:ascii="Arial" w:cs="Arial" w:eastAsia="Arial" w:hAnsi="Arial"/>
                <w:sz w:val="19"/>
                <w:szCs w:val="19"/>
                <w:color w:val="auto"/>
              </w:rPr>
              <w:t>Term loan payable to a bank</w:t>
            </w:r>
          </w:p>
        </w:tc>
        <w:tc>
          <w:tcPr>
            <w:tcW w:w="280" w:type="dxa"/>
            <w:vAlign w:val="bottom"/>
          </w:tcPr>
          <w:p>
            <w:pPr>
              <w:jc w:val="right"/>
              <w:ind w:right="85"/>
              <w:spacing w:after="0"/>
              <w:rPr>
                <w:sz w:val="20"/>
                <w:szCs w:val="20"/>
                <w:color w:val="auto"/>
              </w:rPr>
            </w:pPr>
            <w:r>
              <w:rPr>
                <w:rFonts w:ascii="Arial" w:cs="Arial" w:eastAsia="Arial" w:hAnsi="Arial"/>
                <w:sz w:val="19"/>
                <w:szCs w:val="19"/>
                <w:color w:val="auto"/>
                <w:w w:val="75"/>
              </w:rPr>
              <w:t>$</w:t>
            </w:r>
          </w:p>
        </w:tc>
        <w:tc>
          <w:tcPr>
            <w:tcW w:w="1000" w:type="dxa"/>
            <w:vAlign w:val="bottom"/>
          </w:tcPr>
          <w:p>
            <w:pPr>
              <w:jc w:val="right"/>
              <w:spacing w:after="0"/>
              <w:rPr>
                <w:sz w:val="20"/>
                <w:szCs w:val="20"/>
                <w:color w:val="auto"/>
              </w:rPr>
            </w:pPr>
            <w:r>
              <w:rPr>
                <w:rFonts w:ascii="Arial" w:cs="Arial" w:eastAsia="Arial" w:hAnsi="Arial"/>
                <w:sz w:val="19"/>
                <w:szCs w:val="19"/>
                <w:color w:val="auto"/>
              </w:rPr>
              <w:t>11,632</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20,202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180" w:type="dxa"/>
            <w:vAlign w:val="bottom"/>
          </w:tcPr>
          <w:p>
            <w:pPr>
              <w:ind w:left="300"/>
              <w:spacing w:after="0"/>
              <w:rPr>
                <w:sz w:val="20"/>
                <w:szCs w:val="20"/>
                <w:color w:val="auto"/>
              </w:rPr>
            </w:pPr>
            <w:r>
              <w:rPr>
                <w:rFonts w:ascii="Arial" w:cs="Arial" w:eastAsia="Arial" w:hAnsi="Arial"/>
                <w:sz w:val="19"/>
                <w:szCs w:val="19"/>
                <w:color w:val="auto"/>
              </w:rPr>
              <w:t>Other long-term debt</w:t>
            </w:r>
          </w:p>
        </w:tc>
        <w:tc>
          <w:tcPr>
            <w:tcW w:w="280" w:type="dxa"/>
            <w:vAlign w:val="bottom"/>
          </w:tcPr>
          <w:p>
            <w:pPr>
              <w:jc w:val="right"/>
              <w:ind w:right="85"/>
              <w:spacing w:after="0"/>
              <w:rPr>
                <w:sz w:val="20"/>
                <w:szCs w:val="20"/>
                <w:color w:val="auto"/>
              </w:rPr>
            </w:pPr>
            <w:r>
              <w:rPr>
                <w:rFonts w:ascii="Arial" w:cs="Arial" w:eastAsia="Arial" w:hAnsi="Arial"/>
                <w:sz w:val="19"/>
                <w:szCs w:val="19"/>
                <w:color w:val="auto"/>
                <w:w w:val="75"/>
              </w:rPr>
              <w:t>$</w:t>
            </w:r>
          </w:p>
        </w:tc>
        <w:tc>
          <w:tcPr>
            <w:tcW w:w="1000" w:type="dxa"/>
            <w:vAlign w:val="bottom"/>
          </w:tcPr>
          <w:p>
            <w:pPr>
              <w:jc w:val="right"/>
              <w:spacing w:after="0"/>
              <w:rPr>
                <w:sz w:val="20"/>
                <w:szCs w:val="20"/>
                <w:color w:val="auto"/>
              </w:rPr>
            </w:pPr>
            <w:r>
              <w:rPr>
                <w:rFonts w:ascii="Arial" w:cs="Arial" w:eastAsia="Arial" w:hAnsi="Arial"/>
                <w:sz w:val="19"/>
                <w:szCs w:val="19"/>
                <w:color w:val="auto"/>
              </w:rPr>
              <w:t>751</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648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180" w:type="dxa"/>
            <w:vAlign w:val="bottom"/>
          </w:tcPr>
          <w:p>
            <w:pPr>
              <w:ind w:left="300"/>
              <w:spacing w:after="0"/>
              <w:rPr>
                <w:sz w:val="20"/>
                <w:szCs w:val="20"/>
                <w:color w:val="auto"/>
              </w:rPr>
            </w:pPr>
            <w:r>
              <w:rPr>
                <w:rFonts w:ascii="Arial" w:cs="Arial" w:eastAsia="Arial" w:hAnsi="Arial"/>
                <w:sz w:val="19"/>
                <w:szCs w:val="19"/>
                <w:color w:val="auto"/>
              </w:rPr>
              <w:t>Lease liability, net of current portion</w:t>
            </w:r>
          </w:p>
        </w:tc>
        <w:tc>
          <w:tcPr>
            <w:tcW w:w="280" w:type="dxa"/>
            <w:vAlign w:val="bottom"/>
          </w:tcPr>
          <w:p>
            <w:pPr>
              <w:jc w:val="right"/>
              <w:ind w:right="85"/>
              <w:spacing w:after="0"/>
              <w:rPr>
                <w:sz w:val="20"/>
                <w:szCs w:val="20"/>
                <w:color w:val="auto"/>
              </w:rPr>
            </w:pPr>
            <w:r>
              <w:rPr>
                <w:rFonts w:ascii="Arial" w:cs="Arial" w:eastAsia="Arial" w:hAnsi="Arial"/>
                <w:sz w:val="19"/>
                <w:szCs w:val="19"/>
                <w:color w:val="auto"/>
                <w:w w:val="75"/>
              </w:rPr>
              <w:t>$</w:t>
            </w:r>
          </w:p>
        </w:tc>
        <w:tc>
          <w:tcPr>
            <w:tcW w:w="1000" w:type="dxa"/>
            <w:vAlign w:val="bottom"/>
          </w:tcPr>
          <w:p>
            <w:pPr>
              <w:jc w:val="right"/>
              <w:spacing w:after="0"/>
              <w:rPr>
                <w:sz w:val="20"/>
                <w:szCs w:val="20"/>
                <w:color w:val="auto"/>
              </w:rPr>
            </w:pPr>
            <w:r>
              <w:rPr>
                <w:rFonts w:ascii="Arial" w:cs="Arial" w:eastAsia="Arial" w:hAnsi="Arial"/>
                <w:sz w:val="19"/>
                <w:szCs w:val="19"/>
                <w:color w:val="auto"/>
              </w:rPr>
              <w:t>973</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1,486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180" w:type="dxa"/>
            <w:vAlign w:val="bottom"/>
          </w:tcPr>
          <w:p>
            <w:pPr>
              <w:ind w:left="300"/>
              <w:spacing w:after="0"/>
              <w:rPr>
                <w:sz w:val="20"/>
                <w:szCs w:val="20"/>
                <w:color w:val="auto"/>
              </w:rPr>
            </w:pPr>
            <w:r>
              <w:rPr>
                <w:rFonts w:ascii="Arial" w:cs="Arial" w:eastAsia="Arial" w:hAnsi="Arial"/>
                <w:sz w:val="19"/>
                <w:szCs w:val="19"/>
                <w:color w:val="auto"/>
              </w:rPr>
              <w:t>Warrant liability</w:t>
            </w:r>
          </w:p>
        </w:tc>
        <w:tc>
          <w:tcPr>
            <w:tcW w:w="280" w:type="dxa"/>
            <w:vAlign w:val="bottom"/>
            <w:tcBorders>
              <w:bottom w:val="single" w:sz="8" w:color="auto"/>
            </w:tcBorders>
          </w:tcPr>
          <w:p>
            <w:pPr>
              <w:jc w:val="right"/>
              <w:ind w:right="85"/>
              <w:spacing w:after="0"/>
              <w:rPr>
                <w:sz w:val="20"/>
                <w:szCs w:val="20"/>
                <w:color w:val="auto"/>
              </w:rPr>
            </w:pPr>
            <w:r>
              <w:rPr>
                <w:rFonts w:ascii="Arial" w:cs="Arial" w:eastAsia="Arial" w:hAnsi="Arial"/>
                <w:sz w:val="19"/>
                <w:szCs w:val="19"/>
                <w:color w:val="auto"/>
                <w:w w:val="7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916</w:t>
            </w:r>
          </w:p>
        </w:tc>
        <w:tc>
          <w:tcPr>
            <w:tcW w:w="2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7180" w:type="dxa"/>
            <w:vAlign w:val="bottom"/>
          </w:tcPr>
          <w:p>
            <w:pPr>
              <w:ind w:left="860"/>
              <w:spacing w:after="0" w:line="209" w:lineRule="exact"/>
              <w:rPr>
                <w:sz w:val="20"/>
                <w:szCs w:val="20"/>
                <w:color w:val="auto"/>
              </w:rPr>
            </w:pPr>
            <w:r>
              <w:rPr>
                <w:rFonts w:ascii="Arial" w:cs="Arial" w:eastAsia="Arial" w:hAnsi="Arial"/>
                <w:sz w:val="19"/>
                <w:szCs w:val="19"/>
                <w:b w:val="1"/>
                <w:bCs w:val="1"/>
                <w:color w:val="auto"/>
              </w:rPr>
              <w:t>Total liabilities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28,456</w:t>
            </w:r>
          </w:p>
        </w:tc>
        <w:tc>
          <w:tcPr>
            <w:tcW w:w="2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29,977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7180" w:type="dxa"/>
            <w:vAlign w:val="bottom"/>
          </w:tcPr>
          <w:p>
            <w:pPr>
              <w:ind w:left="300"/>
              <w:spacing w:after="0" w:line="191" w:lineRule="exact"/>
              <w:rPr>
                <w:sz w:val="20"/>
                <w:szCs w:val="20"/>
                <w:color w:val="auto"/>
              </w:rPr>
            </w:pPr>
            <w:r>
              <w:rPr>
                <w:rFonts w:ascii="Arial" w:cs="Arial" w:eastAsia="Arial" w:hAnsi="Arial"/>
                <w:sz w:val="19"/>
                <w:szCs w:val="19"/>
                <w:color w:val="auto"/>
              </w:rPr>
              <w:t>Commitments and contingencies (Note 15)</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180" w:type="dxa"/>
            <w:vAlign w:val="bottom"/>
          </w:tcPr>
          <w:p>
            <w:pPr>
              <w:ind w:left="300"/>
              <w:spacing w:after="0"/>
              <w:rPr>
                <w:sz w:val="20"/>
                <w:szCs w:val="20"/>
                <w:color w:val="auto"/>
              </w:rPr>
            </w:pPr>
            <w:r>
              <w:rPr>
                <w:rFonts w:ascii="Arial" w:cs="Arial" w:eastAsia="Arial" w:hAnsi="Arial"/>
                <w:sz w:val="19"/>
                <w:szCs w:val="19"/>
                <w:color w:val="auto"/>
              </w:rPr>
              <w:t>Stockholders’ equity:</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180" w:type="dxa"/>
            <w:vAlign w:val="bottom"/>
          </w:tcPr>
          <w:p>
            <w:pPr>
              <w:ind w:left="580"/>
              <w:spacing w:after="0"/>
              <w:rPr>
                <w:sz w:val="20"/>
                <w:szCs w:val="20"/>
                <w:color w:val="auto"/>
              </w:rPr>
            </w:pPr>
            <w:r>
              <w:rPr>
                <w:rFonts w:ascii="Arial" w:cs="Arial" w:eastAsia="Arial" w:hAnsi="Arial"/>
                <w:sz w:val="19"/>
                <w:szCs w:val="19"/>
                <w:color w:val="auto"/>
              </w:rPr>
              <w:t>Preferred stock, $0.01 par value; 10,000,000 shares authorized at</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180" w:type="dxa"/>
            <w:vAlign w:val="bottom"/>
          </w:tcPr>
          <w:p>
            <w:pPr>
              <w:ind w:left="580"/>
              <w:spacing w:after="0"/>
              <w:rPr>
                <w:sz w:val="20"/>
                <w:szCs w:val="20"/>
                <w:color w:val="auto"/>
              </w:rPr>
            </w:pPr>
            <w:r>
              <w:rPr>
                <w:rFonts w:ascii="Arial" w:cs="Arial" w:eastAsia="Arial" w:hAnsi="Arial"/>
                <w:sz w:val="19"/>
                <w:szCs w:val="19"/>
                <w:color w:val="auto"/>
              </w:rPr>
              <w:t>December 31, 2023 and 2022; no shares issued or outstanding at</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180" w:type="dxa"/>
            <w:vAlign w:val="bottom"/>
          </w:tcPr>
          <w:p>
            <w:pPr>
              <w:ind w:left="580"/>
              <w:spacing w:after="0"/>
              <w:rPr>
                <w:sz w:val="20"/>
                <w:szCs w:val="20"/>
                <w:color w:val="auto"/>
              </w:rPr>
            </w:pPr>
            <w:r>
              <w:rPr>
                <w:rFonts w:ascii="Arial" w:cs="Arial" w:eastAsia="Arial" w:hAnsi="Arial"/>
                <w:sz w:val="19"/>
                <w:szCs w:val="19"/>
                <w:color w:val="auto"/>
              </w:rPr>
              <w:t>December 31, 2023 and 2022, respectively.</w:t>
            </w:r>
          </w:p>
        </w:tc>
        <w:tc>
          <w:tcPr>
            <w:tcW w:w="280" w:type="dxa"/>
            <w:vAlign w:val="bottom"/>
          </w:tcPr>
          <w:p>
            <w:pPr>
              <w:jc w:val="right"/>
              <w:ind w:right="85"/>
              <w:spacing w:after="0"/>
              <w:rPr>
                <w:sz w:val="20"/>
                <w:szCs w:val="20"/>
                <w:color w:val="auto"/>
              </w:rPr>
            </w:pPr>
            <w:r>
              <w:rPr>
                <w:rFonts w:ascii="Arial" w:cs="Arial" w:eastAsia="Arial" w:hAnsi="Arial"/>
                <w:sz w:val="19"/>
                <w:szCs w:val="19"/>
                <w:color w:val="auto"/>
                <w:w w:val="75"/>
              </w:rPr>
              <w:t>$</w:t>
            </w:r>
          </w:p>
        </w:tc>
        <w:tc>
          <w:tcPr>
            <w:tcW w:w="1260" w:type="dxa"/>
            <w:vAlign w:val="bottom"/>
            <w:gridSpan w:val="2"/>
          </w:tcPr>
          <w:p>
            <w:pPr>
              <w:jc w:val="right"/>
              <w:ind w:right="260"/>
              <w:spacing w:after="0"/>
              <w:rPr>
                <w:sz w:val="20"/>
                <w:szCs w:val="20"/>
                <w:color w:val="auto"/>
              </w:rPr>
            </w:pPr>
            <w:r>
              <w:rPr>
                <w:rFonts w:ascii="Arial" w:cs="Arial" w:eastAsia="Arial" w:hAnsi="Arial"/>
                <w:sz w:val="19"/>
                <w:szCs w:val="19"/>
                <w:color w:val="auto"/>
              </w:rPr>
              <w:t>—</w:t>
            </w:r>
          </w:p>
        </w:tc>
        <w:tc>
          <w:tcPr>
            <w:tcW w:w="4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8"/>
        </w:trPr>
        <w:tc>
          <w:tcPr>
            <w:tcW w:w="7180" w:type="dxa"/>
            <w:vAlign w:val="bottom"/>
          </w:tcPr>
          <w:p>
            <w:pPr>
              <w:ind w:left="580"/>
              <w:spacing w:after="0"/>
              <w:rPr>
                <w:sz w:val="20"/>
                <w:szCs w:val="20"/>
                <w:color w:val="auto"/>
              </w:rPr>
            </w:pPr>
            <w:r>
              <w:rPr>
                <w:rFonts w:ascii="Arial" w:cs="Arial" w:eastAsia="Arial" w:hAnsi="Arial"/>
                <w:sz w:val="19"/>
                <w:szCs w:val="19"/>
                <w:color w:val="auto"/>
              </w:rPr>
              <w:t>Common stock, $0.01 par value; 150,000,000 shares authorized at</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180" w:type="dxa"/>
            <w:vAlign w:val="bottom"/>
          </w:tcPr>
          <w:p>
            <w:pPr>
              <w:ind w:left="580"/>
              <w:spacing w:after="0"/>
              <w:rPr>
                <w:sz w:val="20"/>
                <w:szCs w:val="20"/>
                <w:color w:val="auto"/>
              </w:rPr>
            </w:pPr>
            <w:r>
              <w:rPr>
                <w:rFonts w:ascii="Arial" w:cs="Arial" w:eastAsia="Arial" w:hAnsi="Arial"/>
                <w:sz w:val="19"/>
                <w:szCs w:val="19"/>
                <w:color w:val="auto"/>
              </w:rPr>
              <w:t>December 31, 2023 and 2022; 29,213,627 and 29,042,418 shares issued at</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180" w:type="dxa"/>
            <w:vAlign w:val="bottom"/>
          </w:tcPr>
          <w:p>
            <w:pPr>
              <w:ind w:left="580"/>
              <w:spacing w:after="0"/>
              <w:rPr>
                <w:sz w:val="20"/>
                <w:szCs w:val="20"/>
                <w:color w:val="auto"/>
              </w:rPr>
            </w:pPr>
            <w:r>
              <w:rPr>
                <w:rFonts w:ascii="Arial" w:cs="Arial" w:eastAsia="Arial" w:hAnsi="Arial"/>
                <w:sz w:val="19"/>
                <w:szCs w:val="19"/>
                <w:color w:val="auto"/>
              </w:rPr>
              <w:t>December 31, 2023 and 2022, respectively; and 29,091,019 and 28,919,810</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180" w:type="dxa"/>
            <w:vAlign w:val="bottom"/>
          </w:tcPr>
          <w:p>
            <w:pPr>
              <w:ind w:left="580"/>
              <w:spacing w:after="0"/>
              <w:rPr>
                <w:sz w:val="20"/>
                <w:szCs w:val="20"/>
                <w:color w:val="auto"/>
              </w:rPr>
            </w:pPr>
            <w:r>
              <w:rPr>
                <w:rFonts w:ascii="Arial" w:cs="Arial" w:eastAsia="Arial" w:hAnsi="Arial"/>
                <w:sz w:val="19"/>
                <w:szCs w:val="19"/>
                <w:color w:val="auto"/>
              </w:rPr>
              <w:t>shares outstanding at December 31, 2023 and 2022, respectively.</w:t>
            </w:r>
          </w:p>
        </w:tc>
        <w:tc>
          <w:tcPr>
            <w:tcW w:w="280" w:type="dxa"/>
            <w:vAlign w:val="bottom"/>
          </w:tcPr>
          <w:p>
            <w:pPr>
              <w:jc w:val="right"/>
              <w:ind w:right="85"/>
              <w:spacing w:after="0"/>
              <w:rPr>
                <w:sz w:val="20"/>
                <w:szCs w:val="20"/>
                <w:color w:val="auto"/>
              </w:rPr>
            </w:pPr>
            <w:r>
              <w:rPr>
                <w:rFonts w:ascii="Arial" w:cs="Arial" w:eastAsia="Arial" w:hAnsi="Arial"/>
                <w:sz w:val="19"/>
                <w:szCs w:val="19"/>
                <w:color w:val="auto"/>
                <w:w w:val="75"/>
              </w:rPr>
              <w:t>$</w:t>
            </w:r>
          </w:p>
        </w:tc>
        <w:tc>
          <w:tcPr>
            <w:tcW w:w="1000" w:type="dxa"/>
            <w:vAlign w:val="bottom"/>
          </w:tcPr>
          <w:p>
            <w:pPr>
              <w:jc w:val="right"/>
              <w:spacing w:after="0"/>
              <w:rPr>
                <w:sz w:val="20"/>
                <w:szCs w:val="20"/>
                <w:color w:val="auto"/>
              </w:rPr>
            </w:pPr>
            <w:r>
              <w:rPr>
                <w:rFonts w:ascii="Arial" w:cs="Arial" w:eastAsia="Arial" w:hAnsi="Arial"/>
                <w:sz w:val="19"/>
                <w:szCs w:val="19"/>
                <w:color w:val="auto"/>
              </w:rPr>
              <w:t>290</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290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180" w:type="dxa"/>
            <w:vAlign w:val="bottom"/>
          </w:tcPr>
          <w:p>
            <w:pPr>
              <w:ind w:left="580"/>
              <w:spacing w:after="0"/>
              <w:rPr>
                <w:sz w:val="20"/>
                <w:szCs w:val="20"/>
                <w:color w:val="auto"/>
              </w:rPr>
            </w:pPr>
            <w:r>
              <w:rPr>
                <w:rFonts w:ascii="Arial" w:cs="Arial" w:eastAsia="Arial" w:hAnsi="Arial"/>
                <w:sz w:val="19"/>
                <w:szCs w:val="19"/>
                <w:color w:val="auto"/>
              </w:rPr>
              <w:t>Treasury stock (at cost)</w:t>
            </w:r>
          </w:p>
        </w:tc>
        <w:tc>
          <w:tcPr>
            <w:tcW w:w="280" w:type="dxa"/>
            <w:vAlign w:val="bottom"/>
          </w:tcPr>
          <w:p>
            <w:pPr>
              <w:jc w:val="right"/>
              <w:ind w:right="85"/>
              <w:spacing w:after="0"/>
              <w:rPr>
                <w:sz w:val="20"/>
                <w:szCs w:val="20"/>
                <w:color w:val="auto"/>
              </w:rPr>
            </w:pPr>
            <w:r>
              <w:rPr>
                <w:rFonts w:ascii="Arial" w:cs="Arial" w:eastAsia="Arial" w:hAnsi="Arial"/>
                <w:sz w:val="19"/>
                <w:szCs w:val="19"/>
                <w:color w:val="auto"/>
                <w:w w:val="75"/>
              </w:rPr>
              <w:t>$</w:t>
            </w:r>
          </w:p>
        </w:tc>
        <w:tc>
          <w:tcPr>
            <w:tcW w:w="1260" w:type="dxa"/>
            <w:vAlign w:val="bottom"/>
            <w:gridSpan w:val="2"/>
          </w:tcPr>
          <w:p>
            <w:pPr>
              <w:jc w:val="right"/>
              <w:ind w:right="200"/>
              <w:spacing w:after="0"/>
              <w:rPr>
                <w:sz w:val="20"/>
                <w:szCs w:val="20"/>
                <w:color w:val="auto"/>
              </w:rPr>
            </w:pPr>
            <w:r>
              <w:rPr>
                <w:rFonts w:ascii="Arial" w:cs="Arial" w:eastAsia="Arial" w:hAnsi="Arial"/>
                <w:sz w:val="19"/>
                <w:szCs w:val="19"/>
                <w:color w:val="auto"/>
              </w:rPr>
              <w:t>(448)</w:t>
            </w:r>
          </w:p>
        </w:tc>
        <w:tc>
          <w:tcPr>
            <w:tcW w:w="4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9"/>
                <w:szCs w:val="19"/>
                <w:color w:val="auto"/>
              </w:rPr>
              <w:t>(448)</w:t>
            </w:r>
          </w:p>
        </w:tc>
        <w:tc>
          <w:tcPr>
            <w:tcW w:w="0" w:type="dxa"/>
            <w:vAlign w:val="bottom"/>
          </w:tcPr>
          <w:p>
            <w:pPr>
              <w:spacing w:after="0"/>
              <w:rPr>
                <w:sz w:val="1"/>
                <w:szCs w:val="1"/>
                <w:color w:val="auto"/>
              </w:rPr>
            </w:pPr>
          </w:p>
        </w:tc>
      </w:tr>
      <w:tr>
        <w:trPr>
          <w:trHeight w:val="218"/>
        </w:trPr>
        <w:tc>
          <w:tcPr>
            <w:tcW w:w="7180" w:type="dxa"/>
            <w:vAlign w:val="bottom"/>
          </w:tcPr>
          <w:p>
            <w:pPr>
              <w:ind w:left="580"/>
              <w:spacing w:after="0"/>
              <w:rPr>
                <w:sz w:val="20"/>
                <w:szCs w:val="20"/>
                <w:color w:val="auto"/>
              </w:rPr>
            </w:pPr>
            <w:r>
              <w:rPr>
                <w:rFonts w:ascii="Arial" w:cs="Arial" w:eastAsia="Arial" w:hAnsi="Arial"/>
                <w:sz w:val="19"/>
                <w:szCs w:val="19"/>
                <w:color w:val="auto"/>
              </w:rPr>
              <w:t>Additional paid-in capital</w:t>
            </w:r>
          </w:p>
        </w:tc>
        <w:tc>
          <w:tcPr>
            <w:tcW w:w="280" w:type="dxa"/>
            <w:vAlign w:val="bottom"/>
          </w:tcPr>
          <w:p>
            <w:pPr>
              <w:jc w:val="right"/>
              <w:ind w:right="85"/>
              <w:spacing w:after="0"/>
              <w:rPr>
                <w:sz w:val="20"/>
                <w:szCs w:val="20"/>
                <w:color w:val="auto"/>
              </w:rPr>
            </w:pPr>
            <w:r>
              <w:rPr>
                <w:rFonts w:ascii="Arial" w:cs="Arial" w:eastAsia="Arial" w:hAnsi="Arial"/>
                <w:sz w:val="19"/>
                <w:szCs w:val="19"/>
                <w:color w:val="auto"/>
                <w:w w:val="75"/>
              </w:rPr>
              <w:t>$</w:t>
            </w:r>
          </w:p>
        </w:tc>
        <w:tc>
          <w:tcPr>
            <w:tcW w:w="1000" w:type="dxa"/>
            <w:vAlign w:val="bottom"/>
          </w:tcPr>
          <w:p>
            <w:pPr>
              <w:jc w:val="right"/>
              <w:spacing w:after="0"/>
              <w:rPr>
                <w:sz w:val="20"/>
                <w:szCs w:val="20"/>
                <w:color w:val="auto"/>
              </w:rPr>
            </w:pPr>
            <w:r>
              <w:rPr>
                <w:rFonts w:ascii="Arial" w:cs="Arial" w:eastAsia="Arial" w:hAnsi="Arial"/>
                <w:sz w:val="19"/>
                <w:szCs w:val="19"/>
                <w:color w:val="auto"/>
              </w:rPr>
              <w:t>149,931</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146,961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180" w:type="dxa"/>
            <w:vAlign w:val="bottom"/>
          </w:tcPr>
          <w:p>
            <w:pPr>
              <w:ind w:left="580"/>
              <w:spacing w:after="0"/>
              <w:rPr>
                <w:sz w:val="20"/>
                <w:szCs w:val="20"/>
                <w:color w:val="auto"/>
              </w:rPr>
            </w:pPr>
            <w:r>
              <w:rPr>
                <w:rFonts w:ascii="Arial" w:cs="Arial" w:eastAsia="Arial" w:hAnsi="Arial"/>
                <w:sz w:val="19"/>
                <w:szCs w:val="19"/>
                <w:color w:val="auto"/>
              </w:rPr>
              <w:t>Accumulated deficit</w:t>
            </w:r>
          </w:p>
        </w:tc>
        <w:tc>
          <w:tcPr>
            <w:tcW w:w="280" w:type="dxa"/>
            <w:vAlign w:val="bottom"/>
          </w:tcPr>
          <w:p>
            <w:pPr>
              <w:jc w:val="right"/>
              <w:ind w:right="85"/>
              <w:spacing w:after="0"/>
              <w:rPr>
                <w:sz w:val="20"/>
                <w:szCs w:val="20"/>
                <w:color w:val="auto"/>
              </w:rPr>
            </w:pPr>
            <w:r>
              <w:rPr>
                <w:rFonts w:ascii="Arial" w:cs="Arial" w:eastAsia="Arial" w:hAnsi="Arial"/>
                <w:sz w:val="19"/>
                <w:szCs w:val="19"/>
                <w:color w:val="auto"/>
                <w:w w:val="75"/>
              </w:rPr>
              <w:t>$</w:t>
            </w:r>
          </w:p>
        </w:tc>
        <w:tc>
          <w:tcPr>
            <w:tcW w:w="1260" w:type="dxa"/>
            <w:vAlign w:val="bottom"/>
            <w:gridSpan w:val="2"/>
          </w:tcPr>
          <w:p>
            <w:pPr>
              <w:jc w:val="right"/>
              <w:ind w:right="200"/>
              <w:spacing w:after="0"/>
              <w:rPr>
                <w:sz w:val="20"/>
                <w:szCs w:val="20"/>
                <w:color w:val="auto"/>
              </w:rPr>
            </w:pPr>
            <w:r>
              <w:rPr>
                <w:rFonts w:ascii="Arial" w:cs="Arial" w:eastAsia="Arial" w:hAnsi="Arial"/>
                <w:sz w:val="19"/>
                <w:szCs w:val="19"/>
                <w:color w:val="auto"/>
              </w:rPr>
              <w:t>(137,028)</w:t>
            </w:r>
          </w:p>
        </w:tc>
        <w:tc>
          <w:tcPr>
            <w:tcW w:w="46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9"/>
                <w:szCs w:val="19"/>
                <w:color w:val="auto"/>
              </w:rPr>
              <w:t>(99,089)</w:t>
            </w:r>
          </w:p>
        </w:tc>
        <w:tc>
          <w:tcPr>
            <w:tcW w:w="0" w:type="dxa"/>
            <w:vAlign w:val="bottom"/>
          </w:tcPr>
          <w:p>
            <w:pPr>
              <w:spacing w:after="0"/>
              <w:rPr>
                <w:sz w:val="1"/>
                <w:szCs w:val="1"/>
                <w:color w:val="auto"/>
              </w:rPr>
            </w:pPr>
          </w:p>
        </w:tc>
      </w:tr>
      <w:tr>
        <w:trPr>
          <w:trHeight w:val="208"/>
        </w:trPr>
        <w:tc>
          <w:tcPr>
            <w:tcW w:w="7180" w:type="dxa"/>
            <w:vAlign w:val="bottom"/>
          </w:tcPr>
          <w:p>
            <w:pPr>
              <w:ind w:left="860"/>
              <w:spacing w:after="0" w:line="209" w:lineRule="exact"/>
              <w:rPr>
                <w:sz w:val="20"/>
                <w:szCs w:val="20"/>
                <w:color w:val="auto"/>
              </w:rPr>
            </w:pPr>
            <w:r>
              <w:rPr>
                <w:rFonts w:ascii="Arial" w:cs="Arial" w:eastAsia="Arial" w:hAnsi="Arial"/>
                <w:sz w:val="19"/>
                <w:szCs w:val="19"/>
                <w:b w:val="1"/>
                <w:bCs w:val="1"/>
                <w:color w:val="auto"/>
              </w:rPr>
              <w:t>Total stockholders’ equity</w:t>
            </w: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12,745</w:t>
            </w:r>
          </w:p>
        </w:tc>
        <w:tc>
          <w:tcPr>
            <w:tcW w:w="26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47,714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180" w:type="dxa"/>
            <w:vAlign w:val="bottom"/>
          </w:tcPr>
          <w:p>
            <w:pPr>
              <w:ind w:left="860"/>
              <w:spacing w:after="0" w:line="209" w:lineRule="exact"/>
              <w:rPr>
                <w:sz w:val="20"/>
                <w:szCs w:val="20"/>
                <w:color w:val="auto"/>
              </w:rPr>
            </w:pPr>
            <w:r>
              <w:rPr>
                <w:rFonts w:ascii="Arial" w:cs="Arial" w:eastAsia="Arial" w:hAnsi="Arial"/>
                <w:sz w:val="19"/>
                <w:szCs w:val="19"/>
                <w:b w:val="1"/>
                <w:bCs w:val="1"/>
                <w:color w:val="auto"/>
              </w:rPr>
              <w:t>Total liabilities and stockholders’ equity</w:t>
            </w:r>
          </w:p>
        </w:tc>
        <w:tc>
          <w:tcPr>
            <w:tcW w:w="280" w:type="dxa"/>
            <w:vAlign w:val="bottom"/>
            <w:tcBorders>
              <w:bottom w:val="single" w:sz="8" w:color="auto"/>
            </w:tcBorders>
          </w:tcPr>
          <w:p>
            <w:pPr>
              <w:jc w:val="right"/>
              <w:ind w:right="85"/>
              <w:spacing w:after="0" w:line="209" w:lineRule="exact"/>
              <w:rPr>
                <w:sz w:val="20"/>
                <w:szCs w:val="20"/>
                <w:color w:val="auto"/>
              </w:rPr>
            </w:pPr>
            <w:r>
              <w:rPr>
                <w:rFonts w:ascii="Arial" w:cs="Arial" w:eastAsia="Arial" w:hAnsi="Arial"/>
                <w:sz w:val="19"/>
                <w:szCs w:val="19"/>
                <w:color w:val="auto"/>
                <w:w w:val="75"/>
              </w:rPr>
              <w:t>$</w:t>
            </w:r>
          </w:p>
        </w:tc>
        <w:tc>
          <w:tcPr>
            <w:tcW w:w="100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41,201</w:t>
            </w:r>
          </w:p>
        </w:tc>
        <w:tc>
          <w:tcPr>
            <w:tcW w:w="260" w:type="dxa"/>
            <w:vAlign w:val="bottom"/>
          </w:tcPr>
          <w:p>
            <w:pPr>
              <w:spacing w:after="0"/>
              <w:rPr>
                <w:sz w:val="18"/>
                <w:szCs w:val="18"/>
                <w:color w:val="auto"/>
              </w:rPr>
            </w:pPr>
          </w:p>
        </w:tc>
        <w:tc>
          <w:tcPr>
            <w:tcW w:w="460" w:type="dxa"/>
            <w:vAlign w:val="bottom"/>
            <w:tcBorders>
              <w:bottom w:val="single" w:sz="8" w:color="auto"/>
            </w:tcBorders>
          </w:tcPr>
          <w:p>
            <w:pPr>
              <w:jc w:val="right"/>
              <w:ind w:right="265"/>
              <w:spacing w:after="0" w:line="209" w:lineRule="exact"/>
              <w:rPr>
                <w:sz w:val="20"/>
                <w:szCs w:val="20"/>
                <w:color w:val="auto"/>
              </w:rPr>
            </w:pPr>
            <w:r>
              <w:rPr>
                <w:rFonts w:ascii="Arial" w:cs="Arial" w:eastAsia="Arial" w:hAnsi="Arial"/>
                <w:sz w:val="19"/>
                <w:szCs w:val="19"/>
                <w:color w:val="auto"/>
                <w:w w:val="75"/>
              </w:rPr>
              <w:t>$</w:t>
            </w:r>
          </w:p>
        </w:tc>
        <w:tc>
          <w:tcPr>
            <w:tcW w:w="82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77,691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1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-5551805</wp:posOffset>
            </wp:positionV>
            <wp:extent cx="6438900" cy="53892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0">
                      <a:extLst>
                        <a:ext uri="{28A0092B-C50C-407E-A947-70E740481C1C}"/>
                      </a:extLst>
                    </a:blip>
                    <a:srcRect/>
                    <a:stretch>
                      <a:fillRect/>
                    </a:stretch>
                  </pic:blipFill>
                  <pic:spPr bwMode="auto">
                    <a:xfrm>
                      <a:off x="0" y="0"/>
                      <a:ext cx="6438900" cy="5389245"/>
                    </a:xfrm>
                    <a:prstGeom prst="rect">
                      <a:avLst/>
                    </a:prstGeom>
                    <a:noFill/>
                  </pic:spPr>
                </pic:pic>
              </a:graphicData>
            </a:graphic>
          </wp:anchor>
        </w:drawing>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F-3</w:t>
      </w:r>
    </w:p>
    <w:p>
      <w:pPr>
        <w:sectPr>
          <w:pgSz w:w="12240" w:h="15840" w:orient="portrait"/>
          <w:cols w:equalWidth="0" w:num="1">
            <w:col w:w="10120"/>
          </w:cols>
          <w:pgMar w:left="1060" w:top="1056" w:right="1060" w:bottom="173" w:gutter="0" w:footer="0" w:header="0"/>
        </w:sectPr>
      </w:pPr>
    </w:p>
    <w:bookmarkStart w:id="126" w:name="page127"/>
    <w:bookmarkEnd w:id="126"/>
    <w:p>
      <w:pPr>
        <w:jc w:val="center"/>
        <w:spacing w:after="0"/>
        <w:rPr>
          <w:sz w:val="20"/>
          <w:szCs w:val="20"/>
          <w:color w:val="auto"/>
        </w:rPr>
      </w:pPr>
      <w:r>
        <w:rPr>
          <w:rFonts w:ascii="Arial" w:cs="Arial" w:eastAsia="Arial" w:hAnsi="Arial"/>
          <w:sz w:val="20"/>
          <w:szCs w:val="20"/>
          <w:b w:val="1"/>
          <w:bCs w:val="1"/>
          <w:color w:val="auto"/>
        </w:rPr>
        <w:t>CANDEL THERAPEUTICS, INC.</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Operations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(In thousands, except share and per share amounts)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114935</wp:posOffset>
                </wp:positionV>
                <wp:extent cx="643763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76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9.05pt" to="506.45pt,9.05pt" o:allowincell="f" strokecolor="#000000" strokeweight="0.75pt"/>
            </w:pict>
          </mc:Fallback>
        </mc:AlternateConten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40" w:type="dxa"/>
            <w:vAlign w:val="bottom"/>
            <w:gridSpan w:val="5"/>
          </w:tcPr>
          <w:p>
            <w:pPr>
              <w:jc w:val="right"/>
              <w:ind w:right="520"/>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174"/>
        </w:trPr>
        <w:tc>
          <w:tcPr>
            <w:tcW w:w="6920" w:type="dxa"/>
            <w:vAlign w:val="bottom"/>
            <w:vMerge w:val="restart"/>
          </w:tcPr>
          <w:p>
            <w:pPr>
              <w:ind w:left="20"/>
              <w:spacing w:after="0"/>
              <w:rPr>
                <w:sz w:val="20"/>
                <w:szCs w:val="20"/>
                <w:color w:val="auto"/>
              </w:rPr>
            </w:pPr>
            <w:r>
              <w:rPr>
                <w:rFonts w:ascii="Arial" w:cs="Arial" w:eastAsia="Arial" w:hAnsi="Arial"/>
                <w:sz w:val="19"/>
                <w:szCs w:val="19"/>
                <w:b w:val="1"/>
                <w:bCs w:val="1"/>
                <w:color w:val="auto"/>
              </w:rPr>
              <w:t>Research and development service revenue, related party</w:t>
            </w:r>
          </w:p>
        </w:tc>
        <w:tc>
          <w:tcPr>
            <w:tcW w:w="2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27"/>
              <w:spacing w:after="0" w:line="174" w:lineRule="exact"/>
              <w:rPr>
                <w:sz w:val="20"/>
                <w:szCs w:val="20"/>
                <w:color w:val="auto"/>
              </w:rPr>
            </w:pPr>
            <w:r>
              <w:rPr>
                <w:rFonts w:ascii="Arial" w:cs="Arial" w:eastAsia="Arial" w:hAnsi="Arial"/>
                <w:sz w:val="16"/>
                <w:szCs w:val="16"/>
                <w:b w:val="1"/>
                <w:bCs w:val="1"/>
                <w:color w:val="auto"/>
              </w:rPr>
              <w:t>2023</w:t>
            </w:r>
          </w:p>
        </w:tc>
        <w:tc>
          <w:tcPr>
            <w:tcW w:w="280" w:type="dxa"/>
            <w:vAlign w:val="bottom"/>
            <w:tcBorders>
              <w:top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26"/>
              <w:spacing w:after="0" w:line="174" w:lineRule="exact"/>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6920" w:type="dxa"/>
            <w:vAlign w:val="bottom"/>
            <w:vMerge w:val="continue"/>
          </w:tcPr>
          <w:p>
            <w:pPr>
              <w:spacing w:after="0"/>
              <w:rPr>
                <w:sz w:val="18"/>
                <w:szCs w:val="18"/>
                <w:color w:val="auto"/>
              </w:rPr>
            </w:pPr>
          </w:p>
        </w:tc>
        <w:tc>
          <w:tcPr>
            <w:tcW w:w="260" w:type="dxa"/>
            <w:vAlign w:val="bottom"/>
            <w:tcBorders>
              <w:bottom w:val="single" w:sz="8" w:color="auto"/>
            </w:tcBorders>
          </w:tcPr>
          <w:p>
            <w:pPr>
              <w:jc w:val="right"/>
              <w:ind w:right="65"/>
              <w:spacing w:after="0" w:line="209" w:lineRule="exact"/>
              <w:rPr>
                <w:sz w:val="20"/>
                <w:szCs w:val="20"/>
                <w:color w:val="auto"/>
              </w:rPr>
            </w:pPr>
            <w:r>
              <w:rPr>
                <w:rFonts w:ascii="Arial" w:cs="Arial" w:eastAsia="Arial" w:hAnsi="Arial"/>
                <w:sz w:val="19"/>
                <w:szCs w:val="19"/>
                <w:color w:val="auto"/>
                <w:w w:val="75"/>
              </w:rPr>
              <w:t>$</w:t>
            </w:r>
          </w:p>
        </w:tc>
        <w:tc>
          <w:tcPr>
            <w:tcW w:w="114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w:t>
            </w:r>
          </w:p>
        </w:tc>
        <w:tc>
          <w:tcPr>
            <w:tcW w:w="280" w:type="dxa"/>
            <w:vAlign w:val="bottom"/>
          </w:tcPr>
          <w:p>
            <w:pPr>
              <w:spacing w:after="0"/>
              <w:rPr>
                <w:sz w:val="18"/>
                <w:szCs w:val="18"/>
                <w:color w:val="auto"/>
              </w:rPr>
            </w:pPr>
          </w:p>
        </w:tc>
        <w:tc>
          <w:tcPr>
            <w:tcW w:w="280" w:type="dxa"/>
            <w:vAlign w:val="bottom"/>
            <w:tcBorders>
              <w:bottom w:val="single" w:sz="8" w:color="auto"/>
            </w:tcBorders>
          </w:tcPr>
          <w:p>
            <w:pPr>
              <w:jc w:val="right"/>
              <w:ind w:right="85"/>
              <w:spacing w:after="0" w:line="209" w:lineRule="exact"/>
              <w:rPr>
                <w:sz w:val="20"/>
                <w:szCs w:val="20"/>
                <w:color w:val="auto"/>
              </w:rPr>
            </w:pPr>
            <w:r>
              <w:rPr>
                <w:rFonts w:ascii="Arial" w:cs="Arial" w:eastAsia="Arial" w:hAnsi="Arial"/>
                <w:sz w:val="19"/>
                <w:szCs w:val="19"/>
                <w:color w:val="auto"/>
                <w:w w:val="75"/>
              </w:rPr>
              <w:t>$</w:t>
            </w:r>
          </w:p>
        </w:tc>
        <w:tc>
          <w:tcPr>
            <w:tcW w:w="112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125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920" w:type="dxa"/>
            <w:vAlign w:val="bottom"/>
          </w:tcPr>
          <w:p>
            <w:pPr>
              <w:ind w:left="20"/>
              <w:spacing w:after="0" w:line="191" w:lineRule="exact"/>
              <w:rPr>
                <w:sz w:val="20"/>
                <w:szCs w:val="20"/>
                <w:color w:val="auto"/>
              </w:rPr>
            </w:pPr>
            <w:r>
              <w:rPr>
                <w:rFonts w:ascii="Arial" w:cs="Arial" w:eastAsia="Arial" w:hAnsi="Arial"/>
                <w:sz w:val="19"/>
                <w:szCs w:val="19"/>
                <w:b w:val="1"/>
                <w:bCs w:val="1"/>
                <w:color w:val="auto"/>
              </w:rPr>
              <w:t>Operating expenses:</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920" w:type="dxa"/>
            <w:vAlign w:val="bottom"/>
          </w:tcPr>
          <w:p>
            <w:pPr>
              <w:ind w:left="300"/>
              <w:spacing w:after="0"/>
              <w:rPr>
                <w:sz w:val="20"/>
                <w:szCs w:val="20"/>
                <w:color w:val="auto"/>
              </w:rPr>
            </w:pPr>
            <w:r>
              <w:rPr>
                <w:rFonts w:ascii="Arial" w:cs="Arial" w:eastAsia="Arial" w:hAnsi="Arial"/>
                <w:sz w:val="19"/>
                <w:szCs w:val="19"/>
                <w:color w:val="auto"/>
              </w:rPr>
              <w:t>Research and development</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9"/>
                <w:szCs w:val="19"/>
                <w:color w:val="auto"/>
              </w:rPr>
              <w:t>24,506</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20,787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920" w:type="dxa"/>
            <w:vAlign w:val="bottom"/>
          </w:tcPr>
          <w:p>
            <w:pPr>
              <w:ind w:left="300"/>
              <w:spacing w:after="0"/>
              <w:rPr>
                <w:sz w:val="20"/>
                <w:szCs w:val="20"/>
                <w:color w:val="auto"/>
              </w:rPr>
            </w:pPr>
            <w:r>
              <w:rPr>
                <w:rFonts w:ascii="Arial" w:cs="Arial" w:eastAsia="Arial" w:hAnsi="Arial"/>
                <w:sz w:val="19"/>
                <w:szCs w:val="19"/>
                <w:color w:val="auto"/>
              </w:rPr>
              <w:t>General and administrative</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13,885</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14,060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6920" w:type="dxa"/>
            <w:vAlign w:val="bottom"/>
          </w:tcPr>
          <w:p>
            <w:pPr>
              <w:ind w:left="860"/>
              <w:spacing w:after="0" w:line="209" w:lineRule="exact"/>
              <w:rPr>
                <w:sz w:val="20"/>
                <w:szCs w:val="20"/>
                <w:color w:val="auto"/>
              </w:rPr>
            </w:pPr>
            <w:r>
              <w:rPr>
                <w:rFonts w:ascii="Arial" w:cs="Arial" w:eastAsia="Arial" w:hAnsi="Arial"/>
                <w:sz w:val="19"/>
                <w:szCs w:val="19"/>
                <w:b w:val="1"/>
                <w:bCs w:val="1"/>
                <w:color w:val="auto"/>
              </w:rPr>
              <w:t>Total operating expenses</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38,391</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34,847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920" w:type="dxa"/>
            <w:vAlign w:val="bottom"/>
          </w:tcPr>
          <w:p>
            <w:pPr>
              <w:ind w:left="860"/>
              <w:spacing w:after="0" w:line="209" w:lineRule="exact"/>
              <w:rPr>
                <w:sz w:val="20"/>
                <w:szCs w:val="20"/>
                <w:color w:val="auto"/>
              </w:rPr>
            </w:pPr>
            <w:r>
              <w:rPr>
                <w:rFonts w:ascii="Arial" w:cs="Arial" w:eastAsia="Arial" w:hAnsi="Arial"/>
                <w:sz w:val="19"/>
                <w:szCs w:val="19"/>
                <w:b w:val="1"/>
                <w:bCs w:val="1"/>
                <w:color w:val="auto"/>
              </w:rPr>
              <w:t>Loss from operations</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(38,391)</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(34,722)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920" w:type="dxa"/>
            <w:vAlign w:val="bottom"/>
          </w:tcPr>
          <w:p>
            <w:pPr>
              <w:ind w:left="20"/>
              <w:spacing w:after="0" w:line="191" w:lineRule="exact"/>
              <w:rPr>
                <w:sz w:val="20"/>
                <w:szCs w:val="20"/>
                <w:color w:val="auto"/>
              </w:rPr>
            </w:pPr>
            <w:r>
              <w:rPr>
                <w:rFonts w:ascii="Arial" w:cs="Arial" w:eastAsia="Arial" w:hAnsi="Arial"/>
                <w:sz w:val="19"/>
                <w:szCs w:val="19"/>
                <w:b w:val="1"/>
                <w:bCs w:val="1"/>
                <w:color w:val="auto"/>
              </w:rPr>
              <w:t>Other income (expense):</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920" w:type="dxa"/>
            <w:vAlign w:val="bottom"/>
          </w:tcPr>
          <w:p>
            <w:pPr>
              <w:ind w:left="580"/>
              <w:spacing w:after="0"/>
              <w:rPr>
                <w:sz w:val="20"/>
                <w:szCs w:val="20"/>
                <w:color w:val="auto"/>
              </w:rPr>
            </w:pPr>
            <w:r>
              <w:rPr>
                <w:rFonts w:ascii="Arial" w:cs="Arial" w:eastAsia="Arial" w:hAnsi="Arial"/>
                <w:sz w:val="19"/>
                <w:szCs w:val="19"/>
                <w:color w:val="auto"/>
              </w:rPr>
              <w:t>Grant income</w:t>
            </w:r>
          </w:p>
        </w:tc>
        <w:tc>
          <w:tcPr>
            <w:tcW w:w="26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920" w:type="dxa"/>
            <w:vAlign w:val="bottom"/>
          </w:tcPr>
          <w:p>
            <w:pPr>
              <w:ind w:left="580"/>
              <w:spacing w:after="0"/>
              <w:rPr>
                <w:sz w:val="20"/>
                <w:szCs w:val="20"/>
                <w:color w:val="auto"/>
              </w:rPr>
            </w:pPr>
            <w:r>
              <w:rPr>
                <w:rFonts w:ascii="Arial" w:cs="Arial" w:eastAsia="Arial" w:hAnsi="Arial"/>
                <w:sz w:val="19"/>
                <w:szCs w:val="19"/>
                <w:color w:val="auto"/>
              </w:rPr>
              <w:t>Interest income</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9"/>
                <w:szCs w:val="19"/>
                <w:color w:val="auto"/>
              </w:rPr>
              <w:t>2,081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1,218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920" w:type="dxa"/>
            <w:vAlign w:val="bottom"/>
          </w:tcPr>
          <w:p>
            <w:pPr>
              <w:ind w:left="580"/>
              <w:spacing w:after="0"/>
              <w:rPr>
                <w:sz w:val="20"/>
                <w:szCs w:val="20"/>
                <w:color w:val="auto"/>
              </w:rPr>
            </w:pPr>
            <w:r>
              <w:rPr>
                <w:rFonts w:ascii="Arial" w:cs="Arial" w:eastAsia="Arial" w:hAnsi="Arial"/>
                <w:sz w:val="19"/>
                <w:szCs w:val="19"/>
                <w:color w:val="auto"/>
              </w:rPr>
              <w:t>Interest expense</w:t>
            </w: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9"/>
                <w:szCs w:val="19"/>
                <w:color w:val="auto"/>
              </w:rPr>
              <w:t>(2,595)</w:t>
            </w:r>
          </w:p>
        </w:tc>
        <w:tc>
          <w:tcPr>
            <w:tcW w:w="2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9"/>
                <w:szCs w:val="19"/>
                <w:color w:val="auto"/>
              </w:rPr>
              <w:t>(1,708)</w:t>
            </w:r>
          </w:p>
        </w:tc>
        <w:tc>
          <w:tcPr>
            <w:tcW w:w="0" w:type="dxa"/>
            <w:vAlign w:val="bottom"/>
          </w:tcPr>
          <w:p>
            <w:pPr>
              <w:spacing w:after="0"/>
              <w:rPr>
                <w:sz w:val="1"/>
                <w:szCs w:val="1"/>
                <w:color w:val="auto"/>
              </w:rPr>
            </w:pPr>
          </w:p>
        </w:tc>
      </w:tr>
      <w:tr>
        <w:trPr>
          <w:trHeight w:val="236"/>
        </w:trPr>
        <w:tc>
          <w:tcPr>
            <w:tcW w:w="6920" w:type="dxa"/>
            <w:vAlign w:val="bottom"/>
          </w:tcPr>
          <w:p>
            <w:pPr>
              <w:ind w:left="580"/>
              <w:spacing w:after="0"/>
              <w:rPr>
                <w:sz w:val="20"/>
                <w:szCs w:val="20"/>
                <w:color w:val="auto"/>
              </w:rPr>
            </w:pPr>
            <w:r>
              <w:rPr>
                <w:rFonts w:ascii="Arial" w:cs="Arial" w:eastAsia="Arial" w:hAnsi="Arial"/>
                <w:sz w:val="19"/>
                <w:szCs w:val="19"/>
                <w:color w:val="auto"/>
              </w:rPr>
              <w:t>Change in fair value of warrant liability</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966</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16,370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6920" w:type="dxa"/>
            <w:vAlign w:val="bottom"/>
          </w:tcPr>
          <w:p>
            <w:pPr>
              <w:ind w:left="860"/>
              <w:spacing w:after="0" w:line="209" w:lineRule="exact"/>
              <w:rPr>
                <w:sz w:val="20"/>
                <w:szCs w:val="20"/>
                <w:color w:val="auto"/>
              </w:rPr>
            </w:pPr>
            <w:r>
              <w:rPr>
                <w:rFonts w:ascii="Arial" w:cs="Arial" w:eastAsia="Arial" w:hAnsi="Arial"/>
                <w:sz w:val="19"/>
                <w:szCs w:val="19"/>
                <w:b w:val="1"/>
                <w:bCs w:val="1"/>
                <w:color w:val="auto"/>
              </w:rPr>
              <w:t>Total other income (expense), net</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452</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15,928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920" w:type="dxa"/>
            <w:vAlign w:val="bottom"/>
          </w:tcPr>
          <w:p>
            <w:pPr>
              <w:ind w:left="20"/>
              <w:spacing w:after="0" w:line="209" w:lineRule="exact"/>
              <w:rPr>
                <w:sz w:val="20"/>
                <w:szCs w:val="20"/>
                <w:color w:val="auto"/>
              </w:rPr>
            </w:pPr>
            <w:r>
              <w:rPr>
                <w:rFonts w:ascii="Arial" w:cs="Arial" w:eastAsia="Arial" w:hAnsi="Arial"/>
                <w:sz w:val="19"/>
                <w:szCs w:val="19"/>
                <w:b w:val="1"/>
                <w:bCs w:val="1"/>
                <w:color w:val="auto"/>
              </w:rPr>
              <w:t>Net loss and comprehensive loss</w:t>
            </w:r>
          </w:p>
        </w:tc>
        <w:tc>
          <w:tcPr>
            <w:tcW w:w="260" w:type="dxa"/>
            <w:vAlign w:val="bottom"/>
            <w:tcBorders>
              <w:bottom w:val="single" w:sz="8" w:color="auto"/>
            </w:tcBorders>
          </w:tcPr>
          <w:p>
            <w:pPr>
              <w:jc w:val="right"/>
              <w:ind w:right="65"/>
              <w:spacing w:after="0" w:line="209" w:lineRule="exact"/>
              <w:rPr>
                <w:sz w:val="20"/>
                <w:szCs w:val="20"/>
                <w:color w:val="auto"/>
              </w:rPr>
            </w:pPr>
            <w:r>
              <w:rPr>
                <w:rFonts w:ascii="Arial" w:cs="Arial" w:eastAsia="Arial" w:hAnsi="Arial"/>
                <w:sz w:val="19"/>
                <w:szCs w:val="19"/>
                <w:color w:val="auto"/>
                <w:w w:val="75"/>
              </w:rPr>
              <w:t>$</w:t>
            </w:r>
          </w:p>
        </w:tc>
        <w:tc>
          <w:tcPr>
            <w:tcW w:w="114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(37,939)</w:t>
            </w:r>
          </w:p>
        </w:tc>
        <w:tc>
          <w:tcPr>
            <w:tcW w:w="280" w:type="dxa"/>
            <w:vAlign w:val="bottom"/>
          </w:tcPr>
          <w:p>
            <w:pPr>
              <w:spacing w:after="0"/>
              <w:rPr>
                <w:sz w:val="18"/>
                <w:szCs w:val="18"/>
                <w:color w:val="auto"/>
              </w:rPr>
            </w:pPr>
          </w:p>
        </w:tc>
        <w:tc>
          <w:tcPr>
            <w:tcW w:w="280" w:type="dxa"/>
            <w:vAlign w:val="bottom"/>
            <w:tcBorders>
              <w:bottom w:val="single" w:sz="8" w:color="auto"/>
            </w:tcBorders>
          </w:tcPr>
          <w:p>
            <w:pPr>
              <w:jc w:val="right"/>
              <w:ind w:right="85"/>
              <w:spacing w:after="0" w:line="209" w:lineRule="exact"/>
              <w:rPr>
                <w:sz w:val="20"/>
                <w:szCs w:val="20"/>
                <w:color w:val="auto"/>
              </w:rPr>
            </w:pPr>
            <w:r>
              <w:rPr>
                <w:rFonts w:ascii="Arial" w:cs="Arial" w:eastAsia="Arial" w:hAnsi="Arial"/>
                <w:sz w:val="19"/>
                <w:szCs w:val="19"/>
                <w:color w:val="auto"/>
                <w:w w:val="75"/>
              </w:rPr>
              <w:t>$</w:t>
            </w:r>
          </w:p>
        </w:tc>
        <w:tc>
          <w:tcPr>
            <w:tcW w:w="112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(18,794)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vMerge w:val="restart"/>
          </w:tcPr>
          <w:p>
            <w:pPr>
              <w:ind w:left="20"/>
              <w:spacing w:after="0"/>
              <w:rPr>
                <w:sz w:val="20"/>
                <w:szCs w:val="20"/>
                <w:color w:val="auto"/>
              </w:rPr>
            </w:pPr>
            <w:r>
              <w:rPr>
                <w:rFonts w:ascii="Arial" w:cs="Arial" w:eastAsia="Arial" w:hAnsi="Arial"/>
                <w:sz w:val="19"/>
                <w:szCs w:val="19"/>
                <w:b w:val="1"/>
                <w:bCs w:val="1"/>
                <w:color w:val="auto"/>
              </w:rPr>
              <w:t>Net loss per share, basic and diluted</w:t>
            </w: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2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65"/>
              <w:spacing w:after="0" w:line="204" w:lineRule="exact"/>
              <w:rPr>
                <w:sz w:val="20"/>
                <w:szCs w:val="20"/>
                <w:color w:val="auto"/>
              </w:rPr>
            </w:pPr>
            <w:r>
              <w:rPr>
                <w:rFonts w:ascii="Arial" w:cs="Arial" w:eastAsia="Arial" w:hAnsi="Arial"/>
                <w:sz w:val="19"/>
                <w:szCs w:val="19"/>
                <w:color w:val="auto"/>
                <w:w w:val="75"/>
              </w:rPr>
              <w:t>$</w:t>
            </w:r>
          </w:p>
        </w:tc>
        <w:tc>
          <w:tcPr>
            <w:tcW w:w="114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9"/>
                <w:szCs w:val="19"/>
                <w:color w:val="auto"/>
              </w:rPr>
              <w:t>(1.31)</w:t>
            </w:r>
          </w:p>
        </w:tc>
        <w:tc>
          <w:tcPr>
            <w:tcW w:w="28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85"/>
              <w:spacing w:after="0" w:line="204" w:lineRule="exact"/>
              <w:rPr>
                <w:sz w:val="20"/>
                <w:szCs w:val="20"/>
                <w:color w:val="auto"/>
              </w:rPr>
            </w:pPr>
            <w:r>
              <w:rPr>
                <w:rFonts w:ascii="Arial" w:cs="Arial" w:eastAsia="Arial" w:hAnsi="Arial"/>
                <w:sz w:val="19"/>
                <w:szCs w:val="19"/>
                <w:color w:val="auto"/>
                <w:w w:val="75"/>
              </w:rPr>
              <w:t>$</w:t>
            </w:r>
          </w:p>
        </w:tc>
        <w:tc>
          <w:tcPr>
            <w:tcW w:w="112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9"/>
                <w:szCs w:val="19"/>
                <w:color w:val="auto"/>
              </w:rPr>
              <w:t>(0.65)</w:t>
            </w:r>
          </w:p>
        </w:tc>
        <w:tc>
          <w:tcPr>
            <w:tcW w:w="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20" w:type="dxa"/>
            <w:vAlign w:val="bottom"/>
            <w:vMerge w:val="restart"/>
          </w:tcPr>
          <w:p>
            <w:pPr>
              <w:ind w:left="20"/>
              <w:spacing w:after="0"/>
              <w:rPr>
                <w:sz w:val="20"/>
                <w:szCs w:val="20"/>
                <w:color w:val="auto"/>
              </w:rPr>
            </w:pPr>
            <w:r>
              <w:rPr>
                <w:rFonts w:ascii="Arial" w:cs="Arial" w:eastAsia="Arial" w:hAnsi="Arial"/>
                <w:sz w:val="19"/>
                <w:szCs w:val="19"/>
                <w:b w:val="1"/>
                <w:bCs w:val="1"/>
                <w:color w:val="auto"/>
              </w:rPr>
              <w:t>Weighted-average common shares outstanding, basic and diluted</w:t>
            </w: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20" w:type="dxa"/>
            <w:vAlign w:val="bottom"/>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9"/>
                <w:szCs w:val="19"/>
                <w:color w:val="auto"/>
              </w:rPr>
              <w:t>28,935,289</w:t>
            </w:r>
          </w:p>
        </w:tc>
        <w:tc>
          <w:tcPr>
            <w:tcW w:w="2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9"/>
                <w:szCs w:val="19"/>
                <w:color w:val="auto"/>
              </w:rPr>
              <w:t>28,823,480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9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-2383155</wp:posOffset>
            </wp:positionV>
            <wp:extent cx="6438900" cy="2220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1">
                      <a:extLst>
                        <a:ext uri="{28A0092B-C50C-407E-A947-70E740481C1C}"/>
                      </a:extLst>
                    </a:blip>
                    <a:srcRect/>
                    <a:stretch>
                      <a:fillRect/>
                    </a:stretch>
                  </pic:blipFill>
                  <pic:spPr bwMode="auto">
                    <a:xfrm>
                      <a:off x="0" y="0"/>
                      <a:ext cx="6438900" cy="2220595"/>
                    </a:xfrm>
                    <a:prstGeom prst="rect">
                      <a:avLst/>
                    </a:prstGeom>
                    <a:noFill/>
                  </pic:spPr>
                </pic:pic>
              </a:graphicData>
            </a:graphic>
          </wp:anchor>
        </w:drawing>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F-4</w:t>
      </w:r>
    </w:p>
    <w:p>
      <w:pPr>
        <w:sectPr>
          <w:pgSz w:w="12240" w:h="15840" w:orient="portrait"/>
          <w:cols w:equalWidth="0" w:num="1">
            <w:col w:w="10120"/>
          </w:cols>
          <w:pgMar w:left="1060" w:top="1056" w:right="1060" w:bottom="173" w:gutter="0" w:footer="0" w:header="0"/>
        </w:sectPr>
      </w:pPr>
    </w:p>
    <w:bookmarkStart w:id="127" w:name="page128"/>
    <w:bookmarkEnd w:id="127"/>
    <w:p>
      <w:pPr>
        <w:jc w:val="center"/>
        <w:spacing w:after="0"/>
        <w:rPr>
          <w:sz w:val="20"/>
          <w:szCs w:val="20"/>
          <w:color w:val="auto"/>
        </w:rPr>
      </w:pPr>
      <w:r>
        <w:rPr>
          <w:rFonts w:ascii="Arial" w:cs="Arial" w:eastAsia="Arial" w:hAnsi="Arial"/>
          <w:sz w:val="20"/>
          <w:szCs w:val="20"/>
          <w:b w:val="1"/>
          <w:bCs w:val="1"/>
          <w:color w:val="auto"/>
        </w:rPr>
        <w:t>CANDEL THERAPEUTICS, INC.</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Stockholders’ Equity</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(In thousands, except share and per share amounts)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229235</wp:posOffset>
                </wp:positionV>
                <wp:extent cx="9180830"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808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18.05pt" to="722.45pt,18.05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329565</wp:posOffset>
                </wp:positionV>
                <wp:extent cx="9180830"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808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25.95pt" to="722.45pt,25.95pt" o:allowincell="f" strokecolor="#000000" strokeweight="0.75pt"/>
            </w:pict>
          </mc:Fallback>
        </mc:AlternateConten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80" w:type="dxa"/>
            <w:vAlign w:val="bottom"/>
          </w:tcPr>
          <w:p>
            <w:pPr>
              <w:spacing w:after="0"/>
              <w:rPr>
                <w:sz w:val="16"/>
                <w:szCs w:val="16"/>
                <w:color w:val="auto"/>
              </w:rPr>
            </w:pPr>
          </w:p>
        </w:tc>
        <w:tc>
          <w:tcPr>
            <w:tcW w:w="2640" w:type="dxa"/>
            <w:vAlign w:val="bottom"/>
            <w:gridSpan w:val="4"/>
          </w:tcPr>
          <w:p>
            <w:pPr>
              <w:jc w:val="right"/>
              <w:ind w:right="625"/>
              <w:spacing w:after="0"/>
              <w:rPr>
                <w:sz w:val="20"/>
                <w:szCs w:val="20"/>
                <w:color w:val="auto"/>
              </w:rPr>
            </w:pPr>
            <w:r>
              <w:rPr>
                <w:rFonts w:ascii="Arial" w:cs="Arial" w:eastAsia="Arial" w:hAnsi="Arial"/>
                <w:sz w:val="15"/>
                <w:szCs w:val="15"/>
                <w:b w:val="1"/>
                <w:bCs w:val="1"/>
                <w:color w:val="auto"/>
              </w:rPr>
              <w:t>COMMON STOCK</w:t>
            </w:r>
          </w:p>
        </w:tc>
        <w:tc>
          <w:tcPr>
            <w:tcW w:w="280" w:type="dxa"/>
            <w:vAlign w:val="bottom"/>
          </w:tcPr>
          <w:p>
            <w:pPr>
              <w:spacing w:after="0"/>
              <w:rPr>
                <w:sz w:val="16"/>
                <w:szCs w:val="16"/>
                <w:color w:val="auto"/>
              </w:rPr>
            </w:pPr>
          </w:p>
        </w:tc>
        <w:tc>
          <w:tcPr>
            <w:tcW w:w="2900" w:type="dxa"/>
            <w:vAlign w:val="bottom"/>
            <w:gridSpan w:val="5"/>
          </w:tcPr>
          <w:p>
            <w:pPr>
              <w:jc w:val="right"/>
              <w:ind w:right="900"/>
              <w:spacing w:after="0"/>
              <w:rPr>
                <w:sz w:val="20"/>
                <w:szCs w:val="20"/>
                <w:color w:val="auto"/>
              </w:rPr>
            </w:pPr>
            <w:r>
              <w:rPr>
                <w:rFonts w:ascii="Arial" w:cs="Arial" w:eastAsia="Arial" w:hAnsi="Arial"/>
                <w:sz w:val="15"/>
                <w:szCs w:val="15"/>
                <w:b w:val="1"/>
                <w:bCs w:val="1"/>
                <w:color w:val="auto"/>
              </w:rPr>
              <w:t>TREASURY STOCK</w:t>
            </w:r>
          </w:p>
        </w:tc>
        <w:tc>
          <w:tcPr>
            <w:tcW w:w="160" w:type="dxa"/>
            <w:vAlign w:val="bottom"/>
          </w:tcPr>
          <w:p>
            <w:pPr>
              <w:spacing w:after="0"/>
              <w:rPr>
                <w:sz w:val="16"/>
                <w:szCs w:val="16"/>
                <w:color w:val="auto"/>
              </w:rPr>
            </w:pPr>
          </w:p>
        </w:tc>
        <w:tc>
          <w:tcPr>
            <w:tcW w:w="1520" w:type="dxa"/>
            <w:vAlign w:val="bottom"/>
            <w:gridSpan w:val="2"/>
            <w:vMerge w:val="restart"/>
          </w:tcPr>
          <w:p>
            <w:pPr>
              <w:jc w:val="right"/>
              <w:ind w:right="520"/>
              <w:spacing w:after="0"/>
              <w:rPr>
                <w:sz w:val="20"/>
                <w:szCs w:val="20"/>
                <w:color w:val="auto"/>
              </w:rPr>
            </w:pPr>
            <w:r>
              <w:rPr>
                <w:rFonts w:ascii="Arial" w:cs="Arial" w:eastAsia="Arial" w:hAnsi="Arial"/>
                <w:sz w:val="15"/>
                <w:szCs w:val="15"/>
                <w:b w:val="1"/>
                <w:bCs w:val="1"/>
                <w:color w:val="auto"/>
              </w:rPr>
              <w:t>ADDITIONAL</w:t>
            </w:r>
          </w:p>
        </w:tc>
        <w:tc>
          <w:tcPr>
            <w:tcW w:w="200" w:type="dxa"/>
            <w:vAlign w:val="bottom"/>
          </w:tcPr>
          <w:p>
            <w:pPr>
              <w:spacing w:after="0"/>
              <w:rPr>
                <w:sz w:val="16"/>
                <w:szCs w:val="16"/>
                <w:color w:val="auto"/>
              </w:rPr>
            </w:pPr>
          </w:p>
        </w:tc>
        <w:tc>
          <w:tcPr>
            <w:tcW w:w="1860" w:type="dxa"/>
            <w:vAlign w:val="bottom"/>
            <w:gridSpan w:val="2"/>
            <w:vMerge w:val="restart"/>
          </w:tcPr>
          <w:p>
            <w:pPr>
              <w:jc w:val="right"/>
              <w:ind w:right="600"/>
              <w:spacing w:after="0"/>
              <w:rPr>
                <w:sz w:val="20"/>
                <w:szCs w:val="20"/>
                <w:color w:val="auto"/>
              </w:rPr>
            </w:pPr>
            <w:r>
              <w:rPr>
                <w:rFonts w:ascii="Arial" w:cs="Arial" w:eastAsia="Arial" w:hAnsi="Arial"/>
                <w:sz w:val="15"/>
                <w:szCs w:val="15"/>
                <w:b w:val="1"/>
                <w:bCs w:val="1"/>
                <w:color w:val="auto"/>
              </w:rPr>
              <w:t>ACCUMULATED</w:t>
            </w:r>
          </w:p>
        </w:tc>
        <w:tc>
          <w:tcPr>
            <w:tcW w:w="220" w:type="dxa"/>
            <w:vAlign w:val="bottom"/>
          </w:tcPr>
          <w:p>
            <w:pPr>
              <w:spacing w:after="0"/>
              <w:rPr>
                <w:sz w:val="16"/>
                <w:szCs w:val="16"/>
                <w:color w:val="auto"/>
              </w:rPr>
            </w:pPr>
          </w:p>
        </w:tc>
        <w:tc>
          <w:tcPr>
            <w:tcW w:w="1980" w:type="dxa"/>
            <w:vAlign w:val="bottom"/>
            <w:gridSpan w:val="2"/>
            <w:vMerge w:val="restart"/>
          </w:tcPr>
          <w:p>
            <w:pPr>
              <w:jc w:val="right"/>
              <w:ind w:right="540"/>
              <w:spacing w:after="0"/>
              <w:rPr>
                <w:sz w:val="20"/>
                <w:szCs w:val="20"/>
                <w:color w:val="auto"/>
              </w:rPr>
            </w:pPr>
            <w:r>
              <w:rPr>
                <w:rFonts w:ascii="Arial" w:cs="Arial" w:eastAsia="Arial" w:hAnsi="Arial"/>
                <w:sz w:val="15"/>
                <w:szCs w:val="15"/>
                <w:b w:val="1"/>
                <w:bCs w:val="1"/>
                <w:color w:val="auto"/>
              </w:rPr>
              <w:t>STOCKHOLDERS’</w:t>
            </w:r>
          </w:p>
        </w:tc>
        <w:tc>
          <w:tcPr>
            <w:tcW w:w="0" w:type="dxa"/>
            <w:vAlign w:val="bottom"/>
          </w:tcPr>
          <w:p>
            <w:pPr>
              <w:spacing w:after="0"/>
              <w:rPr>
                <w:sz w:val="1"/>
                <w:szCs w:val="1"/>
                <w:color w:val="auto"/>
              </w:rPr>
            </w:pPr>
          </w:p>
        </w:tc>
      </w:tr>
      <w:tr>
        <w:trPr>
          <w:trHeight w:val="145"/>
        </w:trPr>
        <w:tc>
          <w:tcPr>
            <w:tcW w:w="268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68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Balance as of December 31, 2021</w:t>
            </w:r>
          </w:p>
        </w:tc>
        <w:tc>
          <w:tcPr>
            <w:tcW w:w="1280" w:type="dxa"/>
            <w:vAlign w:val="bottom"/>
          </w:tcPr>
          <w:p>
            <w:pPr>
              <w:jc w:val="right"/>
              <w:ind w:right="265"/>
              <w:spacing w:after="0"/>
              <w:rPr>
                <w:sz w:val="20"/>
                <w:szCs w:val="20"/>
                <w:color w:val="auto"/>
              </w:rPr>
            </w:pPr>
            <w:r>
              <w:rPr>
                <w:rFonts w:ascii="Arial" w:cs="Arial" w:eastAsia="Arial" w:hAnsi="Arial"/>
                <w:sz w:val="15"/>
                <w:szCs w:val="15"/>
                <w:b w:val="1"/>
                <w:bCs w:val="1"/>
                <w:color w:val="auto"/>
              </w:rPr>
              <w:t>SHARES</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145"/>
              <w:spacing w:after="0"/>
              <w:rPr>
                <w:sz w:val="20"/>
                <w:szCs w:val="20"/>
                <w:color w:val="auto"/>
              </w:rPr>
            </w:pPr>
            <w:r>
              <w:rPr>
                <w:rFonts w:ascii="Arial" w:cs="Arial" w:eastAsia="Arial" w:hAnsi="Arial"/>
                <w:sz w:val="15"/>
                <w:szCs w:val="15"/>
                <w:b w:val="1"/>
                <w:bCs w:val="1"/>
                <w:color w:val="auto"/>
              </w:rPr>
              <w:t>AMOUNT</w:t>
            </w:r>
          </w:p>
        </w:tc>
        <w:tc>
          <w:tcPr>
            <w:tcW w:w="280" w:type="dxa"/>
            <w:vAlign w:val="bottom"/>
          </w:tcPr>
          <w:p>
            <w:pPr>
              <w:spacing w:after="0"/>
              <w:rPr>
                <w:sz w:val="16"/>
                <w:szCs w:val="16"/>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5"/>
                <w:szCs w:val="15"/>
                <w:b w:val="1"/>
                <w:bCs w:val="1"/>
                <w:color w:val="auto"/>
              </w:rPr>
              <w:t>SHARES</w:t>
            </w:r>
          </w:p>
        </w:tc>
        <w:tc>
          <w:tcPr>
            <w:tcW w:w="160" w:type="dxa"/>
            <w:vAlign w:val="bottom"/>
          </w:tcPr>
          <w:p>
            <w:pPr>
              <w:spacing w:after="0"/>
              <w:rPr>
                <w:sz w:val="16"/>
                <w:szCs w:val="16"/>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5"/>
                <w:szCs w:val="15"/>
                <w:b w:val="1"/>
                <w:bCs w:val="1"/>
                <w:color w:val="auto"/>
              </w:rPr>
              <w:t>AMOUNT</w:t>
            </w:r>
          </w:p>
        </w:tc>
        <w:tc>
          <w:tcPr>
            <w:tcW w:w="1680" w:type="dxa"/>
            <w:vAlign w:val="bottom"/>
            <w:gridSpan w:val="3"/>
          </w:tcPr>
          <w:p>
            <w:pPr>
              <w:jc w:val="right"/>
              <w:ind w:right="360"/>
              <w:spacing w:after="0"/>
              <w:rPr>
                <w:sz w:val="20"/>
                <w:szCs w:val="20"/>
                <w:color w:val="auto"/>
              </w:rPr>
            </w:pPr>
            <w:r>
              <w:rPr>
                <w:rFonts w:ascii="Arial" w:cs="Arial" w:eastAsia="Arial" w:hAnsi="Arial"/>
                <w:sz w:val="15"/>
                <w:szCs w:val="15"/>
                <w:b w:val="1"/>
                <w:bCs w:val="1"/>
                <w:color w:val="auto"/>
              </w:rPr>
              <w:t>PAID-IN CAPITAL</w:t>
            </w:r>
          </w:p>
        </w:tc>
        <w:tc>
          <w:tcPr>
            <w:tcW w:w="200" w:type="dxa"/>
            <w:vAlign w:val="bottom"/>
          </w:tcPr>
          <w:p>
            <w:pPr>
              <w:spacing w:after="0"/>
              <w:rPr>
                <w:sz w:val="16"/>
                <w:szCs w:val="16"/>
                <w:color w:val="auto"/>
              </w:rPr>
            </w:pPr>
          </w:p>
        </w:tc>
        <w:tc>
          <w:tcPr>
            <w:tcW w:w="1860" w:type="dxa"/>
            <w:vAlign w:val="bottom"/>
            <w:gridSpan w:val="2"/>
          </w:tcPr>
          <w:p>
            <w:pPr>
              <w:jc w:val="right"/>
              <w:ind w:right="880"/>
              <w:spacing w:after="0"/>
              <w:rPr>
                <w:sz w:val="20"/>
                <w:szCs w:val="20"/>
                <w:color w:val="auto"/>
              </w:rPr>
            </w:pPr>
            <w:r>
              <w:rPr>
                <w:rFonts w:ascii="Arial" w:cs="Arial" w:eastAsia="Arial" w:hAnsi="Arial"/>
                <w:sz w:val="15"/>
                <w:szCs w:val="15"/>
                <w:b w:val="1"/>
                <w:bCs w:val="1"/>
                <w:color w:val="auto"/>
              </w:rPr>
              <w:t>DEFICIT</w:t>
            </w:r>
          </w:p>
        </w:tc>
        <w:tc>
          <w:tcPr>
            <w:tcW w:w="220" w:type="dxa"/>
            <w:vAlign w:val="bottom"/>
          </w:tcPr>
          <w:p>
            <w:pPr>
              <w:spacing w:after="0"/>
              <w:rPr>
                <w:sz w:val="16"/>
                <w:szCs w:val="16"/>
                <w:color w:val="auto"/>
              </w:rPr>
            </w:pPr>
          </w:p>
        </w:tc>
        <w:tc>
          <w:tcPr>
            <w:tcW w:w="1980" w:type="dxa"/>
            <w:vAlign w:val="bottom"/>
            <w:gridSpan w:val="2"/>
          </w:tcPr>
          <w:p>
            <w:pPr>
              <w:jc w:val="right"/>
              <w:ind w:right="900"/>
              <w:spacing w:after="0"/>
              <w:rPr>
                <w:sz w:val="20"/>
                <w:szCs w:val="20"/>
                <w:color w:val="auto"/>
              </w:rPr>
            </w:pPr>
            <w:r>
              <w:rPr>
                <w:rFonts w:ascii="Arial" w:cs="Arial" w:eastAsia="Arial" w:hAnsi="Arial"/>
                <w:sz w:val="15"/>
                <w:szCs w:val="15"/>
                <w:b w:val="1"/>
                <w:bCs w:val="1"/>
                <w:color w:val="auto"/>
              </w:rPr>
              <w:t>EQUITY</w:t>
            </w:r>
          </w:p>
        </w:tc>
        <w:tc>
          <w:tcPr>
            <w:tcW w:w="0" w:type="dxa"/>
            <w:vAlign w:val="bottom"/>
          </w:tcPr>
          <w:p>
            <w:pPr>
              <w:spacing w:after="0"/>
              <w:rPr>
                <w:sz w:val="1"/>
                <w:szCs w:val="1"/>
                <w:color w:val="auto"/>
              </w:rPr>
            </w:pPr>
          </w:p>
        </w:tc>
      </w:tr>
      <w:tr>
        <w:trPr>
          <w:trHeight w:val="147"/>
        </w:trPr>
        <w:tc>
          <w:tcPr>
            <w:tcW w:w="2680" w:type="dxa"/>
            <w:vAlign w:val="bottom"/>
            <w:vMerge w:val="continue"/>
          </w:tcPr>
          <w:p>
            <w:pPr>
              <w:spacing w:after="0"/>
              <w:rPr>
                <w:sz w:val="12"/>
                <w:szCs w:val="12"/>
                <w:color w:val="auto"/>
              </w:rPr>
            </w:pPr>
          </w:p>
        </w:tc>
        <w:tc>
          <w:tcPr>
            <w:tcW w:w="128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5"/>
                <w:szCs w:val="15"/>
                <w:color w:val="auto"/>
              </w:rPr>
              <w:t>28,689,842</w:t>
            </w:r>
          </w:p>
        </w:tc>
        <w:tc>
          <w:tcPr>
            <w:tcW w:w="280" w:type="dxa"/>
            <w:vAlign w:val="bottom"/>
          </w:tcPr>
          <w:p>
            <w:pPr>
              <w:spacing w:after="0"/>
              <w:rPr>
                <w:sz w:val="12"/>
                <w:szCs w:val="12"/>
                <w:color w:val="auto"/>
              </w:rPr>
            </w:pPr>
          </w:p>
        </w:tc>
        <w:tc>
          <w:tcPr>
            <w:tcW w:w="14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5"/>
                <w:szCs w:val="15"/>
                <w:color w:val="auto"/>
              </w:rPr>
              <w:t>286</w:t>
            </w:r>
          </w:p>
        </w:tc>
        <w:tc>
          <w:tcPr>
            <w:tcW w:w="280" w:type="dxa"/>
            <w:vAlign w:val="bottom"/>
          </w:tcPr>
          <w:p>
            <w:pPr>
              <w:spacing w:after="0"/>
              <w:rPr>
                <w:sz w:val="12"/>
                <w:szCs w:val="12"/>
                <w:color w:val="auto"/>
              </w:rPr>
            </w:pPr>
          </w:p>
        </w:tc>
        <w:tc>
          <w:tcPr>
            <w:tcW w:w="120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2"/>
                <w:szCs w:val="12"/>
                <w:color w:val="auto"/>
              </w:rPr>
            </w:pPr>
          </w:p>
        </w:tc>
        <w:tc>
          <w:tcPr>
            <w:tcW w:w="160" w:type="dxa"/>
            <w:vAlign w:val="bottom"/>
            <w:tcBorders>
              <w:top w:val="single" w:sz="8" w:color="auto"/>
            </w:tcBorders>
          </w:tcPr>
          <w:p>
            <w:pPr>
              <w:jc w:val="right"/>
              <w:ind w:right="5"/>
              <w:spacing w:after="0" w:line="148" w:lineRule="exact"/>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2"/>
                <w:szCs w:val="12"/>
                <w:color w:val="auto"/>
              </w:rPr>
            </w:pPr>
          </w:p>
        </w:tc>
        <w:tc>
          <w:tcPr>
            <w:tcW w:w="160" w:type="dxa"/>
            <w:vAlign w:val="bottom"/>
            <w:tcBorders>
              <w:top w:val="single" w:sz="8" w:color="auto"/>
            </w:tcBorders>
          </w:tcPr>
          <w:p>
            <w:pPr>
              <w:jc w:val="right"/>
              <w:ind w:right="5"/>
              <w:spacing w:after="0" w:line="148" w:lineRule="exact"/>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5"/>
                <w:szCs w:val="15"/>
                <w:color w:val="auto"/>
              </w:rPr>
              <w:t>144,146</w:t>
            </w:r>
          </w:p>
        </w:tc>
        <w:tc>
          <w:tcPr>
            <w:tcW w:w="300" w:type="dxa"/>
            <w:vAlign w:val="bottom"/>
          </w:tcPr>
          <w:p>
            <w:pPr>
              <w:spacing w:after="0"/>
              <w:rPr>
                <w:sz w:val="12"/>
                <w:szCs w:val="12"/>
                <w:color w:val="auto"/>
              </w:rPr>
            </w:pPr>
          </w:p>
        </w:tc>
        <w:tc>
          <w:tcPr>
            <w:tcW w:w="200" w:type="dxa"/>
            <w:vAlign w:val="bottom"/>
            <w:tcBorders>
              <w:top w:val="single" w:sz="8" w:color="auto"/>
            </w:tcBorders>
          </w:tcPr>
          <w:p>
            <w:pPr>
              <w:jc w:val="right"/>
              <w:ind w:right="45"/>
              <w:spacing w:after="0" w:line="148" w:lineRule="exact"/>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5"/>
                <w:szCs w:val="15"/>
                <w:color w:val="auto"/>
              </w:rPr>
              <w:t>(80,295)</w:t>
            </w:r>
          </w:p>
        </w:tc>
        <w:tc>
          <w:tcPr>
            <w:tcW w:w="280" w:type="dxa"/>
            <w:vAlign w:val="bottom"/>
          </w:tcPr>
          <w:p>
            <w:pPr>
              <w:spacing w:after="0"/>
              <w:rPr>
                <w:sz w:val="12"/>
                <w:szCs w:val="12"/>
                <w:color w:val="auto"/>
              </w:rPr>
            </w:pPr>
          </w:p>
        </w:tc>
        <w:tc>
          <w:tcPr>
            <w:tcW w:w="220" w:type="dxa"/>
            <w:vAlign w:val="bottom"/>
            <w:tcBorders>
              <w:top w:val="single" w:sz="8" w:color="auto"/>
            </w:tcBorders>
          </w:tcPr>
          <w:p>
            <w:pPr>
              <w:jc w:val="right"/>
              <w:ind w:right="65"/>
              <w:spacing w:after="0" w:line="148" w:lineRule="exact"/>
              <w:rPr>
                <w:sz w:val="20"/>
                <w:szCs w:val="20"/>
                <w:color w:val="auto"/>
              </w:rPr>
            </w:pPr>
            <w:r>
              <w:rPr>
                <w:rFonts w:ascii="Arial" w:cs="Arial" w:eastAsia="Arial" w:hAnsi="Arial"/>
                <w:sz w:val="15"/>
                <w:szCs w:val="15"/>
                <w:color w:val="auto"/>
                <w:w w:val="71"/>
              </w:rPr>
              <w:t>$</w:t>
            </w:r>
          </w:p>
        </w:tc>
        <w:tc>
          <w:tcPr>
            <w:tcW w:w="182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5"/>
                <w:szCs w:val="15"/>
                <w:color w:val="auto"/>
              </w:rPr>
              <w:t>64,137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680" w:type="dxa"/>
            <w:vAlign w:val="bottom"/>
          </w:tcPr>
          <w:p>
            <w:pPr>
              <w:ind w:left="20"/>
              <w:spacing w:after="0"/>
              <w:rPr>
                <w:sz w:val="20"/>
                <w:szCs w:val="20"/>
                <w:color w:val="auto"/>
              </w:rPr>
            </w:pPr>
            <w:r>
              <w:rPr>
                <w:rFonts w:ascii="Arial" w:cs="Arial" w:eastAsia="Arial" w:hAnsi="Arial"/>
                <w:sz w:val="15"/>
                <w:szCs w:val="15"/>
                <w:color w:val="auto"/>
              </w:rPr>
              <w:t>Options exercised</w:t>
            </w:r>
          </w:p>
        </w:tc>
        <w:tc>
          <w:tcPr>
            <w:tcW w:w="1280" w:type="dxa"/>
            <w:vAlign w:val="bottom"/>
          </w:tcPr>
          <w:p>
            <w:pPr>
              <w:jc w:val="right"/>
              <w:spacing w:after="0"/>
              <w:rPr>
                <w:sz w:val="20"/>
                <w:szCs w:val="20"/>
                <w:color w:val="auto"/>
              </w:rPr>
            </w:pPr>
            <w:r>
              <w:rPr>
                <w:rFonts w:ascii="Arial" w:cs="Arial" w:eastAsia="Arial" w:hAnsi="Arial"/>
                <w:sz w:val="15"/>
                <w:szCs w:val="15"/>
                <w:color w:val="auto"/>
              </w:rPr>
              <w:t>352,576</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w:t>
            </w:r>
          </w:p>
        </w:tc>
        <w:tc>
          <w:tcPr>
            <w:tcW w:w="280" w:type="dxa"/>
            <w:vAlign w:val="bottom"/>
          </w:tcPr>
          <w:p>
            <w:pPr>
              <w:spacing w:after="0"/>
              <w:rPr>
                <w:sz w:val="14"/>
                <w:szCs w:val="14"/>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508</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Arial" w:cs="Arial" w:eastAsia="Arial" w:hAnsi="Arial"/>
                <w:sz w:val="15"/>
                <w:szCs w:val="15"/>
                <w:color w:val="auto"/>
              </w:rPr>
              <w:t>512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680" w:type="dxa"/>
            <w:vAlign w:val="bottom"/>
          </w:tcPr>
          <w:p>
            <w:pPr>
              <w:ind w:left="20"/>
              <w:spacing w:after="0"/>
              <w:rPr>
                <w:sz w:val="20"/>
                <w:szCs w:val="20"/>
                <w:color w:val="auto"/>
              </w:rPr>
            </w:pPr>
            <w:r>
              <w:rPr>
                <w:rFonts w:ascii="Arial" w:cs="Arial" w:eastAsia="Arial" w:hAnsi="Arial"/>
                <w:sz w:val="15"/>
                <w:szCs w:val="15"/>
                <w:color w:val="auto"/>
              </w:rPr>
              <w:t>Treasury stock acquired</w:t>
            </w: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60" w:type="dxa"/>
            <w:vAlign w:val="bottom"/>
            <w:gridSpan w:val="3"/>
          </w:tcPr>
          <w:p>
            <w:pPr>
              <w:jc w:val="right"/>
              <w:ind w:right="240"/>
              <w:spacing w:after="0"/>
              <w:rPr>
                <w:sz w:val="20"/>
                <w:szCs w:val="20"/>
                <w:color w:val="auto"/>
              </w:rPr>
            </w:pPr>
            <w:r>
              <w:rPr>
                <w:rFonts w:ascii="Arial" w:cs="Arial" w:eastAsia="Arial" w:hAnsi="Arial"/>
                <w:sz w:val="15"/>
                <w:szCs w:val="15"/>
                <w:color w:val="auto"/>
              </w:rPr>
              <w:t>(122,608)</w:t>
            </w:r>
          </w:p>
        </w:tc>
        <w:tc>
          <w:tcPr>
            <w:tcW w:w="16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5"/>
                <w:szCs w:val="15"/>
                <w:color w:val="auto"/>
              </w:rPr>
              <w:t>(448)</w:t>
            </w:r>
          </w:p>
        </w:tc>
        <w:tc>
          <w:tcPr>
            <w:tcW w:w="160" w:type="dxa"/>
            <w:vAlign w:val="bottom"/>
          </w:tcPr>
          <w:p>
            <w:pPr>
              <w:spacing w:after="0"/>
              <w:rPr>
                <w:sz w:val="14"/>
                <w:szCs w:val="14"/>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gridSpan w:val="2"/>
          </w:tcPr>
          <w:p>
            <w:pPr>
              <w:jc w:val="right"/>
              <w:ind w:right="120"/>
              <w:spacing w:after="0"/>
              <w:rPr>
                <w:sz w:val="20"/>
                <w:szCs w:val="20"/>
                <w:color w:val="auto"/>
              </w:rPr>
            </w:pPr>
            <w:r>
              <w:rPr>
                <w:rFonts w:ascii="Arial" w:cs="Arial" w:eastAsia="Arial" w:hAnsi="Arial"/>
                <w:sz w:val="15"/>
                <w:szCs w:val="15"/>
                <w:color w:val="auto"/>
              </w:rPr>
              <w:t>(448)</w:t>
            </w:r>
          </w:p>
        </w:tc>
        <w:tc>
          <w:tcPr>
            <w:tcW w:w="0" w:type="dxa"/>
            <w:vAlign w:val="bottom"/>
          </w:tcPr>
          <w:p>
            <w:pPr>
              <w:spacing w:after="0"/>
              <w:rPr>
                <w:sz w:val="1"/>
                <w:szCs w:val="1"/>
                <w:color w:val="auto"/>
              </w:rPr>
            </w:pPr>
          </w:p>
        </w:tc>
      </w:tr>
      <w:tr>
        <w:trPr>
          <w:trHeight w:val="172"/>
        </w:trPr>
        <w:tc>
          <w:tcPr>
            <w:tcW w:w="2680" w:type="dxa"/>
            <w:vAlign w:val="bottom"/>
          </w:tcPr>
          <w:p>
            <w:pPr>
              <w:ind w:left="20"/>
              <w:spacing w:after="0"/>
              <w:rPr>
                <w:sz w:val="20"/>
                <w:szCs w:val="20"/>
                <w:color w:val="auto"/>
              </w:rPr>
            </w:pPr>
            <w:r>
              <w:rPr>
                <w:rFonts w:ascii="Arial" w:cs="Arial" w:eastAsia="Arial" w:hAnsi="Arial"/>
                <w:sz w:val="15"/>
                <w:szCs w:val="15"/>
                <w:color w:val="auto"/>
              </w:rPr>
              <w:t>Stock-based compensation</w:t>
            </w:r>
          </w:p>
        </w:tc>
        <w:tc>
          <w:tcPr>
            <w:tcW w:w="128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3,145</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Arial" w:cs="Arial" w:eastAsia="Arial" w:hAnsi="Arial"/>
                <w:sz w:val="15"/>
                <w:szCs w:val="15"/>
                <w:color w:val="auto"/>
              </w:rPr>
              <w:t>3,145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680" w:type="dxa"/>
            <w:vAlign w:val="bottom"/>
          </w:tcPr>
          <w:p>
            <w:pPr>
              <w:ind w:left="20"/>
              <w:spacing w:after="0"/>
              <w:rPr>
                <w:sz w:val="20"/>
                <w:szCs w:val="20"/>
                <w:color w:val="auto"/>
              </w:rPr>
            </w:pPr>
            <w:r>
              <w:rPr>
                <w:rFonts w:ascii="Arial" w:cs="Arial" w:eastAsia="Arial" w:hAnsi="Arial"/>
                <w:sz w:val="15"/>
                <w:szCs w:val="15"/>
                <w:color w:val="auto"/>
              </w:rPr>
              <w:t>Change in fair value of</w:t>
            </w: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680" w:type="dxa"/>
            <w:vAlign w:val="bottom"/>
          </w:tcPr>
          <w:p>
            <w:pPr>
              <w:ind w:left="140"/>
              <w:spacing w:after="0"/>
              <w:rPr>
                <w:sz w:val="20"/>
                <w:szCs w:val="20"/>
                <w:color w:val="auto"/>
              </w:rPr>
            </w:pPr>
            <w:r>
              <w:rPr>
                <w:rFonts w:ascii="Arial" w:cs="Arial" w:eastAsia="Arial" w:hAnsi="Arial"/>
                <w:sz w:val="15"/>
                <w:szCs w:val="15"/>
                <w:color w:val="auto"/>
              </w:rPr>
              <w:t>NC Ohio Trust Warrants</w:t>
            </w:r>
          </w:p>
        </w:tc>
        <w:tc>
          <w:tcPr>
            <w:tcW w:w="128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5"/>
                <w:szCs w:val="15"/>
                <w:color w:val="auto"/>
              </w:rPr>
              <w:t>(838)</w:t>
            </w:r>
          </w:p>
        </w:tc>
        <w:tc>
          <w:tcPr>
            <w:tcW w:w="200" w:type="dxa"/>
            <w:vAlign w:val="bottom"/>
          </w:tcPr>
          <w:p>
            <w:pPr>
              <w:spacing w:after="0"/>
              <w:rPr>
                <w:sz w:val="14"/>
                <w:szCs w:val="14"/>
                <w:color w:val="auto"/>
              </w:rPr>
            </w:pPr>
          </w:p>
        </w:tc>
        <w:tc>
          <w:tcPr>
            <w:tcW w:w="18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980" w:type="dxa"/>
            <w:vAlign w:val="bottom"/>
            <w:gridSpan w:val="2"/>
          </w:tcPr>
          <w:p>
            <w:pPr>
              <w:jc w:val="right"/>
              <w:ind w:right="120"/>
              <w:spacing w:after="0"/>
              <w:rPr>
                <w:sz w:val="20"/>
                <w:szCs w:val="20"/>
                <w:color w:val="auto"/>
              </w:rPr>
            </w:pPr>
            <w:r>
              <w:rPr>
                <w:rFonts w:ascii="Arial" w:cs="Arial" w:eastAsia="Arial" w:hAnsi="Arial"/>
                <w:sz w:val="15"/>
                <w:szCs w:val="15"/>
                <w:color w:val="auto"/>
              </w:rPr>
              <w:t>(838)</w:t>
            </w:r>
          </w:p>
        </w:tc>
        <w:tc>
          <w:tcPr>
            <w:tcW w:w="0" w:type="dxa"/>
            <w:vAlign w:val="bottom"/>
          </w:tcPr>
          <w:p>
            <w:pPr>
              <w:spacing w:after="0"/>
              <w:rPr>
                <w:sz w:val="1"/>
                <w:szCs w:val="1"/>
                <w:color w:val="auto"/>
              </w:rPr>
            </w:pPr>
          </w:p>
        </w:tc>
      </w:tr>
      <w:tr>
        <w:trPr>
          <w:trHeight w:val="188"/>
        </w:trPr>
        <w:tc>
          <w:tcPr>
            <w:tcW w:w="2680" w:type="dxa"/>
            <w:vAlign w:val="bottom"/>
          </w:tcPr>
          <w:p>
            <w:pPr>
              <w:ind w:left="20"/>
              <w:spacing w:after="0"/>
              <w:rPr>
                <w:sz w:val="20"/>
                <w:szCs w:val="20"/>
                <w:color w:val="auto"/>
              </w:rPr>
            </w:pPr>
            <w:r>
              <w:rPr>
                <w:rFonts w:ascii="Arial" w:cs="Arial" w:eastAsia="Arial" w:hAnsi="Arial"/>
                <w:sz w:val="15"/>
                <w:szCs w:val="15"/>
                <w:color w:val="auto"/>
              </w:rPr>
              <w:t>Net loss</w:t>
            </w:r>
          </w:p>
        </w:tc>
        <w:tc>
          <w:tcPr>
            <w:tcW w:w="128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860" w:type="dxa"/>
            <w:vAlign w:val="bottom"/>
            <w:gridSpan w:val="2"/>
          </w:tcPr>
          <w:p>
            <w:pPr>
              <w:jc w:val="right"/>
              <w:ind w:right="240"/>
              <w:spacing w:after="0"/>
              <w:rPr>
                <w:sz w:val="20"/>
                <w:szCs w:val="20"/>
                <w:color w:val="auto"/>
              </w:rPr>
            </w:pPr>
            <w:r>
              <w:rPr>
                <w:rFonts w:ascii="Arial" w:cs="Arial" w:eastAsia="Arial" w:hAnsi="Arial"/>
                <w:sz w:val="15"/>
                <w:szCs w:val="15"/>
                <w:color w:val="auto"/>
              </w:rPr>
              <w:t>(18,794)</w:t>
            </w:r>
          </w:p>
        </w:tc>
        <w:tc>
          <w:tcPr>
            <w:tcW w:w="220" w:type="dxa"/>
            <w:vAlign w:val="bottom"/>
          </w:tcPr>
          <w:p>
            <w:pPr>
              <w:spacing w:after="0"/>
              <w:rPr>
                <w:sz w:val="16"/>
                <w:szCs w:val="16"/>
                <w:color w:val="auto"/>
              </w:rPr>
            </w:pPr>
          </w:p>
        </w:tc>
        <w:tc>
          <w:tcPr>
            <w:tcW w:w="1980" w:type="dxa"/>
            <w:vAlign w:val="bottom"/>
            <w:gridSpan w:val="2"/>
          </w:tcPr>
          <w:p>
            <w:pPr>
              <w:jc w:val="right"/>
              <w:ind w:right="120"/>
              <w:spacing w:after="0"/>
              <w:rPr>
                <w:sz w:val="20"/>
                <w:szCs w:val="20"/>
                <w:color w:val="auto"/>
              </w:rPr>
            </w:pPr>
            <w:r>
              <w:rPr>
                <w:rFonts w:ascii="Arial" w:cs="Arial" w:eastAsia="Arial" w:hAnsi="Arial"/>
                <w:sz w:val="15"/>
                <w:szCs w:val="15"/>
                <w:color w:val="auto"/>
              </w:rPr>
              <w:t>(18,794)</w:t>
            </w:r>
          </w:p>
        </w:tc>
        <w:tc>
          <w:tcPr>
            <w:tcW w:w="0" w:type="dxa"/>
            <w:vAlign w:val="bottom"/>
          </w:tcPr>
          <w:p>
            <w:pPr>
              <w:spacing w:after="0"/>
              <w:rPr>
                <w:sz w:val="1"/>
                <w:szCs w:val="1"/>
                <w:color w:val="auto"/>
              </w:rPr>
            </w:pPr>
          </w:p>
        </w:tc>
      </w:tr>
      <w:tr>
        <w:trPr>
          <w:trHeight w:val="162"/>
        </w:trPr>
        <w:tc>
          <w:tcPr>
            <w:tcW w:w="2680" w:type="dxa"/>
            <w:vAlign w:val="bottom"/>
          </w:tcPr>
          <w:p>
            <w:pPr>
              <w:ind w:left="20"/>
              <w:spacing w:after="0" w:line="163" w:lineRule="exact"/>
              <w:rPr>
                <w:sz w:val="20"/>
                <w:szCs w:val="20"/>
                <w:color w:val="auto"/>
              </w:rPr>
            </w:pPr>
            <w:r>
              <w:rPr>
                <w:rFonts w:ascii="Arial" w:cs="Arial" w:eastAsia="Arial" w:hAnsi="Arial"/>
                <w:sz w:val="15"/>
                <w:szCs w:val="15"/>
                <w:b w:val="1"/>
                <w:bCs w:val="1"/>
                <w:color w:val="auto"/>
              </w:rPr>
              <w:t>Balance as of December 31, 2022</w:t>
            </w:r>
          </w:p>
        </w:tc>
        <w:tc>
          <w:tcPr>
            <w:tcW w:w="128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29,042,418</w:t>
            </w:r>
          </w:p>
        </w:tc>
        <w:tc>
          <w:tcPr>
            <w:tcW w:w="2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290</w:t>
            </w:r>
          </w:p>
        </w:tc>
        <w:tc>
          <w:tcPr>
            <w:tcW w:w="280" w:type="dxa"/>
            <w:vAlign w:val="bottom"/>
          </w:tcPr>
          <w:p>
            <w:pPr>
              <w:spacing w:after="0"/>
              <w:rPr>
                <w:sz w:val="14"/>
                <w:szCs w:val="14"/>
                <w:color w:val="auto"/>
              </w:rPr>
            </w:pPr>
          </w:p>
        </w:tc>
        <w:tc>
          <w:tcPr>
            <w:tcW w:w="120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(122,608)</w:t>
            </w:r>
          </w:p>
        </w:tc>
        <w:tc>
          <w:tcPr>
            <w:tcW w:w="2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5"/>
              <w:spacing w:after="0" w:line="163" w:lineRule="exact"/>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(448)</w:t>
            </w:r>
          </w:p>
        </w:tc>
        <w:tc>
          <w:tcPr>
            <w:tcW w:w="2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5"/>
              <w:spacing w:after="0" w:line="163" w:lineRule="exact"/>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146,961</w:t>
            </w:r>
          </w:p>
        </w:tc>
        <w:tc>
          <w:tcPr>
            <w:tcW w:w="3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5"/>
              <w:spacing w:after="0" w:line="163" w:lineRule="exact"/>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(99,089)</w:t>
            </w:r>
          </w:p>
        </w:tc>
        <w:tc>
          <w:tcPr>
            <w:tcW w:w="2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5"/>
              <w:spacing w:after="0" w:line="163" w:lineRule="exact"/>
              <w:rPr>
                <w:sz w:val="20"/>
                <w:szCs w:val="20"/>
                <w:color w:val="auto"/>
              </w:rPr>
            </w:pPr>
            <w:r>
              <w:rPr>
                <w:rFonts w:ascii="Arial" w:cs="Arial" w:eastAsia="Arial" w:hAnsi="Arial"/>
                <w:sz w:val="15"/>
                <w:szCs w:val="15"/>
                <w:color w:val="auto"/>
                <w:w w:val="71"/>
              </w:rPr>
              <w:t>$</w:t>
            </w:r>
          </w:p>
        </w:tc>
        <w:tc>
          <w:tcPr>
            <w:tcW w:w="182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47,714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80" w:type="dxa"/>
            <w:vAlign w:val="bottom"/>
            <w:vMerge w:val="restart"/>
          </w:tcPr>
          <w:p>
            <w:pPr>
              <w:ind w:left="20"/>
              <w:spacing w:after="0"/>
              <w:rPr>
                <w:sz w:val="20"/>
                <w:szCs w:val="20"/>
                <w:color w:val="auto"/>
              </w:rPr>
            </w:pPr>
            <w:r>
              <w:rPr>
                <w:rFonts w:ascii="Arial" w:cs="Arial" w:eastAsia="Arial" w:hAnsi="Arial"/>
                <w:sz w:val="15"/>
                <w:szCs w:val="15"/>
                <w:color w:val="auto"/>
              </w:rPr>
              <w:t>Stock-based compensation</w:t>
            </w: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vMerge w:val="continue"/>
          </w:tcPr>
          <w:p>
            <w:pPr>
              <w:spacing w:after="0"/>
              <w:rPr>
                <w:sz w:val="12"/>
                <w:szCs w:val="12"/>
                <w:color w:val="auto"/>
              </w:rPr>
            </w:pPr>
          </w:p>
        </w:tc>
        <w:tc>
          <w:tcPr>
            <w:tcW w:w="1280" w:type="dxa"/>
            <w:vAlign w:val="bottom"/>
          </w:tcPr>
          <w:p>
            <w:pPr>
              <w:jc w:val="right"/>
              <w:spacing w:after="0" w:line="143"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line="143"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2"/>
                <w:szCs w:val="12"/>
                <w:color w:val="auto"/>
              </w:rPr>
            </w:pPr>
          </w:p>
        </w:tc>
        <w:tc>
          <w:tcPr>
            <w:tcW w:w="1200" w:type="dxa"/>
            <w:vAlign w:val="bottom"/>
          </w:tcPr>
          <w:p>
            <w:pPr>
              <w:jc w:val="right"/>
              <w:spacing w:after="0" w:line="143" w:lineRule="exact"/>
              <w:rPr>
                <w:sz w:val="20"/>
                <w:szCs w:val="20"/>
                <w:color w:val="auto"/>
              </w:rPr>
            </w:pPr>
            <w:r>
              <w:rPr>
                <w:rFonts w:ascii="Arial" w:cs="Arial" w:eastAsia="Arial" w:hAnsi="Arial"/>
                <w:sz w:val="15"/>
                <w:szCs w:val="15"/>
                <w:color w:val="auto"/>
              </w:rPr>
              <w:t>—</w:t>
            </w:r>
          </w:p>
        </w:tc>
        <w:tc>
          <w:tcPr>
            <w:tcW w:w="2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line="143" w:lineRule="exact"/>
              <w:rPr>
                <w:sz w:val="20"/>
                <w:szCs w:val="20"/>
                <w:color w:val="auto"/>
              </w:rPr>
            </w:pPr>
            <w:r>
              <w:rPr>
                <w:rFonts w:ascii="Arial" w:cs="Arial" w:eastAsia="Arial" w:hAnsi="Arial"/>
                <w:sz w:val="15"/>
                <w:szCs w:val="15"/>
                <w:color w:val="auto"/>
              </w:rPr>
              <w:t>—</w:t>
            </w:r>
          </w:p>
        </w:tc>
        <w:tc>
          <w:tcPr>
            <w:tcW w:w="2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right"/>
              <w:spacing w:after="0" w:line="143" w:lineRule="exact"/>
              <w:rPr>
                <w:sz w:val="20"/>
                <w:szCs w:val="20"/>
                <w:color w:val="auto"/>
              </w:rPr>
            </w:pPr>
            <w:r>
              <w:rPr>
                <w:rFonts w:ascii="Arial" w:cs="Arial" w:eastAsia="Arial" w:hAnsi="Arial"/>
                <w:sz w:val="15"/>
                <w:szCs w:val="15"/>
                <w:color w:val="auto"/>
              </w:rPr>
              <w:t>3,137</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tcPr>
          <w:p>
            <w:pPr>
              <w:jc w:val="right"/>
              <w:spacing w:after="0" w:line="143" w:lineRule="exact"/>
              <w:rPr>
                <w:sz w:val="20"/>
                <w:szCs w:val="20"/>
                <w:color w:val="auto"/>
              </w:rPr>
            </w:pPr>
            <w:r>
              <w:rPr>
                <w:rFonts w:ascii="Arial" w:cs="Arial" w:eastAsia="Arial" w:hAnsi="Arial"/>
                <w:sz w:val="15"/>
                <w:szCs w:val="15"/>
                <w:color w:val="auto"/>
              </w:rPr>
              <w:t>—</w:t>
            </w:r>
          </w:p>
        </w:tc>
        <w:tc>
          <w:tcPr>
            <w:tcW w:w="2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tcPr>
          <w:p>
            <w:pPr>
              <w:jc w:val="right"/>
              <w:spacing w:after="0" w:line="143" w:lineRule="exact"/>
              <w:rPr>
                <w:sz w:val="20"/>
                <w:szCs w:val="20"/>
                <w:color w:val="auto"/>
              </w:rPr>
            </w:pPr>
            <w:r>
              <w:rPr>
                <w:rFonts w:ascii="Arial" w:cs="Arial" w:eastAsia="Arial" w:hAnsi="Arial"/>
                <w:sz w:val="15"/>
                <w:szCs w:val="15"/>
                <w:color w:val="auto"/>
              </w:rPr>
              <w:t>3,137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680" w:type="dxa"/>
            <w:vAlign w:val="bottom"/>
          </w:tcPr>
          <w:p>
            <w:pPr>
              <w:ind w:left="20"/>
              <w:spacing w:after="0"/>
              <w:rPr>
                <w:sz w:val="20"/>
                <w:szCs w:val="20"/>
                <w:color w:val="auto"/>
              </w:rPr>
            </w:pPr>
            <w:r>
              <w:rPr>
                <w:rFonts w:ascii="Arial" w:cs="Arial" w:eastAsia="Arial" w:hAnsi="Arial"/>
                <w:sz w:val="15"/>
                <w:szCs w:val="15"/>
                <w:color w:val="auto"/>
              </w:rPr>
              <w:t>Restricted stock unit vesting, net</w:t>
            </w: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680" w:type="dxa"/>
            <w:vAlign w:val="bottom"/>
          </w:tcPr>
          <w:p>
            <w:pPr>
              <w:ind w:left="140"/>
              <w:spacing w:after="0"/>
              <w:rPr>
                <w:sz w:val="20"/>
                <w:szCs w:val="20"/>
                <w:color w:val="auto"/>
              </w:rPr>
            </w:pPr>
            <w:r>
              <w:rPr>
                <w:rFonts w:ascii="Arial" w:cs="Arial" w:eastAsia="Arial" w:hAnsi="Arial"/>
                <w:sz w:val="15"/>
                <w:szCs w:val="15"/>
                <w:color w:val="auto"/>
              </w:rPr>
              <w:t>of shares withheld for taxes</w:t>
            </w:r>
          </w:p>
        </w:tc>
        <w:tc>
          <w:tcPr>
            <w:tcW w:w="1280" w:type="dxa"/>
            <w:vAlign w:val="bottom"/>
          </w:tcPr>
          <w:p>
            <w:pPr>
              <w:jc w:val="right"/>
              <w:spacing w:after="0"/>
              <w:rPr>
                <w:sz w:val="20"/>
                <w:szCs w:val="20"/>
                <w:color w:val="auto"/>
              </w:rPr>
            </w:pPr>
            <w:r>
              <w:rPr>
                <w:rFonts w:ascii="Arial" w:cs="Arial" w:eastAsia="Arial" w:hAnsi="Arial"/>
                <w:sz w:val="15"/>
                <w:szCs w:val="15"/>
                <w:color w:val="auto"/>
              </w:rPr>
              <w:t>171,209</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5"/>
                <w:szCs w:val="15"/>
                <w:color w:val="auto"/>
              </w:rPr>
              <w:t>(121)</w:t>
            </w:r>
          </w:p>
        </w:tc>
        <w:tc>
          <w:tcPr>
            <w:tcW w:w="200" w:type="dxa"/>
            <w:vAlign w:val="bottom"/>
          </w:tcPr>
          <w:p>
            <w:pPr>
              <w:spacing w:after="0"/>
              <w:rPr>
                <w:sz w:val="14"/>
                <w:szCs w:val="14"/>
                <w:color w:val="auto"/>
              </w:rPr>
            </w:pPr>
          </w:p>
        </w:tc>
        <w:tc>
          <w:tcPr>
            <w:tcW w:w="18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980" w:type="dxa"/>
            <w:vAlign w:val="bottom"/>
            <w:gridSpan w:val="2"/>
          </w:tcPr>
          <w:p>
            <w:pPr>
              <w:jc w:val="right"/>
              <w:ind w:right="120"/>
              <w:spacing w:after="0"/>
              <w:rPr>
                <w:sz w:val="20"/>
                <w:szCs w:val="20"/>
                <w:color w:val="auto"/>
              </w:rPr>
            </w:pPr>
            <w:r>
              <w:rPr>
                <w:rFonts w:ascii="Arial" w:cs="Arial" w:eastAsia="Arial" w:hAnsi="Arial"/>
                <w:sz w:val="15"/>
                <w:szCs w:val="15"/>
                <w:color w:val="auto"/>
              </w:rPr>
              <w:t>(121)</w:t>
            </w:r>
          </w:p>
        </w:tc>
        <w:tc>
          <w:tcPr>
            <w:tcW w:w="0" w:type="dxa"/>
            <w:vAlign w:val="bottom"/>
          </w:tcPr>
          <w:p>
            <w:pPr>
              <w:spacing w:after="0"/>
              <w:rPr>
                <w:sz w:val="1"/>
                <w:szCs w:val="1"/>
                <w:color w:val="auto"/>
              </w:rPr>
            </w:pPr>
          </w:p>
        </w:tc>
      </w:tr>
      <w:tr>
        <w:trPr>
          <w:trHeight w:val="172"/>
        </w:trPr>
        <w:tc>
          <w:tcPr>
            <w:tcW w:w="2680" w:type="dxa"/>
            <w:vAlign w:val="bottom"/>
          </w:tcPr>
          <w:p>
            <w:pPr>
              <w:ind w:left="20"/>
              <w:spacing w:after="0"/>
              <w:rPr>
                <w:sz w:val="20"/>
                <w:szCs w:val="20"/>
                <w:color w:val="auto"/>
              </w:rPr>
            </w:pPr>
            <w:r>
              <w:rPr>
                <w:rFonts w:ascii="Arial" w:cs="Arial" w:eastAsia="Arial" w:hAnsi="Arial"/>
                <w:sz w:val="15"/>
                <w:szCs w:val="15"/>
                <w:color w:val="auto"/>
              </w:rPr>
              <w:t>Change in fair value of</w:t>
            </w: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680" w:type="dxa"/>
            <w:vAlign w:val="bottom"/>
          </w:tcPr>
          <w:p>
            <w:pPr>
              <w:ind w:left="140"/>
              <w:spacing w:after="0"/>
              <w:rPr>
                <w:sz w:val="20"/>
                <w:szCs w:val="20"/>
                <w:color w:val="auto"/>
              </w:rPr>
            </w:pPr>
            <w:r>
              <w:rPr>
                <w:rFonts w:ascii="Arial" w:cs="Arial" w:eastAsia="Arial" w:hAnsi="Arial"/>
                <w:sz w:val="15"/>
                <w:szCs w:val="15"/>
                <w:color w:val="auto"/>
              </w:rPr>
              <w:t>NC Ohio Trust Warrants</w:t>
            </w:r>
          </w:p>
        </w:tc>
        <w:tc>
          <w:tcPr>
            <w:tcW w:w="128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5"/>
                <w:szCs w:val="15"/>
                <w:color w:val="auto"/>
              </w:rPr>
              <w:t>(46)</w:t>
            </w:r>
          </w:p>
        </w:tc>
        <w:tc>
          <w:tcPr>
            <w:tcW w:w="200" w:type="dxa"/>
            <w:vAlign w:val="bottom"/>
          </w:tcPr>
          <w:p>
            <w:pPr>
              <w:spacing w:after="0"/>
              <w:rPr>
                <w:sz w:val="14"/>
                <w:szCs w:val="14"/>
                <w:color w:val="auto"/>
              </w:rPr>
            </w:pPr>
          </w:p>
        </w:tc>
        <w:tc>
          <w:tcPr>
            <w:tcW w:w="18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980" w:type="dxa"/>
            <w:vAlign w:val="bottom"/>
            <w:gridSpan w:val="2"/>
          </w:tcPr>
          <w:p>
            <w:pPr>
              <w:jc w:val="right"/>
              <w:ind w:right="120"/>
              <w:spacing w:after="0"/>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r>
        <w:trPr>
          <w:trHeight w:val="188"/>
        </w:trPr>
        <w:tc>
          <w:tcPr>
            <w:tcW w:w="2680" w:type="dxa"/>
            <w:vAlign w:val="bottom"/>
          </w:tcPr>
          <w:p>
            <w:pPr>
              <w:ind w:left="20"/>
              <w:spacing w:after="0"/>
              <w:rPr>
                <w:sz w:val="20"/>
                <w:szCs w:val="20"/>
                <w:color w:val="auto"/>
              </w:rPr>
            </w:pPr>
            <w:r>
              <w:rPr>
                <w:rFonts w:ascii="Arial" w:cs="Arial" w:eastAsia="Arial" w:hAnsi="Arial"/>
                <w:sz w:val="15"/>
                <w:szCs w:val="15"/>
                <w:color w:val="auto"/>
              </w:rPr>
              <w:t>Net loss</w:t>
            </w:r>
          </w:p>
        </w:tc>
        <w:tc>
          <w:tcPr>
            <w:tcW w:w="128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860" w:type="dxa"/>
            <w:vAlign w:val="bottom"/>
            <w:gridSpan w:val="2"/>
          </w:tcPr>
          <w:p>
            <w:pPr>
              <w:jc w:val="right"/>
              <w:ind w:right="240"/>
              <w:spacing w:after="0"/>
              <w:rPr>
                <w:sz w:val="20"/>
                <w:szCs w:val="20"/>
                <w:color w:val="auto"/>
              </w:rPr>
            </w:pPr>
            <w:r>
              <w:rPr>
                <w:rFonts w:ascii="Arial" w:cs="Arial" w:eastAsia="Arial" w:hAnsi="Arial"/>
                <w:sz w:val="15"/>
                <w:szCs w:val="15"/>
                <w:color w:val="auto"/>
              </w:rPr>
              <w:t>(37,939)</w:t>
            </w:r>
          </w:p>
        </w:tc>
        <w:tc>
          <w:tcPr>
            <w:tcW w:w="220" w:type="dxa"/>
            <w:vAlign w:val="bottom"/>
          </w:tcPr>
          <w:p>
            <w:pPr>
              <w:spacing w:after="0"/>
              <w:rPr>
                <w:sz w:val="16"/>
                <w:szCs w:val="16"/>
                <w:color w:val="auto"/>
              </w:rPr>
            </w:pPr>
          </w:p>
        </w:tc>
        <w:tc>
          <w:tcPr>
            <w:tcW w:w="1980" w:type="dxa"/>
            <w:vAlign w:val="bottom"/>
            <w:gridSpan w:val="2"/>
          </w:tcPr>
          <w:p>
            <w:pPr>
              <w:jc w:val="right"/>
              <w:ind w:right="120"/>
              <w:spacing w:after="0"/>
              <w:rPr>
                <w:sz w:val="20"/>
                <w:szCs w:val="20"/>
                <w:color w:val="auto"/>
              </w:rPr>
            </w:pPr>
            <w:r>
              <w:rPr>
                <w:rFonts w:ascii="Arial" w:cs="Arial" w:eastAsia="Arial" w:hAnsi="Arial"/>
                <w:sz w:val="15"/>
                <w:szCs w:val="15"/>
                <w:color w:val="auto"/>
              </w:rPr>
              <w:t>(37,939)</w:t>
            </w:r>
          </w:p>
        </w:tc>
        <w:tc>
          <w:tcPr>
            <w:tcW w:w="0" w:type="dxa"/>
            <w:vAlign w:val="bottom"/>
          </w:tcPr>
          <w:p>
            <w:pPr>
              <w:spacing w:after="0"/>
              <w:rPr>
                <w:sz w:val="1"/>
                <w:szCs w:val="1"/>
                <w:color w:val="auto"/>
              </w:rPr>
            </w:pPr>
          </w:p>
        </w:tc>
      </w:tr>
      <w:tr>
        <w:trPr>
          <w:trHeight w:val="162"/>
        </w:trPr>
        <w:tc>
          <w:tcPr>
            <w:tcW w:w="2680" w:type="dxa"/>
            <w:vAlign w:val="bottom"/>
          </w:tcPr>
          <w:p>
            <w:pPr>
              <w:ind w:left="20"/>
              <w:spacing w:after="0" w:line="163" w:lineRule="exact"/>
              <w:rPr>
                <w:sz w:val="20"/>
                <w:szCs w:val="20"/>
                <w:color w:val="auto"/>
              </w:rPr>
            </w:pPr>
            <w:r>
              <w:rPr>
                <w:rFonts w:ascii="Arial" w:cs="Arial" w:eastAsia="Arial" w:hAnsi="Arial"/>
                <w:sz w:val="15"/>
                <w:szCs w:val="15"/>
                <w:b w:val="1"/>
                <w:bCs w:val="1"/>
                <w:color w:val="auto"/>
              </w:rPr>
              <w:t>Balance as of December 31, 2023</w:t>
            </w:r>
          </w:p>
        </w:tc>
        <w:tc>
          <w:tcPr>
            <w:tcW w:w="128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29,213,627</w:t>
            </w:r>
          </w:p>
        </w:tc>
        <w:tc>
          <w:tcPr>
            <w:tcW w:w="2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290</w:t>
            </w:r>
          </w:p>
        </w:tc>
        <w:tc>
          <w:tcPr>
            <w:tcW w:w="280" w:type="dxa"/>
            <w:vAlign w:val="bottom"/>
          </w:tcPr>
          <w:p>
            <w:pPr>
              <w:spacing w:after="0"/>
              <w:rPr>
                <w:sz w:val="14"/>
                <w:szCs w:val="14"/>
                <w:color w:val="auto"/>
              </w:rPr>
            </w:pPr>
          </w:p>
        </w:tc>
        <w:tc>
          <w:tcPr>
            <w:tcW w:w="120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(122,608)</w:t>
            </w:r>
          </w:p>
        </w:tc>
        <w:tc>
          <w:tcPr>
            <w:tcW w:w="2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5"/>
              <w:spacing w:after="0" w:line="163" w:lineRule="exact"/>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(448)</w:t>
            </w:r>
          </w:p>
        </w:tc>
        <w:tc>
          <w:tcPr>
            <w:tcW w:w="2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5"/>
              <w:spacing w:after="0" w:line="163" w:lineRule="exact"/>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149,931</w:t>
            </w:r>
          </w:p>
        </w:tc>
        <w:tc>
          <w:tcPr>
            <w:tcW w:w="3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5"/>
              <w:spacing w:after="0" w:line="163" w:lineRule="exact"/>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(137,028)</w:t>
            </w:r>
          </w:p>
        </w:tc>
        <w:tc>
          <w:tcPr>
            <w:tcW w:w="2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5"/>
              <w:spacing w:after="0" w:line="163" w:lineRule="exact"/>
              <w:rPr>
                <w:sz w:val="20"/>
                <w:szCs w:val="20"/>
                <w:color w:val="auto"/>
              </w:rPr>
            </w:pPr>
            <w:r>
              <w:rPr>
                <w:rFonts w:ascii="Arial" w:cs="Arial" w:eastAsia="Arial" w:hAnsi="Arial"/>
                <w:sz w:val="15"/>
                <w:szCs w:val="15"/>
                <w:color w:val="auto"/>
                <w:w w:val="71"/>
              </w:rPr>
              <w:t>$</w:t>
            </w:r>
          </w:p>
        </w:tc>
        <w:tc>
          <w:tcPr>
            <w:tcW w:w="182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12,745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68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8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-1825625</wp:posOffset>
            </wp:positionV>
            <wp:extent cx="9182100" cy="17284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2">
                      <a:extLst>
                        <a:ext uri="{28A0092B-C50C-407E-A947-70E740481C1C}"/>
                      </a:extLst>
                    </a:blip>
                    <a:srcRect/>
                    <a:stretch>
                      <a:fillRect/>
                    </a:stretch>
                  </pic:blipFill>
                  <pic:spPr bwMode="auto">
                    <a:xfrm>
                      <a:off x="0" y="0"/>
                      <a:ext cx="9182100" cy="1728470"/>
                    </a:xfrm>
                    <a:prstGeom prst="rect">
                      <a:avLst/>
                    </a:prstGeom>
                    <a:noFill/>
                  </pic:spPr>
                </pic:pic>
              </a:graphicData>
            </a:graphic>
          </wp:anchor>
        </w:drawing>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F-5</w:t>
      </w:r>
    </w:p>
    <w:p>
      <w:pPr>
        <w:sectPr>
          <w:pgSz w:w="15840" w:h="12240" w:orient="landscape"/>
          <w:cols w:equalWidth="0" w:num="1">
            <w:col w:w="14440"/>
          </w:cols>
          <w:pgMar w:left="700" w:top="1056" w:right="700" w:bottom="173" w:gutter="0" w:footer="0" w:header="0"/>
        </w:sectPr>
      </w:pPr>
    </w:p>
    <w:bookmarkStart w:id="128" w:name="page129"/>
    <w:bookmarkEnd w:id="128"/>
    <w:p>
      <w:pPr>
        <w:jc w:val="center"/>
        <w:ind w:right="-39"/>
        <w:spacing w:after="0"/>
        <w:rPr>
          <w:sz w:val="20"/>
          <w:szCs w:val="20"/>
          <w:color w:val="auto"/>
        </w:rPr>
      </w:pPr>
      <w:r>
        <w:rPr>
          <w:rFonts w:ascii="Arial" w:cs="Arial" w:eastAsia="Arial" w:hAnsi="Arial"/>
          <w:sz w:val="20"/>
          <w:szCs w:val="20"/>
          <w:b w:val="1"/>
          <w:bCs w:val="1"/>
          <w:color w:val="auto"/>
        </w:rPr>
        <w:t>CANDEL THERAPEUTICS, INC.</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(In thousands, except share and per share amounts)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114935</wp:posOffset>
                </wp:positionV>
                <wp:extent cx="6437630"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76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9.05pt" to="505.45pt,9.05pt" o:allowincell="f" strokecolor="#000000" strokeweight="0.75pt"/>
            </w:pict>
          </mc:Fallback>
        </mc:AlternateConten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40" w:type="dxa"/>
            <w:vAlign w:val="bottom"/>
            <w:gridSpan w:val="3"/>
          </w:tcPr>
          <w:p>
            <w:pPr>
              <w:jc w:val="right"/>
              <w:ind w:right="5"/>
              <w:spacing w:after="0"/>
              <w:rPr>
                <w:sz w:val="20"/>
                <w:szCs w:val="20"/>
                <w:color w:val="auto"/>
              </w:rPr>
            </w:pPr>
            <w:r>
              <w:rPr>
                <w:rFonts w:ascii="Arial" w:cs="Arial" w:eastAsia="Arial" w:hAnsi="Arial"/>
                <w:sz w:val="16"/>
                <w:szCs w:val="16"/>
                <w:b w:val="1"/>
                <w:bCs w:val="1"/>
                <w:color w:val="auto"/>
              </w:rPr>
              <w:t>YEAR ENDED</w:t>
            </w: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9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6900" w:type="dxa"/>
            <w:vAlign w:val="bottom"/>
            <w:vMerge w:val="restart"/>
          </w:tcPr>
          <w:p>
            <w:pPr>
              <w:spacing w:after="0"/>
              <w:rPr>
                <w:sz w:val="20"/>
                <w:szCs w:val="20"/>
                <w:color w:val="auto"/>
              </w:rPr>
            </w:pPr>
            <w:r>
              <w:rPr>
                <w:rFonts w:ascii="Arial" w:cs="Arial" w:eastAsia="Arial" w:hAnsi="Arial"/>
                <w:sz w:val="19"/>
                <w:szCs w:val="19"/>
                <w:b w:val="1"/>
                <w:bCs w:val="1"/>
                <w:color w:val="auto"/>
              </w:rPr>
              <w:t>Cash Flows from Operating Activities:</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26"/>
              <w:spacing w:after="0" w:line="174" w:lineRule="exact"/>
              <w:rPr>
                <w:sz w:val="20"/>
                <w:szCs w:val="20"/>
                <w:color w:val="auto"/>
              </w:rPr>
            </w:pPr>
            <w:r>
              <w:rPr>
                <w:rFonts w:ascii="Arial" w:cs="Arial" w:eastAsia="Arial" w:hAnsi="Arial"/>
                <w:sz w:val="16"/>
                <w:szCs w:val="16"/>
                <w:b w:val="1"/>
                <w:bCs w:val="1"/>
                <w:color w:val="auto"/>
              </w:rPr>
              <w:t>2023</w:t>
            </w:r>
          </w:p>
        </w:tc>
        <w:tc>
          <w:tcPr>
            <w:tcW w:w="28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25"/>
              <w:spacing w:after="0" w:line="174" w:lineRule="exact"/>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900" w:type="dxa"/>
            <w:vAlign w:val="bottom"/>
            <w:vMerge w:val="continue"/>
          </w:tcPr>
          <w:p>
            <w:pPr>
              <w:spacing w:after="0"/>
              <w:rPr>
                <w:sz w:val="16"/>
                <w:szCs w:val="16"/>
                <w:color w:val="auto"/>
              </w:rPr>
            </w:pPr>
          </w:p>
        </w:tc>
        <w:tc>
          <w:tcPr>
            <w:tcW w:w="320" w:type="dxa"/>
            <w:vAlign w:val="bottom"/>
            <w:vMerge w:val="restart"/>
          </w:tcPr>
          <w:p>
            <w:pPr>
              <w:jc w:val="right"/>
              <w:ind w:right="125"/>
              <w:spacing w:after="0"/>
              <w:rPr>
                <w:sz w:val="20"/>
                <w:szCs w:val="20"/>
                <w:color w:val="auto"/>
              </w:rPr>
            </w:pPr>
            <w:r>
              <w:rPr>
                <w:rFonts w:ascii="Arial" w:cs="Arial" w:eastAsia="Arial" w:hAnsi="Arial"/>
                <w:sz w:val="19"/>
                <w:szCs w:val="19"/>
                <w:b w:val="1"/>
                <w:bCs w:val="1"/>
                <w:color w:val="auto"/>
                <w:w w:val="75"/>
              </w:rPr>
              <w:t>$</w:t>
            </w: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9"/>
                <w:szCs w:val="19"/>
                <w:b w:val="1"/>
                <w:bCs w:val="1"/>
                <w:color w:val="auto"/>
              </w:rPr>
              <w:t>(37,939)</w:t>
            </w:r>
          </w:p>
        </w:tc>
        <w:tc>
          <w:tcPr>
            <w:tcW w:w="480" w:type="dxa"/>
            <w:vAlign w:val="bottom"/>
            <w:vMerge w:val="restart"/>
          </w:tcPr>
          <w:p>
            <w:pPr>
              <w:jc w:val="right"/>
              <w:ind w:right="285"/>
              <w:spacing w:after="0"/>
              <w:rPr>
                <w:sz w:val="20"/>
                <w:szCs w:val="20"/>
                <w:color w:val="auto"/>
              </w:rPr>
            </w:pPr>
            <w:r>
              <w:rPr>
                <w:rFonts w:ascii="Arial" w:cs="Arial" w:eastAsia="Arial" w:hAnsi="Arial"/>
                <w:sz w:val="19"/>
                <w:szCs w:val="19"/>
                <w:b w:val="1"/>
                <w:bCs w:val="1"/>
                <w:color w:val="auto"/>
                <w:w w:val="75"/>
              </w:rPr>
              <w:t>$</w:t>
            </w:r>
          </w:p>
        </w:tc>
        <w:tc>
          <w:tcPr>
            <w:tcW w:w="980" w:type="dxa"/>
            <w:vAlign w:val="bottom"/>
            <w:gridSpan w:val="2"/>
            <w:vMerge w:val="restart"/>
          </w:tcPr>
          <w:p>
            <w:pPr>
              <w:jc w:val="right"/>
              <w:spacing w:after="0"/>
              <w:rPr>
                <w:sz w:val="20"/>
                <w:szCs w:val="20"/>
                <w:color w:val="auto"/>
              </w:rPr>
            </w:pPr>
            <w:r>
              <w:rPr>
                <w:rFonts w:ascii="Arial" w:cs="Arial" w:eastAsia="Arial" w:hAnsi="Arial"/>
                <w:sz w:val="19"/>
                <w:szCs w:val="19"/>
                <w:b w:val="1"/>
                <w:bCs w:val="1"/>
                <w:color w:val="auto"/>
              </w:rPr>
              <w:t>(18,794)</w:t>
            </w:r>
          </w:p>
        </w:tc>
        <w:tc>
          <w:tcPr>
            <w:tcW w:w="0" w:type="dxa"/>
            <w:vAlign w:val="bottom"/>
          </w:tcPr>
          <w:p>
            <w:pPr>
              <w:spacing w:after="0"/>
              <w:rPr>
                <w:sz w:val="1"/>
                <w:szCs w:val="1"/>
                <w:color w:val="auto"/>
              </w:rPr>
            </w:pPr>
          </w:p>
        </w:tc>
      </w:tr>
      <w:tr>
        <w:trPr>
          <w:trHeight w:val="218"/>
        </w:trPr>
        <w:tc>
          <w:tcPr>
            <w:tcW w:w="6900" w:type="dxa"/>
            <w:vAlign w:val="bottom"/>
          </w:tcPr>
          <w:p>
            <w:pPr>
              <w:ind w:left="280"/>
              <w:spacing w:after="0"/>
              <w:rPr>
                <w:sz w:val="20"/>
                <w:szCs w:val="20"/>
                <w:color w:val="auto"/>
              </w:rPr>
            </w:pPr>
            <w:r>
              <w:rPr>
                <w:rFonts w:ascii="Arial" w:cs="Arial" w:eastAsia="Arial" w:hAnsi="Arial"/>
                <w:sz w:val="19"/>
                <w:szCs w:val="19"/>
                <w:color w:val="auto"/>
              </w:rPr>
              <w:t>Net loss</w:t>
            </w:r>
          </w:p>
        </w:tc>
        <w:tc>
          <w:tcPr>
            <w:tcW w:w="320" w:type="dxa"/>
            <w:vAlign w:val="bottom"/>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900" w:type="dxa"/>
            <w:vAlign w:val="bottom"/>
          </w:tcPr>
          <w:p>
            <w:pPr>
              <w:ind w:left="560"/>
              <w:spacing w:after="0"/>
              <w:rPr>
                <w:sz w:val="20"/>
                <w:szCs w:val="20"/>
                <w:color w:val="auto"/>
              </w:rPr>
            </w:pPr>
            <w:r>
              <w:rPr>
                <w:rFonts w:ascii="Arial" w:cs="Arial" w:eastAsia="Arial" w:hAnsi="Arial"/>
                <w:sz w:val="19"/>
                <w:szCs w:val="19"/>
                <w:color w:val="auto"/>
              </w:rPr>
              <w:t>Adjustments to reconcile net loss to net cash used in operating activities: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900" w:type="dxa"/>
            <w:vAlign w:val="bottom"/>
          </w:tcPr>
          <w:p>
            <w:pPr>
              <w:ind w:left="840"/>
              <w:spacing w:after="0"/>
              <w:rPr>
                <w:sz w:val="20"/>
                <w:szCs w:val="20"/>
                <w:color w:val="auto"/>
              </w:rPr>
            </w:pPr>
            <w:r>
              <w:rPr>
                <w:rFonts w:ascii="Arial" w:cs="Arial" w:eastAsia="Arial" w:hAnsi="Arial"/>
                <w:sz w:val="19"/>
                <w:szCs w:val="19"/>
                <w:color w:val="auto"/>
              </w:rPr>
              <w:t>Depreciation expense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960</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778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900" w:type="dxa"/>
            <w:vAlign w:val="bottom"/>
          </w:tcPr>
          <w:p>
            <w:pPr>
              <w:ind w:left="840"/>
              <w:spacing w:after="0"/>
              <w:rPr>
                <w:sz w:val="20"/>
                <w:szCs w:val="20"/>
                <w:color w:val="auto"/>
              </w:rPr>
            </w:pPr>
            <w:r>
              <w:rPr>
                <w:rFonts w:ascii="Arial" w:cs="Arial" w:eastAsia="Arial" w:hAnsi="Arial"/>
                <w:sz w:val="19"/>
                <w:szCs w:val="19"/>
                <w:color w:val="auto"/>
              </w:rPr>
              <w:t>Impairment of fixed assets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390</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8"/>
        </w:trPr>
        <w:tc>
          <w:tcPr>
            <w:tcW w:w="6900" w:type="dxa"/>
            <w:vAlign w:val="bottom"/>
          </w:tcPr>
          <w:p>
            <w:pPr>
              <w:ind w:left="840"/>
              <w:spacing w:after="0"/>
              <w:rPr>
                <w:sz w:val="20"/>
                <w:szCs w:val="20"/>
                <w:color w:val="auto"/>
              </w:rPr>
            </w:pPr>
            <w:r>
              <w:rPr>
                <w:rFonts w:ascii="Arial" w:cs="Arial" w:eastAsia="Arial" w:hAnsi="Arial"/>
                <w:sz w:val="19"/>
                <w:szCs w:val="19"/>
                <w:color w:val="auto"/>
              </w:rPr>
              <w:t>Loss on the sale of fixed assets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79</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8"/>
        </w:trPr>
        <w:tc>
          <w:tcPr>
            <w:tcW w:w="6900" w:type="dxa"/>
            <w:vAlign w:val="bottom"/>
          </w:tcPr>
          <w:p>
            <w:pPr>
              <w:ind w:left="840"/>
              <w:spacing w:after="0"/>
              <w:rPr>
                <w:sz w:val="20"/>
                <w:szCs w:val="20"/>
                <w:color w:val="auto"/>
              </w:rPr>
            </w:pPr>
            <w:r>
              <w:rPr>
                <w:rFonts w:ascii="Arial" w:cs="Arial" w:eastAsia="Arial" w:hAnsi="Arial"/>
                <w:sz w:val="19"/>
                <w:szCs w:val="19"/>
                <w:color w:val="auto"/>
              </w:rPr>
              <w:t>Non-cash stock compensation expense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3,091</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2,307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900" w:type="dxa"/>
            <w:vAlign w:val="bottom"/>
          </w:tcPr>
          <w:p>
            <w:pPr>
              <w:ind w:left="840"/>
              <w:spacing w:after="0"/>
              <w:rPr>
                <w:sz w:val="20"/>
                <w:szCs w:val="20"/>
                <w:color w:val="auto"/>
              </w:rPr>
            </w:pPr>
            <w:r>
              <w:rPr>
                <w:rFonts w:ascii="Arial" w:cs="Arial" w:eastAsia="Arial" w:hAnsi="Arial"/>
                <w:sz w:val="19"/>
                <w:szCs w:val="19"/>
                <w:color w:val="auto"/>
              </w:rPr>
              <w:t>Non-cash lease expense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240</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209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900" w:type="dxa"/>
            <w:vAlign w:val="bottom"/>
          </w:tcPr>
          <w:p>
            <w:pPr>
              <w:ind w:left="840"/>
              <w:spacing w:after="0"/>
              <w:rPr>
                <w:sz w:val="20"/>
                <w:szCs w:val="20"/>
                <w:color w:val="auto"/>
              </w:rPr>
            </w:pPr>
            <w:r>
              <w:rPr>
                <w:rFonts w:ascii="Arial" w:cs="Arial" w:eastAsia="Arial" w:hAnsi="Arial"/>
                <w:sz w:val="19"/>
                <w:szCs w:val="19"/>
                <w:color w:val="auto"/>
              </w:rPr>
              <w:t>Non-cash interest expense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103</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900" w:type="dxa"/>
            <w:vAlign w:val="bottom"/>
          </w:tcPr>
          <w:p>
            <w:pPr>
              <w:ind w:left="840"/>
              <w:spacing w:after="0"/>
              <w:rPr>
                <w:sz w:val="20"/>
                <w:szCs w:val="20"/>
                <w:color w:val="auto"/>
              </w:rPr>
            </w:pPr>
            <w:r>
              <w:rPr>
                <w:rFonts w:ascii="Arial" w:cs="Arial" w:eastAsia="Arial" w:hAnsi="Arial"/>
                <w:sz w:val="19"/>
                <w:szCs w:val="19"/>
                <w:color w:val="auto"/>
              </w:rPr>
              <w:t>Change in fair value of warrant liability</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9"/>
                <w:szCs w:val="19"/>
                <w:color w:val="auto"/>
              </w:rPr>
              <w:t>(966)</w:t>
            </w:r>
          </w:p>
        </w:tc>
        <w:tc>
          <w:tcPr>
            <w:tcW w:w="4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(16,370)</w:t>
            </w:r>
          </w:p>
        </w:tc>
        <w:tc>
          <w:tcPr>
            <w:tcW w:w="0" w:type="dxa"/>
            <w:vAlign w:val="bottom"/>
          </w:tcPr>
          <w:p>
            <w:pPr>
              <w:spacing w:after="0"/>
              <w:rPr>
                <w:sz w:val="1"/>
                <w:szCs w:val="1"/>
                <w:color w:val="auto"/>
              </w:rPr>
            </w:pPr>
          </w:p>
        </w:tc>
      </w:tr>
      <w:tr>
        <w:trPr>
          <w:trHeight w:val="218"/>
        </w:trPr>
        <w:tc>
          <w:tcPr>
            <w:tcW w:w="6900" w:type="dxa"/>
            <w:vAlign w:val="bottom"/>
          </w:tcPr>
          <w:p>
            <w:pPr>
              <w:ind w:left="840"/>
              <w:spacing w:after="0"/>
              <w:rPr>
                <w:sz w:val="20"/>
                <w:szCs w:val="20"/>
                <w:color w:val="auto"/>
              </w:rPr>
            </w:pPr>
            <w:r>
              <w:rPr>
                <w:rFonts w:ascii="Arial" w:cs="Arial" w:eastAsia="Arial" w:hAnsi="Arial"/>
                <w:sz w:val="19"/>
                <w:szCs w:val="19"/>
                <w:color w:val="auto"/>
              </w:rPr>
              <w:t>Accretion of debt discount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323</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291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900" w:type="dxa"/>
            <w:vAlign w:val="bottom"/>
          </w:tcPr>
          <w:p>
            <w:pPr>
              <w:ind w:left="560"/>
              <w:spacing w:after="0"/>
              <w:rPr>
                <w:sz w:val="20"/>
                <w:szCs w:val="20"/>
                <w:color w:val="auto"/>
              </w:rPr>
            </w:pPr>
            <w:r>
              <w:rPr>
                <w:rFonts w:ascii="Arial" w:cs="Arial" w:eastAsia="Arial" w:hAnsi="Arial"/>
                <w:sz w:val="19"/>
                <w:szCs w:val="19"/>
                <w:color w:val="auto"/>
              </w:rPr>
              <w:t>Changes in operating assets and liabilities: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900" w:type="dxa"/>
            <w:vAlign w:val="bottom"/>
          </w:tcPr>
          <w:p>
            <w:pPr>
              <w:ind w:left="840"/>
              <w:spacing w:after="0"/>
              <w:rPr>
                <w:sz w:val="20"/>
                <w:szCs w:val="20"/>
                <w:color w:val="auto"/>
              </w:rPr>
            </w:pPr>
            <w:r>
              <w:rPr>
                <w:rFonts w:ascii="Arial" w:cs="Arial" w:eastAsia="Arial" w:hAnsi="Arial"/>
                <w:sz w:val="19"/>
                <w:szCs w:val="19"/>
                <w:color w:val="auto"/>
              </w:rPr>
              <w:t>Prepaid expenses and other current assets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503</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416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900" w:type="dxa"/>
            <w:vAlign w:val="bottom"/>
          </w:tcPr>
          <w:p>
            <w:pPr>
              <w:ind w:left="840"/>
              <w:spacing w:after="0"/>
              <w:rPr>
                <w:sz w:val="20"/>
                <w:szCs w:val="20"/>
                <w:color w:val="auto"/>
              </w:rPr>
            </w:pPr>
            <w:r>
              <w:rPr>
                <w:rFonts w:ascii="Arial" w:cs="Arial" w:eastAsia="Arial" w:hAnsi="Arial"/>
                <w:sz w:val="19"/>
                <w:szCs w:val="19"/>
                <w:color w:val="auto"/>
              </w:rPr>
              <w:t>Other assets</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9"/>
                <w:szCs w:val="19"/>
                <w:color w:val="auto"/>
              </w:rPr>
              <w:t>(116)</w:t>
            </w:r>
          </w:p>
        </w:tc>
        <w:tc>
          <w:tcPr>
            <w:tcW w:w="4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8"/>
        </w:trPr>
        <w:tc>
          <w:tcPr>
            <w:tcW w:w="6900" w:type="dxa"/>
            <w:vAlign w:val="bottom"/>
          </w:tcPr>
          <w:p>
            <w:pPr>
              <w:ind w:left="840"/>
              <w:spacing w:after="0"/>
              <w:rPr>
                <w:sz w:val="20"/>
                <w:szCs w:val="20"/>
                <w:color w:val="auto"/>
              </w:rPr>
            </w:pPr>
            <w:r>
              <w:rPr>
                <w:rFonts w:ascii="Arial" w:cs="Arial" w:eastAsia="Arial" w:hAnsi="Arial"/>
                <w:sz w:val="19"/>
                <w:szCs w:val="19"/>
                <w:color w:val="auto"/>
              </w:rPr>
              <w:t>Accounts payable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45</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(1,213)</w:t>
            </w:r>
          </w:p>
        </w:tc>
        <w:tc>
          <w:tcPr>
            <w:tcW w:w="0" w:type="dxa"/>
            <w:vAlign w:val="bottom"/>
          </w:tcPr>
          <w:p>
            <w:pPr>
              <w:spacing w:after="0"/>
              <w:rPr>
                <w:sz w:val="1"/>
                <w:szCs w:val="1"/>
                <w:color w:val="auto"/>
              </w:rPr>
            </w:pPr>
          </w:p>
        </w:tc>
      </w:tr>
      <w:tr>
        <w:trPr>
          <w:trHeight w:val="218"/>
        </w:trPr>
        <w:tc>
          <w:tcPr>
            <w:tcW w:w="6900" w:type="dxa"/>
            <w:vAlign w:val="bottom"/>
          </w:tcPr>
          <w:p>
            <w:pPr>
              <w:ind w:left="840"/>
              <w:spacing w:after="0"/>
              <w:rPr>
                <w:sz w:val="20"/>
                <w:szCs w:val="20"/>
                <w:color w:val="auto"/>
              </w:rPr>
            </w:pPr>
            <w:r>
              <w:rPr>
                <w:rFonts w:ascii="Arial" w:cs="Arial" w:eastAsia="Arial" w:hAnsi="Arial"/>
                <w:sz w:val="19"/>
                <w:szCs w:val="19"/>
                <w:color w:val="auto"/>
              </w:rPr>
              <w:t>Accrued expenses</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9"/>
                <w:szCs w:val="19"/>
                <w:color w:val="auto"/>
              </w:rPr>
              <w:t>(301)</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1,265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900" w:type="dxa"/>
            <w:vAlign w:val="bottom"/>
          </w:tcPr>
          <w:p>
            <w:pPr>
              <w:ind w:left="840"/>
              <w:spacing w:after="0"/>
              <w:rPr>
                <w:sz w:val="20"/>
                <w:szCs w:val="20"/>
                <w:color w:val="auto"/>
              </w:rPr>
            </w:pPr>
            <w:r>
              <w:rPr>
                <w:rFonts w:ascii="Arial" w:cs="Arial" w:eastAsia="Arial" w:hAnsi="Arial"/>
                <w:sz w:val="19"/>
                <w:szCs w:val="19"/>
                <w:color w:val="auto"/>
              </w:rPr>
              <w:t>Deferred revenue</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9"/>
                <w:szCs w:val="19"/>
                <w:color w:val="auto"/>
              </w:rPr>
              <w:t>(192)</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900" w:type="dxa"/>
            <w:vAlign w:val="bottom"/>
          </w:tcPr>
          <w:p>
            <w:pPr>
              <w:ind w:left="840"/>
              <w:spacing w:after="0"/>
              <w:rPr>
                <w:sz w:val="20"/>
                <w:szCs w:val="20"/>
                <w:color w:val="auto"/>
              </w:rPr>
            </w:pPr>
            <w:r>
              <w:rPr>
                <w:rFonts w:ascii="Arial" w:cs="Arial" w:eastAsia="Arial" w:hAnsi="Arial"/>
                <w:sz w:val="19"/>
                <w:szCs w:val="19"/>
                <w:color w:val="auto"/>
              </w:rPr>
              <w:t>Lease liability</w:t>
            </w:r>
          </w:p>
        </w:tc>
        <w:tc>
          <w:tcPr>
            <w:tcW w:w="3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9"/>
                <w:szCs w:val="19"/>
                <w:color w:val="auto"/>
              </w:rPr>
              <w:t>(464)</w:t>
            </w:r>
          </w:p>
        </w:tc>
        <w:tc>
          <w:tcPr>
            <w:tcW w:w="4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(464)</w:t>
            </w:r>
          </w:p>
        </w:tc>
        <w:tc>
          <w:tcPr>
            <w:tcW w:w="0" w:type="dxa"/>
            <w:vAlign w:val="bottom"/>
          </w:tcPr>
          <w:p>
            <w:pPr>
              <w:spacing w:after="0"/>
              <w:rPr>
                <w:sz w:val="1"/>
                <w:szCs w:val="1"/>
                <w:color w:val="auto"/>
              </w:rPr>
            </w:pPr>
          </w:p>
        </w:tc>
      </w:tr>
      <w:tr>
        <w:trPr>
          <w:trHeight w:val="208"/>
        </w:trPr>
        <w:tc>
          <w:tcPr>
            <w:tcW w:w="6900" w:type="dxa"/>
            <w:vAlign w:val="bottom"/>
          </w:tcPr>
          <w:p>
            <w:pPr>
              <w:spacing w:after="0" w:line="209" w:lineRule="exact"/>
              <w:rPr>
                <w:sz w:val="20"/>
                <w:szCs w:val="20"/>
                <w:color w:val="auto"/>
              </w:rPr>
            </w:pPr>
            <w:r>
              <w:rPr>
                <w:rFonts w:ascii="Arial" w:cs="Arial" w:eastAsia="Arial" w:hAnsi="Arial"/>
                <w:sz w:val="19"/>
                <w:szCs w:val="19"/>
                <w:color w:val="auto"/>
              </w:rPr>
              <w:t>Net cash used in operating activities</w:t>
            </w: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19"/>
                <w:szCs w:val="19"/>
                <w:b w:val="1"/>
                <w:bCs w:val="1"/>
                <w:color w:val="auto"/>
              </w:rPr>
              <w:t>(34,244)</w:t>
            </w:r>
          </w:p>
        </w:tc>
        <w:tc>
          <w:tcPr>
            <w:tcW w:w="28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19"/>
                <w:szCs w:val="19"/>
                <w:b w:val="1"/>
                <w:bCs w:val="1"/>
                <w:color w:val="auto"/>
              </w:rPr>
              <w:t>(31,419)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900" w:type="dxa"/>
            <w:vAlign w:val="bottom"/>
          </w:tcPr>
          <w:p>
            <w:pPr>
              <w:spacing w:after="0" w:line="191" w:lineRule="exact"/>
              <w:rPr>
                <w:sz w:val="20"/>
                <w:szCs w:val="20"/>
                <w:color w:val="auto"/>
              </w:rPr>
            </w:pPr>
            <w:r>
              <w:rPr>
                <w:rFonts w:ascii="Arial" w:cs="Arial" w:eastAsia="Arial" w:hAnsi="Arial"/>
                <w:sz w:val="19"/>
                <w:szCs w:val="19"/>
                <w:b w:val="1"/>
                <w:bCs w:val="1"/>
                <w:color w:val="auto"/>
              </w:rPr>
              <w:t>Cash Flows from Investing Activities:</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900" w:type="dxa"/>
            <w:vAlign w:val="bottom"/>
          </w:tcPr>
          <w:p>
            <w:pPr>
              <w:ind w:left="280"/>
              <w:spacing w:after="0"/>
              <w:rPr>
                <w:sz w:val="20"/>
                <w:szCs w:val="20"/>
                <w:color w:val="auto"/>
              </w:rPr>
            </w:pPr>
            <w:r>
              <w:rPr>
                <w:rFonts w:ascii="Arial" w:cs="Arial" w:eastAsia="Arial" w:hAnsi="Arial"/>
                <w:sz w:val="19"/>
                <w:szCs w:val="19"/>
                <w:color w:val="auto"/>
              </w:rPr>
              <w:t>Purchase of fixed assets</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9"/>
                <w:szCs w:val="19"/>
                <w:color w:val="auto"/>
              </w:rPr>
              <w:t>(457)</w:t>
            </w:r>
          </w:p>
        </w:tc>
        <w:tc>
          <w:tcPr>
            <w:tcW w:w="4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(1,297)</w:t>
            </w:r>
          </w:p>
        </w:tc>
        <w:tc>
          <w:tcPr>
            <w:tcW w:w="0" w:type="dxa"/>
            <w:vAlign w:val="bottom"/>
          </w:tcPr>
          <w:p>
            <w:pPr>
              <w:spacing w:after="0"/>
              <w:rPr>
                <w:sz w:val="1"/>
                <w:szCs w:val="1"/>
                <w:color w:val="auto"/>
              </w:rPr>
            </w:pPr>
          </w:p>
        </w:tc>
      </w:tr>
      <w:tr>
        <w:trPr>
          <w:trHeight w:val="236"/>
        </w:trPr>
        <w:tc>
          <w:tcPr>
            <w:tcW w:w="6900" w:type="dxa"/>
            <w:vAlign w:val="bottom"/>
          </w:tcPr>
          <w:p>
            <w:pPr>
              <w:ind w:left="280"/>
              <w:spacing w:after="0"/>
              <w:rPr>
                <w:sz w:val="20"/>
                <w:szCs w:val="20"/>
                <w:color w:val="auto"/>
              </w:rPr>
            </w:pPr>
            <w:r>
              <w:rPr>
                <w:rFonts w:ascii="Arial" w:cs="Arial" w:eastAsia="Arial" w:hAnsi="Arial"/>
                <w:sz w:val="19"/>
                <w:szCs w:val="19"/>
                <w:color w:val="auto"/>
              </w:rPr>
              <w:t>Proceeds from the sale of fixed assets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177</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08"/>
        </w:trPr>
        <w:tc>
          <w:tcPr>
            <w:tcW w:w="6900" w:type="dxa"/>
            <w:vAlign w:val="bottom"/>
          </w:tcPr>
          <w:p>
            <w:pPr>
              <w:spacing w:after="0" w:line="209" w:lineRule="exact"/>
              <w:rPr>
                <w:sz w:val="20"/>
                <w:szCs w:val="20"/>
                <w:color w:val="auto"/>
              </w:rPr>
            </w:pPr>
            <w:r>
              <w:rPr>
                <w:rFonts w:ascii="Arial" w:cs="Arial" w:eastAsia="Arial" w:hAnsi="Arial"/>
                <w:sz w:val="19"/>
                <w:szCs w:val="19"/>
                <w:color w:val="auto"/>
              </w:rPr>
              <w:t>Net cash used in investing activities</w:t>
            </w: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19"/>
                <w:szCs w:val="19"/>
                <w:b w:val="1"/>
                <w:bCs w:val="1"/>
                <w:color w:val="auto"/>
              </w:rPr>
              <w:t>(280)</w:t>
            </w:r>
          </w:p>
        </w:tc>
        <w:tc>
          <w:tcPr>
            <w:tcW w:w="28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19"/>
                <w:szCs w:val="19"/>
                <w:b w:val="1"/>
                <w:bCs w:val="1"/>
                <w:color w:val="auto"/>
              </w:rPr>
              <w:t>(1,297)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900" w:type="dxa"/>
            <w:vAlign w:val="bottom"/>
          </w:tcPr>
          <w:p>
            <w:pPr>
              <w:spacing w:after="0" w:line="191" w:lineRule="exact"/>
              <w:rPr>
                <w:sz w:val="20"/>
                <w:szCs w:val="20"/>
                <w:color w:val="auto"/>
              </w:rPr>
            </w:pPr>
            <w:r>
              <w:rPr>
                <w:rFonts w:ascii="Arial" w:cs="Arial" w:eastAsia="Arial" w:hAnsi="Arial"/>
                <w:sz w:val="19"/>
                <w:szCs w:val="19"/>
                <w:b w:val="1"/>
                <w:bCs w:val="1"/>
                <w:color w:val="auto"/>
              </w:rPr>
              <w:t>Cash Flows from Financing Activities:</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900" w:type="dxa"/>
            <w:vAlign w:val="bottom"/>
          </w:tcPr>
          <w:p>
            <w:pPr>
              <w:ind w:left="280"/>
              <w:spacing w:after="0"/>
              <w:rPr>
                <w:sz w:val="20"/>
                <w:szCs w:val="20"/>
                <w:color w:val="auto"/>
              </w:rPr>
            </w:pPr>
            <w:r>
              <w:rPr>
                <w:rFonts w:ascii="Arial" w:cs="Arial" w:eastAsia="Arial" w:hAnsi="Arial"/>
                <w:sz w:val="19"/>
                <w:szCs w:val="19"/>
                <w:color w:val="auto"/>
              </w:rPr>
              <w:t>Net proceeds from bank term loan</w:t>
            </w:r>
          </w:p>
        </w:tc>
        <w:tc>
          <w:tcPr>
            <w:tcW w:w="32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9"/>
                <w:szCs w:val="19"/>
                <w:color w:val="auto"/>
              </w:rPr>
              <w:t>—</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19,910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900" w:type="dxa"/>
            <w:vAlign w:val="bottom"/>
          </w:tcPr>
          <w:p>
            <w:pPr>
              <w:ind w:left="280"/>
              <w:spacing w:after="0"/>
              <w:rPr>
                <w:sz w:val="20"/>
                <w:szCs w:val="20"/>
                <w:color w:val="auto"/>
              </w:rPr>
            </w:pPr>
            <w:r>
              <w:rPr>
                <w:rFonts w:ascii="Arial" w:cs="Arial" w:eastAsia="Arial" w:hAnsi="Arial"/>
                <w:sz w:val="19"/>
                <w:szCs w:val="19"/>
                <w:color w:val="auto"/>
              </w:rPr>
              <w:t>Payments related to tax withholding for vested restricted stock units</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9"/>
                <w:szCs w:val="19"/>
                <w:color w:val="auto"/>
              </w:rPr>
              <w:t>(121)</w:t>
            </w:r>
          </w:p>
        </w:tc>
        <w:tc>
          <w:tcPr>
            <w:tcW w:w="4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36"/>
        </w:trPr>
        <w:tc>
          <w:tcPr>
            <w:tcW w:w="6900" w:type="dxa"/>
            <w:vAlign w:val="bottom"/>
          </w:tcPr>
          <w:p>
            <w:pPr>
              <w:ind w:left="280"/>
              <w:spacing w:after="0"/>
              <w:rPr>
                <w:sz w:val="20"/>
                <w:szCs w:val="20"/>
                <w:color w:val="auto"/>
              </w:rPr>
            </w:pPr>
            <w:r>
              <w:rPr>
                <w:rFonts w:ascii="Arial" w:cs="Arial" w:eastAsia="Arial" w:hAnsi="Arial"/>
                <w:sz w:val="19"/>
                <w:szCs w:val="19"/>
                <w:color w:val="auto"/>
              </w:rPr>
              <w:t>Proceeds from option exercises</w:t>
            </w:r>
          </w:p>
        </w:tc>
        <w:tc>
          <w:tcPr>
            <w:tcW w:w="32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9"/>
                <w:szCs w:val="19"/>
                <w:color w:val="auto"/>
              </w:rPr>
              <w:t>—</w:t>
            </w:r>
          </w:p>
        </w:tc>
        <w:tc>
          <w:tcPr>
            <w:tcW w:w="4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64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6900" w:type="dxa"/>
            <w:vAlign w:val="bottom"/>
          </w:tcPr>
          <w:p>
            <w:pPr>
              <w:spacing w:after="0" w:line="209" w:lineRule="exact"/>
              <w:rPr>
                <w:sz w:val="20"/>
                <w:szCs w:val="20"/>
                <w:color w:val="auto"/>
              </w:rPr>
            </w:pPr>
            <w:r>
              <w:rPr>
                <w:rFonts w:ascii="Arial" w:cs="Arial" w:eastAsia="Arial" w:hAnsi="Arial"/>
                <w:sz w:val="19"/>
                <w:szCs w:val="19"/>
                <w:color w:val="auto"/>
              </w:rPr>
              <w:t>Net cash (used in) provided by financing activities</w:t>
            </w: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19"/>
                <w:szCs w:val="19"/>
                <w:b w:val="1"/>
                <w:bCs w:val="1"/>
                <w:color w:val="auto"/>
              </w:rPr>
              <w:t>(121)</w:t>
            </w:r>
          </w:p>
        </w:tc>
        <w:tc>
          <w:tcPr>
            <w:tcW w:w="28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19"/>
                <w:szCs w:val="19"/>
                <w:b w:val="1"/>
                <w:bCs w:val="1"/>
                <w:color w:val="auto"/>
              </w:rPr>
              <w:t>19,974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6900" w:type="dxa"/>
            <w:vAlign w:val="bottom"/>
          </w:tcPr>
          <w:p>
            <w:pPr>
              <w:spacing w:after="0" w:line="187" w:lineRule="exact"/>
              <w:rPr>
                <w:sz w:val="20"/>
                <w:szCs w:val="20"/>
                <w:color w:val="auto"/>
              </w:rPr>
            </w:pPr>
            <w:r>
              <w:rPr>
                <w:rFonts w:ascii="Arial" w:cs="Arial" w:eastAsia="Arial" w:hAnsi="Arial"/>
                <w:sz w:val="19"/>
                <w:szCs w:val="19"/>
                <w:color w:val="auto"/>
              </w:rPr>
              <w:t>Net decrease in cash</w:t>
            </w:r>
          </w:p>
        </w:tc>
        <w:tc>
          <w:tcPr>
            <w:tcW w:w="320" w:type="dxa"/>
            <w:vAlign w:val="bottom"/>
          </w:tcPr>
          <w:p>
            <w:pPr>
              <w:spacing w:after="0"/>
              <w:rPr>
                <w:sz w:val="16"/>
                <w:szCs w:val="16"/>
                <w:color w:val="auto"/>
              </w:rPr>
            </w:pPr>
          </w:p>
        </w:tc>
        <w:tc>
          <w:tcPr>
            <w:tcW w:w="1080" w:type="dxa"/>
            <w:vAlign w:val="bottom"/>
          </w:tcPr>
          <w:p>
            <w:pPr>
              <w:jc w:val="right"/>
              <w:spacing w:after="0" w:line="187" w:lineRule="exact"/>
              <w:rPr>
                <w:sz w:val="20"/>
                <w:szCs w:val="20"/>
                <w:color w:val="auto"/>
              </w:rPr>
            </w:pPr>
            <w:r>
              <w:rPr>
                <w:rFonts w:ascii="Arial" w:cs="Arial" w:eastAsia="Arial" w:hAnsi="Arial"/>
                <w:sz w:val="19"/>
                <w:szCs w:val="19"/>
                <w:b w:val="1"/>
                <w:bCs w:val="1"/>
                <w:color w:val="auto"/>
              </w:rPr>
              <w:t>(34,645)</w:t>
            </w: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jc w:val="right"/>
              <w:spacing w:after="0" w:line="187" w:lineRule="exact"/>
              <w:rPr>
                <w:sz w:val="20"/>
                <w:szCs w:val="20"/>
                <w:color w:val="auto"/>
              </w:rPr>
            </w:pPr>
            <w:r>
              <w:rPr>
                <w:rFonts w:ascii="Arial" w:cs="Arial" w:eastAsia="Arial" w:hAnsi="Arial"/>
                <w:sz w:val="19"/>
                <w:szCs w:val="19"/>
                <w:b w:val="1"/>
                <w:bCs w:val="1"/>
                <w:color w:val="auto"/>
              </w:rPr>
              <w:t>(12,742)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6900" w:type="dxa"/>
            <w:vAlign w:val="bottom"/>
          </w:tcPr>
          <w:p>
            <w:pPr>
              <w:spacing w:after="0"/>
              <w:rPr>
                <w:sz w:val="20"/>
                <w:szCs w:val="20"/>
                <w:color w:val="auto"/>
              </w:rPr>
            </w:pPr>
            <w:r>
              <w:rPr>
                <w:rFonts w:ascii="Arial" w:cs="Arial" w:eastAsia="Arial" w:hAnsi="Arial"/>
                <w:sz w:val="19"/>
                <w:szCs w:val="19"/>
                <w:color w:val="auto"/>
              </w:rPr>
              <w:t>Cash, cash equivalents and restricted cash at beginning of period</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70,324</w:t>
            </w:r>
          </w:p>
        </w:tc>
        <w:tc>
          <w:tcPr>
            <w:tcW w:w="2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83,066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6900" w:type="dxa"/>
            <w:vAlign w:val="bottom"/>
          </w:tcPr>
          <w:p>
            <w:pPr>
              <w:spacing w:after="0" w:line="209" w:lineRule="exact"/>
              <w:rPr>
                <w:sz w:val="20"/>
                <w:szCs w:val="20"/>
                <w:color w:val="auto"/>
              </w:rPr>
            </w:pPr>
            <w:r>
              <w:rPr>
                <w:rFonts w:ascii="Arial" w:cs="Arial" w:eastAsia="Arial" w:hAnsi="Arial"/>
                <w:sz w:val="19"/>
                <w:szCs w:val="19"/>
                <w:color w:val="auto"/>
              </w:rPr>
              <w:t>Cash, cash equivalents and restricted cash at end of period</w:t>
            </w:r>
          </w:p>
        </w:tc>
        <w:tc>
          <w:tcPr>
            <w:tcW w:w="320" w:type="dxa"/>
            <w:vAlign w:val="bottom"/>
            <w:tcBorders>
              <w:bottom w:val="single" w:sz="8" w:color="auto"/>
            </w:tcBorders>
          </w:tcPr>
          <w:p>
            <w:pPr>
              <w:jc w:val="right"/>
              <w:ind w:right="125"/>
              <w:spacing w:after="0" w:line="209" w:lineRule="exact"/>
              <w:rPr>
                <w:sz w:val="20"/>
                <w:szCs w:val="20"/>
                <w:color w:val="auto"/>
              </w:rPr>
            </w:pPr>
            <w:r>
              <w:rPr>
                <w:rFonts w:ascii="Arial" w:cs="Arial" w:eastAsia="Arial" w:hAnsi="Arial"/>
                <w:sz w:val="19"/>
                <w:szCs w:val="19"/>
                <w:b w:val="1"/>
                <w:bCs w:val="1"/>
                <w:color w:val="auto"/>
                <w:w w:val="75"/>
              </w:rPr>
              <w:t>$</w:t>
            </w:r>
          </w:p>
        </w:tc>
        <w:tc>
          <w:tcPr>
            <w:tcW w:w="108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19"/>
                <w:szCs w:val="19"/>
                <w:b w:val="1"/>
                <w:bCs w:val="1"/>
                <w:color w:val="auto"/>
              </w:rPr>
              <w:t>35,679</w:t>
            </w:r>
          </w:p>
        </w:tc>
        <w:tc>
          <w:tcPr>
            <w:tcW w:w="280" w:type="dxa"/>
            <w:vAlign w:val="bottom"/>
          </w:tcPr>
          <w:p>
            <w:pPr>
              <w:spacing w:after="0"/>
              <w:rPr>
                <w:sz w:val="18"/>
                <w:szCs w:val="18"/>
                <w:color w:val="auto"/>
              </w:rPr>
            </w:pPr>
          </w:p>
        </w:tc>
        <w:tc>
          <w:tcPr>
            <w:tcW w:w="480" w:type="dxa"/>
            <w:vAlign w:val="bottom"/>
            <w:tcBorders>
              <w:bottom w:val="single" w:sz="8" w:color="auto"/>
            </w:tcBorders>
          </w:tcPr>
          <w:p>
            <w:pPr>
              <w:jc w:val="right"/>
              <w:ind w:right="285"/>
              <w:spacing w:after="0" w:line="209" w:lineRule="exact"/>
              <w:rPr>
                <w:sz w:val="20"/>
                <w:szCs w:val="20"/>
                <w:color w:val="auto"/>
              </w:rPr>
            </w:pPr>
            <w:r>
              <w:rPr>
                <w:rFonts w:ascii="Arial" w:cs="Arial" w:eastAsia="Arial" w:hAnsi="Arial"/>
                <w:sz w:val="19"/>
                <w:szCs w:val="19"/>
                <w:b w:val="1"/>
                <w:bCs w:val="1"/>
                <w:color w:val="auto"/>
                <w:w w:val="75"/>
              </w:rPr>
              <w:t>$</w:t>
            </w:r>
          </w:p>
        </w:tc>
        <w:tc>
          <w:tcPr>
            <w:tcW w:w="92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19"/>
                <w:szCs w:val="19"/>
                <w:b w:val="1"/>
                <w:bCs w:val="1"/>
                <w:color w:val="auto"/>
              </w:rPr>
              <w:t>70,324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9"/>
                <w:szCs w:val="19"/>
                <w:b w:val="1"/>
                <w:bCs w:val="1"/>
                <w:color w:val="auto"/>
              </w:rPr>
              <w:t>Supplemental cash flow information:</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9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900" w:type="dxa"/>
            <w:vAlign w:val="bottom"/>
          </w:tcPr>
          <w:p>
            <w:pPr>
              <w:ind w:left="280"/>
              <w:spacing w:after="0"/>
              <w:rPr>
                <w:sz w:val="20"/>
                <w:szCs w:val="20"/>
                <w:color w:val="auto"/>
              </w:rPr>
            </w:pPr>
            <w:r>
              <w:rPr>
                <w:rFonts w:ascii="Arial" w:cs="Arial" w:eastAsia="Arial" w:hAnsi="Arial"/>
                <w:sz w:val="19"/>
                <w:szCs w:val="19"/>
                <w:color w:val="auto"/>
              </w:rPr>
              <w:t>Cash paid for taxes</w:t>
            </w:r>
          </w:p>
        </w:tc>
        <w:tc>
          <w:tcPr>
            <w:tcW w:w="320" w:type="dxa"/>
            <w:vAlign w:val="bottom"/>
          </w:tcPr>
          <w:p>
            <w:pPr>
              <w:jc w:val="right"/>
              <w:ind w:right="125"/>
              <w:spacing w:after="0"/>
              <w:rPr>
                <w:sz w:val="20"/>
                <w:szCs w:val="20"/>
                <w:color w:val="auto"/>
              </w:rPr>
            </w:pPr>
            <w:r>
              <w:rPr>
                <w:rFonts w:ascii="Arial" w:cs="Arial" w:eastAsia="Arial" w:hAnsi="Arial"/>
                <w:sz w:val="19"/>
                <w:szCs w:val="19"/>
                <w:color w:val="auto"/>
                <w:w w:val="75"/>
              </w:rPr>
              <w:t>$</w:t>
            </w:r>
          </w:p>
        </w:tc>
        <w:tc>
          <w:tcPr>
            <w:tcW w:w="1360" w:type="dxa"/>
            <w:vAlign w:val="bottom"/>
            <w:gridSpan w:val="2"/>
          </w:tcPr>
          <w:p>
            <w:pPr>
              <w:jc w:val="right"/>
              <w:ind w:right="280"/>
              <w:spacing w:after="0"/>
              <w:rPr>
                <w:sz w:val="20"/>
                <w:szCs w:val="20"/>
                <w:color w:val="auto"/>
              </w:rPr>
            </w:pPr>
            <w:r>
              <w:rPr>
                <w:rFonts w:ascii="Arial" w:cs="Arial" w:eastAsia="Arial" w:hAnsi="Arial"/>
                <w:sz w:val="19"/>
                <w:szCs w:val="19"/>
                <w:color w:val="auto"/>
              </w:rPr>
              <w:t>—</w:t>
            </w:r>
          </w:p>
        </w:tc>
        <w:tc>
          <w:tcPr>
            <w:tcW w:w="480" w:type="dxa"/>
            <w:vAlign w:val="bottom"/>
          </w:tcPr>
          <w:p>
            <w:pPr>
              <w:jc w:val="right"/>
              <w:ind w:right="285"/>
              <w:spacing w:after="0"/>
              <w:rPr>
                <w:sz w:val="20"/>
                <w:szCs w:val="20"/>
                <w:color w:val="auto"/>
              </w:rPr>
            </w:pPr>
            <w:r>
              <w:rPr>
                <w:rFonts w:ascii="Arial" w:cs="Arial" w:eastAsia="Arial" w:hAnsi="Arial"/>
                <w:sz w:val="19"/>
                <w:szCs w:val="19"/>
                <w:color w:val="auto"/>
                <w:w w:val="75"/>
              </w:rPr>
              <w:t>$</w:t>
            </w:r>
          </w:p>
        </w:tc>
        <w:tc>
          <w:tcPr>
            <w:tcW w:w="920" w:type="dxa"/>
            <w:vAlign w:val="bottom"/>
          </w:tcPr>
          <w:p>
            <w:pPr>
              <w:jc w:val="right"/>
              <w:spacing w:after="0"/>
              <w:rPr>
                <w:sz w:val="20"/>
                <w:szCs w:val="20"/>
                <w:color w:val="auto"/>
              </w:rPr>
            </w:pPr>
            <w:r>
              <w:rPr>
                <w:rFonts w:ascii="Arial" w:cs="Arial" w:eastAsia="Arial" w:hAnsi="Arial"/>
                <w:sz w:val="19"/>
                <w:szCs w:val="19"/>
                <w:color w:val="auto"/>
              </w:rPr>
              <w:t>183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900" w:type="dxa"/>
            <w:vAlign w:val="bottom"/>
          </w:tcPr>
          <w:p>
            <w:pPr>
              <w:ind w:left="280"/>
              <w:spacing w:after="0" w:line="214" w:lineRule="exact"/>
              <w:rPr>
                <w:sz w:val="20"/>
                <w:szCs w:val="20"/>
                <w:color w:val="auto"/>
              </w:rPr>
            </w:pPr>
            <w:r>
              <w:rPr>
                <w:rFonts w:ascii="Arial" w:cs="Arial" w:eastAsia="Arial" w:hAnsi="Arial"/>
                <w:sz w:val="19"/>
                <w:szCs w:val="19"/>
                <w:color w:val="auto"/>
              </w:rPr>
              <w:t>Cash paid for interest</w:t>
            </w:r>
          </w:p>
        </w:tc>
        <w:tc>
          <w:tcPr>
            <w:tcW w:w="320" w:type="dxa"/>
            <w:vAlign w:val="bottom"/>
          </w:tcPr>
          <w:p>
            <w:pPr>
              <w:jc w:val="right"/>
              <w:ind w:right="125"/>
              <w:spacing w:after="0" w:line="214" w:lineRule="exact"/>
              <w:rPr>
                <w:sz w:val="20"/>
                <w:szCs w:val="20"/>
                <w:color w:val="auto"/>
              </w:rPr>
            </w:pPr>
            <w:r>
              <w:rPr>
                <w:rFonts w:ascii="Arial" w:cs="Arial" w:eastAsia="Arial" w:hAnsi="Arial"/>
                <w:sz w:val="19"/>
                <w:szCs w:val="19"/>
                <w:color w:val="auto"/>
                <w:w w:val="75"/>
              </w:rPr>
              <w:t>$</w:t>
            </w:r>
          </w:p>
        </w:tc>
        <w:tc>
          <w:tcPr>
            <w:tcW w:w="1080" w:type="dxa"/>
            <w:vAlign w:val="bottom"/>
          </w:tcPr>
          <w:p>
            <w:pPr>
              <w:jc w:val="right"/>
              <w:spacing w:after="0" w:line="214" w:lineRule="exact"/>
              <w:rPr>
                <w:sz w:val="20"/>
                <w:szCs w:val="20"/>
                <w:color w:val="auto"/>
              </w:rPr>
            </w:pPr>
            <w:r>
              <w:rPr>
                <w:rFonts w:ascii="Arial" w:cs="Arial" w:eastAsia="Arial" w:hAnsi="Arial"/>
                <w:sz w:val="19"/>
                <w:szCs w:val="19"/>
                <w:color w:val="auto"/>
              </w:rPr>
              <w:t>2,148</w:t>
            </w:r>
          </w:p>
        </w:tc>
        <w:tc>
          <w:tcPr>
            <w:tcW w:w="280" w:type="dxa"/>
            <w:vAlign w:val="bottom"/>
          </w:tcPr>
          <w:p>
            <w:pPr>
              <w:spacing w:after="0"/>
              <w:rPr>
                <w:sz w:val="18"/>
                <w:szCs w:val="18"/>
                <w:color w:val="auto"/>
              </w:rPr>
            </w:pPr>
          </w:p>
        </w:tc>
        <w:tc>
          <w:tcPr>
            <w:tcW w:w="480" w:type="dxa"/>
            <w:vAlign w:val="bottom"/>
          </w:tcPr>
          <w:p>
            <w:pPr>
              <w:jc w:val="right"/>
              <w:ind w:right="285"/>
              <w:spacing w:after="0" w:line="214" w:lineRule="exact"/>
              <w:rPr>
                <w:sz w:val="20"/>
                <w:szCs w:val="20"/>
                <w:color w:val="auto"/>
              </w:rPr>
            </w:pPr>
            <w:r>
              <w:rPr>
                <w:rFonts w:ascii="Arial" w:cs="Arial" w:eastAsia="Arial" w:hAnsi="Arial"/>
                <w:sz w:val="19"/>
                <w:szCs w:val="19"/>
                <w:color w:val="auto"/>
                <w:w w:val="75"/>
              </w:rPr>
              <w:t>$</w:t>
            </w:r>
          </w:p>
        </w:tc>
        <w:tc>
          <w:tcPr>
            <w:tcW w:w="920" w:type="dxa"/>
            <w:vAlign w:val="bottom"/>
          </w:tcPr>
          <w:p>
            <w:pPr>
              <w:jc w:val="right"/>
              <w:spacing w:after="0" w:line="214" w:lineRule="exact"/>
              <w:rPr>
                <w:sz w:val="20"/>
                <w:szCs w:val="20"/>
                <w:color w:val="auto"/>
              </w:rPr>
            </w:pPr>
            <w:r>
              <w:rPr>
                <w:rFonts w:ascii="Arial" w:cs="Arial" w:eastAsia="Arial" w:hAnsi="Arial"/>
                <w:sz w:val="19"/>
                <w:szCs w:val="19"/>
                <w:color w:val="auto"/>
              </w:rPr>
              <w:t>1,152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00" w:type="dxa"/>
            <w:vAlign w:val="bottom"/>
          </w:tcPr>
          <w:p>
            <w:pPr>
              <w:spacing w:after="0"/>
              <w:rPr>
                <w:sz w:val="20"/>
                <w:szCs w:val="20"/>
                <w:color w:val="auto"/>
              </w:rPr>
            </w:pPr>
            <w:r>
              <w:rPr>
                <w:rFonts w:ascii="Arial" w:cs="Arial" w:eastAsia="Arial" w:hAnsi="Arial"/>
                <w:sz w:val="19"/>
                <w:szCs w:val="19"/>
                <w:b w:val="1"/>
                <w:bCs w:val="1"/>
                <w:color w:val="auto"/>
              </w:rPr>
              <w:t>Supplemental disclosures of non-cash information:</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900" w:type="dxa"/>
            <w:vAlign w:val="bottom"/>
          </w:tcPr>
          <w:p>
            <w:pPr>
              <w:ind w:left="280"/>
              <w:spacing w:after="0"/>
              <w:rPr>
                <w:sz w:val="20"/>
                <w:szCs w:val="20"/>
                <w:color w:val="auto"/>
              </w:rPr>
            </w:pPr>
            <w:r>
              <w:rPr>
                <w:rFonts w:ascii="Arial" w:cs="Arial" w:eastAsia="Arial" w:hAnsi="Arial"/>
                <w:sz w:val="19"/>
                <w:szCs w:val="19"/>
                <w:color w:val="auto"/>
              </w:rPr>
              <w:t>Lease liability arising from obtaining right-of-use assets</w:t>
            </w:r>
          </w:p>
        </w:tc>
        <w:tc>
          <w:tcPr>
            <w:tcW w:w="320" w:type="dxa"/>
            <w:vAlign w:val="bottom"/>
          </w:tcPr>
          <w:p>
            <w:pPr>
              <w:jc w:val="right"/>
              <w:ind w:right="125"/>
              <w:spacing w:after="0"/>
              <w:rPr>
                <w:sz w:val="20"/>
                <w:szCs w:val="20"/>
                <w:color w:val="auto"/>
              </w:rPr>
            </w:pPr>
            <w:r>
              <w:rPr>
                <w:rFonts w:ascii="Arial" w:cs="Arial" w:eastAsia="Arial" w:hAnsi="Arial"/>
                <w:sz w:val="19"/>
                <w:szCs w:val="19"/>
                <w:color w:val="auto"/>
                <w:w w:val="75"/>
              </w:rPr>
              <w:t>$</w:t>
            </w:r>
          </w:p>
        </w:tc>
        <w:tc>
          <w:tcPr>
            <w:tcW w:w="1360" w:type="dxa"/>
            <w:vAlign w:val="bottom"/>
            <w:gridSpan w:val="2"/>
          </w:tcPr>
          <w:p>
            <w:pPr>
              <w:jc w:val="right"/>
              <w:ind w:right="280"/>
              <w:spacing w:after="0"/>
              <w:rPr>
                <w:sz w:val="20"/>
                <w:szCs w:val="20"/>
                <w:color w:val="auto"/>
              </w:rPr>
            </w:pPr>
            <w:r>
              <w:rPr>
                <w:rFonts w:ascii="Arial" w:cs="Arial" w:eastAsia="Arial" w:hAnsi="Arial"/>
                <w:sz w:val="19"/>
                <w:szCs w:val="19"/>
                <w:color w:val="auto"/>
              </w:rPr>
              <w:t>—</w:t>
            </w:r>
          </w:p>
        </w:tc>
        <w:tc>
          <w:tcPr>
            <w:tcW w:w="480" w:type="dxa"/>
            <w:vAlign w:val="bottom"/>
          </w:tcPr>
          <w:p>
            <w:pPr>
              <w:jc w:val="right"/>
              <w:ind w:right="285"/>
              <w:spacing w:after="0"/>
              <w:rPr>
                <w:sz w:val="20"/>
                <w:szCs w:val="20"/>
                <w:color w:val="auto"/>
              </w:rPr>
            </w:pPr>
            <w:r>
              <w:rPr>
                <w:rFonts w:ascii="Arial" w:cs="Arial" w:eastAsia="Arial" w:hAnsi="Arial"/>
                <w:sz w:val="19"/>
                <w:szCs w:val="19"/>
                <w:color w:val="auto"/>
                <w:w w:val="75"/>
              </w:rPr>
              <w:t>$</w:t>
            </w:r>
          </w:p>
        </w:tc>
        <w:tc>
          <w:tcPr>
            <w:tcW w:w="920" w:type="dxa"/>
            <w:vAlign w:val="bottom"/>
          </w:tcPr>
          <w:p>
            <w:pPr>
              <w:jc w:val="right"/>
              <w:spacing w:after="0"/>
              <w:rPr>
                <w:sz w:val="20"/>
                <w:szCs w:val="20"/>
                <w:color w:val="auto"/>
              </w:rPr>
            </w:pPr>
            <w:r>
              <w:rPr>
                <w:rFonts w:ascii="Arial" w:cs="Arial" w:eastAsia="Arial" w:hAnsi="Arial"/>
                <w:sz w:val="19"/>
                <w:szCs w:val="19"/>
                <w:color w:val="auto"/>
              </w:rPr>
              <w:t>2,368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900" w:type="dxa"/>
            <w:vAlign w:val="bottom"/>
          </w:tcPr>
          <w:p>
            <w:pPr>
              <w:ind w:left="280"/>
              <w:spacing w:after="0"/>
              <w:rPr>
                <w:sz w:val="20"/>
                <w:szCs w:val="20"/>
                <w:color w:val="auto"/>
              </w:rPr>
            </w:pPr>
            <w:r>
              <w:rPr>
                <w:rFonts w:ascii="Arial" w:cs="Arial" w:eastAsia="Arial" w:hAnsi="Arial"/>
                <w:sz w:val="19"/>
                <w:szCs w:val="19"/>
                <w:color w:val="auto"/>
              </w:rPr>
              <w:t>Capital expenditures in accounts payable and accrued expenses</w:t>
            </w:r>
          </w:p>
        </w:tc>
        <w:tc>
          <w:tcPr>
            <w:tcW w:w="320" w:type="dxa"/>
            <w:vAlign w:val="bottom"/>
          </w:tcPr>
          <w:p>
            <w:pPr>
              <w:jc w:val="right"/>
              <w:ind w:right="125"/>
              <w:spacing w:after="0"/>
              <w:rPr>
                <w:sz w:val="20"/>
                <w:szCs w:val="20"/>
                <w:color w:val="auto"/>
              </w:rPr>
            </w:pPr>
            <w:r>
              <w:rPr>
                <w:rFonts w:ascii="Arial" w:cs="Arial" w:eastAsia="Arial" w:hAnsi="Arial"/>
                <w:sz w:val="19"/>
                <w:szCs w:val="19"/>
                <w:color w:val="auto"/>
                <w:w w:val="75"/>
              </w:rPr>
              <w:t>$</w:t>
            </w:r>
          </w:p>
        </w:tc>
        <w:tc>
          <w:tcPr>
            <w:tcW w:w="1360" w:type="dxa"/>
            <w:vAlign w:val="bottom"/>
            <w:gridSpan w:val="2"/>
          </w:tcPr>
          <w:p>
            <w:pPr>
              <w:jc w:val="right"/>
              <w:ind w:right="280"/>
              <w:spacing w:after="0"/>
              <w:rPr>
                <w:sz w:val="20"/>
                <w:szCs w:val="20"/>
                <w:color w:val="auto"/>
              </w:rPr>
            </w:pPr>
            <w:r>
              <w:rPr>
                <w:rFonts w:ascii="Arial" w:cs="Arial" w:eastAsia="Arial" w:hAnsi="Arial"/>
                <w:sz w:val="19"/>
                <w:szCs w:val="19"/>
                <w:color w:val="auto"/>
              </w:rPr>
              <w:t>—</w:t>
            </w:r>
          </w:p>
        </w:tc>
        <w:tc>
          <w:tcPr>
            <w:tcW w:w="480" w:type="dxa"/>
            <w:vAlign w:val="bottom"/>
          </w:tcPr>
          <w:p>
            <w:pPr>
              <w:jc w:val="right"/>
              <w:ind w:right="285"/>
              <w:spacing w:after="0"/>
              <w:rPr>
                <w:sz w:val="20"/>
                <w:szCs w:val="20"/>
                <w:color w:val="auto"/>
              </w:rPr>
            </w:pPr>
            <w:r>
              <w:rPr>
                <w:rFonts w:ascii="Arial" w:cs="Arial" w:eastAsia="Arial" w:hAnsi="Arial"/>
                <w:sz w:val="19"/>
                <w:szCs w:val="19"/>
                <w:color w:val="auto"/>
                <w:w w:val="75"/>
              </w:rPr>
              <w:t>$</w:t>
            </w:r>
          </w:p>
        </w:tc>
        <w:tc>
          <w:tcPr>
            <w:tcW w:w="920" w:type="dxa"/>
            <w:vAlign w:val="bottom"/>
          </w:tcPr>
          <w:p>
            <w:pPr>
              <w:jc w:val="right"/>
              <w:spacing w:after="0"/>
              <w:rPr>
                <w:sz w:val="20"/>
                <w:szCs w:val="20"/>
                <w:color w:val="auto"/>
              </w:rPr>
            </w:pPr>
            <w:r>
              <w:rPr>
                <w:rFonts w:ascii="Arial" w:cs="Arial" w:eastAsia="Arial" w:hAnsi="Arial"/>
                <w:sz w:val="19"/>
                <w:szCs w:val="19"/>
                <w:color w:val="auto"/>
              </w:rPr>
              <w:t>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900" w:type="dxa"/>
            <w:vAlign w:val="bottom"/>
          </w:tcPr>
          <w:p>
            <w:pPr>
              <w:ind w:left="280"/>
              <w:spacing w:after="0"/>
              <w:rPr>
                <w:sz w:val="20"/>
                <w:szCs w:val="20"/>
                <w:color w:val="auto"/>
              </w:rPr>
            </w:pPr>
            <w:r>
              <w:rPr>
                <w:rFonts w:ascii="Arial" w:cs="Arial" w:eastAsia="Arial" w:hAnsi="Arial"/>
                <w:sz w:val="19"/>
                <w:szCs w:val="19"/>
                <w:color w:val="auto"/>
              </w:rPr>
              <w:t>Common stock exchange for option exercise</w:t>
            </w:r>
          </w:p>
        </w:tc>
        <w:tc>
          <w:tcPr>
            <w:tcW w:w="320" w:type="dxa"/>
            <w:vAlign w:val="bottom"/>
          </w:tcPr>
          <w:p>
            <w:pPr>
              <w:jc w:val="right"/>
              <w:ind w:right="125"/>
              <w:spacing w:after="0"/>
              <w:rPr>
                <w:sz w:val="20"/>
                <w:szCs w:val="20"/>
                <w:color w:val="auto"/>
              </w:rPr>
            </w:pPr>
            <w:r>
              <w:rPr>
                <w:rFonts w:ascii="Arial" w:cs="Arial" w:eastAsia="Arial" w:hAnsi="Arial"/>
                <w:sz w:val="19"/>
                <w:szCs w:val="19"/>
                <w:color w:val="auto"/>
                <w:w w:val="75"/>
              </w:rPr>
              <w:t>$</w:t>
            </w:r>
          </w:p>
        </w:tc>
        <w:tc>
          <w:tcPr>
            <w:tcW w:w="1360" w:type="dxa"/>
            <w:vAlign w:val="bottom"/>
            <w:gridSpan w:val="2"/>
          </w:tcPr>
          <w:p>
            <w:pPr>
              <w:jc w:val="right"/>
              <w:ind w:right="280"/>
              <w:spacing w:after="0"/>
              <w:rPr>
                <w:sz w:val="20"/>
                <w:szCs w:val="20"/>
                <w:color w:val="auto"/>
              </w:rPr>
            </w:pPr>
            <w:r>
              <w:rPr>
                <w:rFonts w:ascii="Arial" w:cs="Arial" w:eastAsia="Arial" w:hAnsi="Arial"/>
                <w:sz w:val="19"/>
                <w:szCs w:val="19"/>
                <w:color w:val="auto"/>
              </w:rPr>
              <w:t>—</w:t>
            </w:r>
          </w:p>
        </w:tc>
        <w:tc>
          <w:tcPr>
            <w:tcW w:w="480" w:type="dxa"/>
            <w:vAlign w:val="bottom"/>
          </w:tcPr>
          <w:p>
            <w:pPr>
              <w:jc w:val="right"/>
              <w:ind w:right="285"/>
              <w:spacing w:after="0"/>
              <w:rPr>
                <w:sz w:val="20"/>
                <w:szCs w:val="20"/>
                <w:color w:val="auto"/>
              </w:rPr>
            </w:pPr>
            <w:r>
              <w:rPr>
                <w:rFonts w:ascii="Arial" w:cs="Arial" w:eastAsia="Arial" w:hAnsi="Arial"/>
                <w:sz w:val="19"/>
                <w:szCs w:val="19"/>
                <w:color w:val="auto"/>
                <w:w w:val="75"/>
              </w:rPr>
              <w:t>$</w:t>
            </w:r>
          </w:p>
        </w:tc>
        <w:tc>
          <w:tcPr>
            <w:tcW w:w="920" w:type="dxa"/>
            <w:vAlign w:val="bottom"/>
          </w:tcPr>
          <w:p>
            <w:pPr>
              <w:jc w:val="right"/>
              <w:spacing w:after="0"/>
              <w:rPr>
                <w:sz w:val="20"/>
                <w:szCs w:val="20"/>
                <w:color w:val="auto"/>
              </w:rPr>
            </w:pPr>
            <w:r>
              <w:rPr>
                <w:rFonts w:ascii="Arial" w:cs="Arial" w:eastAsia="Arial" w:hAnsi="Arial"/>
                <w:sz w:val="19"/>
                <w:szCs w:val="19"/>
                <w:color w:val="auto"/>
              </w:rPr>
              <w:t>448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-5382260</wp:posOffset>
            </wp:positionV>
            <wp:extent cx="6438900" cy="55238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3">
                      <a:extLst>
                        <a:ext uri="{28A0092B-C50C-407E-A947-70E740481C1C}"/>
                      </a:extLst>
                    </a:blip>
                    <a:srcRect/>
                    <a:stretch>
                      <a:fillRect/>
                    </a:stretch>
                  </pic:blipFill>
                  <pic:spPr bwMode="auto">
                    <a:xfrm>
                      <a:off x="0" y="0"/>
                      <a:ext cx="6438900" cy="5523865"/>
                    </a:xfrm>
                    <a:prstGeom prst="rect">
                      <a:avLst/>
                    </a:prstGeom>
                    <a:noFill/>
                  </pic:spPr>
                </pic:pic>
              </a:graphicData>
            </a:graphic>
          </wp:anchor>
        </w:drawing>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F-6</w:t>
      </w:r>
    </w:p>
    <w:p>
      <w:pPr>
        <w:sectPr>
          <w:pgSz w:w="12240" w:h="15840" w:orient="portrait"/>
          <w:cols w:equalWidth="0" w:num="1">
            <w:col w:w="10040"/>
          </w:cols>
          <w:pgMar w:left="1080" w:top="1056" w:right="1120" w:bottom="173" w:gutter="0" w:footer="0" w:header="0"/>
        </w:sectPr>
      </w:pPr>
    </w:p>
    <w:bookmarkStart w:id="129" w:name="page130"/>
    <w:bookmarkEnd w:id="129"/>
    <w:p>
      <w:pPr>
        <w:jc w:val="center"/>
        <w:spacing w:after="0"/>
        <w:rPr>
          <w:sz w:val="20"/>
          <w:szCs w:val="20"/>
          <w:color w:val="auto"/>
        </w:rPr>
      </w:pPr>
      <w:r>
        <w:rPr>
          <w:rFonts w:ascii="Arial" w:cs="Arial" w:eastAsia="Arial" w:hAnsi="Arial"/>
          <w:sz w:val="19"/>
          <w:szCs w:val="19"/>
          <w:b w:val="1"/>
          <w:bCs w:val="1"/>
          <w:color w:val="auto"/>
        </w:rPr>
        <w:t>CANDEL THERAPEUTICS, INC.</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 Organization and Basis of Presentation</w:t>
      </w:r>
    </w:p>
    <w:p>
      <w:pPr>
        <w:spacing w:after="0" w:line="124" w:lineRule="exact"/>
        <w:rPr>
          <w:sz w:val="20"/>
          <w:szCs w:val="20"/>
          <w:color w:val="auto"/>
        </w:rPr>
      </w:pPr>
    </w:p>
    <w:p>
      <w:pPr>
        <w:ind w:right="40"/>
        <w:spacing w:after="0" w:line="243" w:lineRule="auto"/>
        <w:rPr>
          <w:sz w:val="20"/>
          <w:szCs w:val="20"/>
          <w:color w:val="auto"/>
        </w:rPr>
      </w:pPr>
      <w:r>
        <w:rPr>
          <w:rFonts w:ascii="Arial" w:cs="Arial" w:eastAsia="Arial" w:hAnsi="Arial"/>
          <w:sz w:val="19"/>
          <w:szCs w:val="19"/>
          <w:color w:val="auto"/>
        </w:rPr>
        <w:t>Candel Therapeutics, Inc., formerly known as Advantagene, Inc. (the Company), is a clinical stage biopharmaceutical company that was incorporated in Delaware in June 2003. On November 30, 2020, the Company changed its name to Candel Therapeutics, Inc. The Company is focused on developing off-the-shelf viral immunotherapies that elicit an individualized, systemic anti-tumor immune response to help patients fight cancer. The Company’s engineered viruses are designed to induce immunogenic cell death through direct viral-mediated cytotoxicity in cancer cells, thus releasing tumor neo-antigens and creating a pro-inflammatory microenvironment at the site of injection. This is intended to lead to in-situ vaccination against the injected tumor and uninjected distant metastases. The Company has established two off-the-shelf viral immunotherapy platforms and its two product candidates, CAN -2409 and CAN-3110, are in clinical trials for a number of tumor types. Additionally, the Company and the University of Pennsylvania (UPenn) are collaborating to study the impact of novel viral immunotherapies based on Candel's propriety enLIGHTEN™ Discovery Platform, a systematic, iterative herpes simplex virus based platform leveraging human biology and advanced analytics, to strengthen the effects of UPenn's investigational CAR-T cell therapies in solid tumors.</w:t>
      </w:r>
    </w:p>
    <w:p>
      <w:pPr>
        <w:spacing w:after="0" w:line="127" w:lineRule="exact"/>
        <w:rPr>
          <w:sz w:val="20"/>
          <w:szCs w:val="20"/>
          <w:color w:val="auto"/>
        </w:rPr>
      </w:pPr>
    </w:p>
    <w:p>
      <w:pPr>
        <w:ind w:right="20"/>
        <w:spacing w:after="0" w:line="245" w:lineRule="auto"/>
        <w:rPr>
          <w:sz w:val="20"/>
          <w:szCs w:val="20"/>
          <w:color w:val="auto"/>
        </w:rPr>
      </w:pPr>
      <w:r>
        <w:rPr>
          <w:rFonts w:ascii="Arial" w:cs="Arial" w:eastAsia="Arial" w:hAnsi="Arial"/>
          <w:sz w:val="19"/>
          <w:szCs w:val="19"/>
          <w:color w:val="auto"/>
        </w:rPr>
        <w:t>The Company is subject to risks and uncertainties common to early-stage companies in the biotechnology industry, including, but not limited to, development by competitors of new technological innovations, dependence on key personnel, protection of proprietary technology, compliance with government regulations and the ability to secure additional capital to fund operations. Product candidates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w:t>
      </w:r>
    </w:p>
    <w:p>
      <w:pPr>
        <w:spacing w:after="0" w:line="124" w:lineRule="exact"/>
        <w:rPr>
          <w:sz w:val="20"/>
          <w:szCs w:val="20"/>
          <w:color w:val="auto"/>
        </w:rPr>
      </w:pPr>
    </w:p>
    <w:p>
      <w:pPr>
        <w:ind w:right="100"/>
        <w:spacing w:after="0" w:line="250" w:lineRule="auto"/>
        <w:rPr>
          <w:sz w:val="20"/>
          <w:szCs w:val="20"/>
          <w:color w:val="auto"/>
        </w:rPr>
      </w:pPr>
      <w:r>
        <w:rPr>
          <w:rFonts w:ascii="Arial" w:cs="Arial" w:eastAsia="Arial" w:hAnsi="Arial"/>
          <w:sz w:val="19"/>
          <w:szCs w:val="19"/>
          <w:color w:val="auto"/>
        </w:rPr>
        <w:t>Since inception, the Company has funded its operations primarily with proceeds from the sale of its convertible notes and capital stock and from debt borrowings. The Company has incurred recurring losses since its inception, including a net loss of $37.9 million and $18.8 million for the years ended December 31, 2023, and 2022, respectively. In addition, as of December 31, 2023, the Company had an accumulated deficit of $137.0 million. The Company expects to continue to generate operating losses and negative cash flows from operations for the foreseeable future.</w:t>
      </w:r>
    </w:p>
    <w:p>
      <w:pPr>
        <w:spacing w:after="0" w:line="74" w:lineRule="exact"/>
        <w:rPr>
          <w:sz w:val="20"/>
          <w:szCs w:val="20"/>
          <w:color w:val="auto"/>
        </w:rPr>
      </w:pPr>
    </w:p>
    <w:p>
      <w:pPr>
        <w:spacing w:after="0" w:line="246" w:lineRule="auto"/>
        <w:rPr>
          <w:sz w:val="20"/>
          <w:szCs w:val="20"/>
          <w:color w:val="auto"/>
        </w:rPr>
      </w:pPr>
      <w:r>
        <w:rPr>
          <w:rFonts w:ascii="Arial" w:cs="Arial" w:eastAsia="Arial" w:hAnsi="Arial"/>
          <w:sz w:val="19"/>
          <w:szCs w:val="19"/>
          <w:color w:val="auto"/>
        </w:rPr>
        <w:t>On August 5, 2022, the Company filed a shelf registration statement on Form S-3 (as amended to date, the Shelf) with the SEC, which covers the offering, issuance, and sale by us of up to an aggregate of $200.0 million of our common stock, preferred stock, debt securities, warrants and/or units of any combination thereof. We simultaneously entered into a sales agreement with Jefferies LLC, as sales agent, to provide for the issuance and sale by us of up to $75.0 million of our common stock from time to time in “at-the-market” offerings under the Shelf (the ATM Program). The Shelf was declared effective by the SEC on August 12, 2022. Subsequent to December 31, 2023 and through March 21, 2024, we have sold and issued 109,485 shares of common stock under the ATM Program, with total net proceeds of $0.2 million.</w:t>
      </w:r>
    </w:p>
    <w:p>
      <w:pPr>
        <w:spacing w:after="0" w:line="82" w:lineRule="exact"/>
        <w:rPr>
          <w:sz w:val="20"/>
          <w:szCs w:val="20"/>
          <w:color w:val="auto"/>
        </w:rPr>
      </w:pPr>
    </w:p>
    <w:p>
      <w:pPr>
        <w:spacing w:after="0" w:line="243" w:lineRule="auto"/>
        <w:rPr>
          <w:sz w:val="20"/>
          <w:szCs w:val="20"/>
          <w:color w:val="auto"/>
        </w:rPr>
      </w:pPr>
      <w:r>
        <w:rPr>
          <w:rFonts w:ascii="Arial" w:cs="Arial" w:eastAsia="Arial" w:hAnsi="Arial"/>
          <w:sz w:val="19"/>
          <w:szCs w:val="19"/>
          <w:color w:val="auto"/>
        </w:rPr>
        <w:t>The Company’s cash and cash equivalents were $35.4 million as of December 31, 2023. In accordance with the Financial Accounting Standards Board (FASB) Accounting Standards Codification, 205-40, Presentation of Financial Statements - Going Concern, management is required to assess the Company’s ability to continue as a going concern for the one-year look forward period following the date that the consolidated financial statements are issued. The Company's expects to continue to generate operating losses and negative cash flows from operations. Based on these conditions, the Company has determined that substantial doubt exists regarding its ability to continue as a going concern for the one-year period following the date these consolidated financial statements are issued. To sustain its future operations beyond such one-year period, the Company will require additional funding. The Company expects to finance its cash needs through a combination of public or private equity or debt financings, government grants, and other sources, which may include collaborations, strategic alliances and licensing arrangements with third parties. There is no assurance that the Company will be successful in obtaining sufficient funding on acceptable terms, if at all, and the Company could be forced to delay, reduce, or eliminate some or all of its research, clinical trials, product development or future commercialization efforts, which could materially adversely affect its business prospects or its ability to continue as a going concern.</w:t>
      </w:r>
    </w:p>
    <w:p>
      <w:pPr>
        <w:spacing w:after="0" w:line="82" w:lineRule="exact"/>
        <w:rPr>
          <w:sz w:val="20"/>
          <w:szCs w:val="20"/>
          <w:color w:val="auto"/>
        </w:rPr>
      </w:pPr>
    </w:p>
    <w:p>
      <w:pPr>
        <w:ind w:right="200"/>
        <w:spacing w:after="0" w:line="253" w:lineRule="auto"/>
        <w:rPr>
          <w:sz w:val="20"/>
          <w:szCs w:val="20"/>
          <w:color w:val="auto"/>
        </w:rPr>
      </w:pPr>
      <w:r>
        <w:rPr>
          <w:rFonts w:ascii="Arial" w:cs="Arial" w:eastAsia="Arial" w:hAnsi="Arial"/>
          <w:sz w:val="19"/>
          <w:szCs w:val="19"/>
          <w:color w:val="auto"/>
        </w:rPr>
        <w:t>The consolidated financial statements do not include any adjustments that might result from the outcome of this uncertainty. Accordingly, the consolidated financial statements have been prepared on a basis that assumes the Company will continue as a going concern and that contemplates the realization of assets and satisfaction of liabilities and commitments in the ordinary course of business.</w:t>
      </w:r>
    </w:p>
    <w:p>
      <w:pPr>
        <w:spacing w:after="0" w:line="10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 Summary of Significant Accounting Policies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F-7</w:t>
      </w:r>
    </w:p>
    <w:p>
      <w:pPr>
        <w:sectPr>
          <w:pgSz w:w="12240" w:h="15840" w:orient="portrait"/>
          <w:cols w:equalWidth="0" w:num="1">
            <w:col w:w="10080"/>
          </w:cols>
          <w:pgMar w:left="1080" w:top="1058" w:right="1080" w:bottom="173" w:gutter="0" w:footer="0" w:header="0"/>
        </w:sectPr>
      </w:pPr>
    </w:p>
    <w:bookmarkStart w:id="130" w:name="page131"/>
    <w:bookmarkEnd w:id="130"/>
    <w:p>
      <w:pPr>
        <w:spacing w:after="0"/>
        <w:rPr>
          <w:sz w:val="20"/>
          <w:szCs w:val="20"/>
          <w:color w:val="auto"/>
        </w:rPr>
      </w:pPr>
      <w:r>
        <w:rPr>
          <w:rFonts w:ascii="Arial" w:cs="Arial" w:eastAsia="Arial" w:hAnsi="Arial"/>
          <w:sz w:val="19"/>
          <w:szCs w:val="19"/>
          <w:b w:val="1"/>
          <w:bCs w:val="1"/>
          <w:i w:val="1"/>
          <w:iCs w:val="1"/>
          <w:color w:val="auto"/>
        </w:rPr>
        <w:t>Basis of Presentation</w:t>
      </w:r>
    </w:p>
    <w:p>
      <w:pPr>
        <w:spacing w:after="0" w:line="156" w:lineRule="exact"/>
        <w:rPr>
          <w:sz w:val="20"/>
          <w:szCs w:val="20"/>
          <w:color w:val="auto"/>
        </w:rPr>
      </w:pPr>
    </w:p>
    <w:p>
      <w:pPr>
        <w:ind w:right="40"/>
        <w:spacing w:after="0" w:line="248" w:lineRule="auto"/>
        <w:rPr>
          <w:sz w:val="20"/>
          <w:szCs w:val="20"/>
          <w:color w:val="auto"/>
        </w:rPr>
      </w:pPr>
      <w:r>
        <w:rPr>
          <w:rFonts w:ascii="Arial" w:cs="Arial" w:eastAsia="Arial" w:hAnsi="Arial"/>
          <w:sz w:val="19"/>
          <w:szCs w:val="19"/>
          <w:color w:val="auto"/>
        </w:rPr>
        <w:t>The accompanying consolidated financial statements have been prepared in accordance with accounting standards set by the Financial Accounting Standards Board (FASB). The FASB sets generally accepted accounting principles (GAAP) that the Company follows to ensure its financial condition, results of operations, and cash flows are consistently reported. References to GAAP issued by the FASB in these notes to the financial statements are to the FASB Accounting Standards Codification (ASC). The Company has reclassified certain amounts relating to its prior period results to conform to its current period presentation.</w:t>
      </w:r>
    </w:p>
    <w:p>
      <w:pPr>
        <w:spacing w:after="0" w:line="12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Principles of Consolidation</w:t>
      </w:r>
    </w:p>
    <w:p>
      <w:pPr>
        <w:spacing w:after="0" w:line="156" w:lineRule="exact"/>
        <w:rPr>
          <w:sz w:val="20"/>
          <w:szCs w:val="20"/>
          <w:color w:val="auto"/>
        </w:rPr>
      </w:pPr>
    </w:p>
    <w:p>
      <w:pPr>
        <w:ind w:right="780"/>
        <w:spacing w:after="0" w:line="260" w:lineRule="auto"/>
        <w:rPr>
          <w:sz w:val="20"/>
          <w:szCs w:val="20"/>
          <w:color w:val="auto"/>
        </w:rPr>
      </w:pPr>
      <w:r>
        <w:rPr>
          <w:rFonts w:ascii="Arial" w:cs="Arial" w:eastAsia="Arial" w:hAnsi="Arial"/>
          <w:sz w:val="19"/>
          <w:szCs w:val="19"/>
          <w:color w:val="auto"/>
        </w:rPr>
        <w:t>The consolidated financial statements include the accounts of Candel Therapeutics, Inc. and its wholly owned subsidiary Candel Therapeutics Securities Corporation. All intercompany transactions and balances have been eliminated.</w:t>
      </w:r>
    </w:p>
    <w:p>
      <w:pPr>
        <w:spacing w:after="0" w:line="10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Segment Information</w:t>
      </w:r>
    </w:p>
    <w:p>
      <w:pPr>
        <w:spacing w:after="0" w:line="156" w:lineRule="exact"/>
        <w:rPr>
          <w:sz w:val="20"/>
          <w:szCs w:val="20"/>
          <w:color w:val="auto"/>
        </w:rPr>
      </w:pPr>
    </w:p>
    <w:p>
      <w:pPr>
        <w:ind w:right="80"/>
        <w:spacing w:after="0" w:line="250" w:lineRule="auto"/>
        <w:rPr>
          <w:sz w:val="20"/>
          <w:szCs w:val="20"/>
          <w:color w:val="auto"/>
        </w:rPr>
      </w:pPr>
      <w:r>
        <w:rPr>
          <w:rFonts w:ascii="Arial" w:cs="Arial" w:eastAsia="Arial" w:hAnsi="Arial"/>
          <w:sz w:val="19"/>
          <w:szCs w:val="19"/>
          <w:color w:val="auto"/>
        </w:rPr>
        <w:t>Operating segments are defined as components of an enterprise about which separate discrete information is available for evaluation by the chief operating decision-maker in deciding how to allocate resources and assess performance. The Company and the Company's chief operating decision maker, the Company's chief executive officer, views the Company's operations and manages its business as a single operating segment. The Company only operates in the United States.</w:t>
      </w:r>
    </w:p>
    <w:p>
      <w:pPr>
        <w:spacing w:after="0" w:line="11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Emerging Growth Company</w:t>
      </w:r>
    </w:p>
    <w:p>
      <w:pPr>
        <w:spacing w:after="0" w:line="156" w:lineRule="exact"/>
        <w:rPr>
          <w:sz w:val="20"/>
          <w:szCs w:val="20"/>
          <w:color w:val="auto"/>
        </w:rPr>
      </w:pPr>
    </w:p>
    <w:p>
      <w:pPr>
        <w:ind w:right="40"/>
        <w:spacing w:after="0" w:line="245" w:lineRule="auto"/>
        <w:rPr>
          <w:sz w:val="20"/>
          <w:szCs w:val="20"/>
          <w:color w:val="auto"/>
        </w:rPr>
      </w:pPr>
      <w:r>
        <w:rPr>
          <w:rFonts w:ascii="Arial" w:cs="Arial" w:eastAsia="Arial" w:hAnsi="Arial"/>
          <w:sz w:val="19"/>
          <w:szCs w:val="19"/>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is (i) no longer an emerging growth company or (ii) affirmatively and irrevocably opts out of the extended transition period provided in the Jobs Act. As a result, these consolidated financial statements may not be comparable to companies that comply with the new or revised accounting pronouncements as of public company effective dates.</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Use of Estimates</w:t>
      </w:r>
    </w:p>
    <w:p>
      <w:pPr>
        <w:spacing w:after="0" w:line="156" w:lineRule="exact"/>
        <w:rPr>
          <w:sz w:val="20"/>
          <w:szCs w:val="20"/>
          <w:color w:val="auto"/>
        </w:rPr>
      </w:pPr>
    </w:p>
    <w:p>
      <w:pPr>
        <w:ind w:right="140"/>
        <w:spacing w:after="0" w:line="248" w:lineRule="auto"/>
        <w:rPr>
          <w:sz w:val="20"/>
          <w:szCs w:val="20"/>
          <w:color w:val="auto"/>
        </w:rPr>
      </w:pPr>
      <w:r>
        <w:rPr>
          <w:rFonts w:ascii="Arial" w:cs="Arial" w:eastAsia="Arial" w:hAnsi="Arial"/>
          <w:sz w:val="19"/>
          <w:szCs w:val="19"/>
          <w:color w:val="auto"/>
        </w:rPr>
        <w:t>The preparation of the Company’s consolidated financial statements in conformity with GAAP requires management to make estimates and assumptions that affect the reported amounts of assets, liabilities, and related disclosure of contingent assets and liabilities at the date of the financial statements and reported amounts of revenue and expenses during the reporting period. On an ongoing basis, the Company’s management evaluates its estimates, which include but are not limited to management’s judgments of accrued expenses, valuation of stock-based option awards, valuations of warrants, and income taxes. Actual results could differ from those estimates.</w:t>
      </w:r>
    </w:p>
    <w:p>
      <w:pPr>
        <w:spacing w:after="0" w:line="12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Cash and Cash Equivalents</w:t>
      </w:r>
    </w:p>
    <w:p>
      <w:pPr>
        <w:spacing w:after="0" w:line="156" w:lineRule="exact"/>
        <w:rPr>
          <w:sz w:val="20"/>
          <w:szCs w:val="20"/>
          <w:color w:val="auto"/>
        </w:rPr>
      </w:pPr>
    </w:p>
    <w:p>
      <w:pPr>
        <w:ind w:right="400"/>
        <w:spacing w:after="0" w:line="260" w:lineRule="auto"/>
        <w:rPr>
          <w:sz w:val="20"/>
          <w:szCs w:val="20"/>
          <w:color w:val="auto"/>
        </w:rPr>
      </w:pPr>
      <w:r>
        <w:rPr>
          <w:rFonts w:ascii="Arial" w:cs="Arial" w:eastAsia="Arial" w:hAnsi="Arial"/>
          <w:sz w:val="19"/>
          <w:szCs w:val="19"/>
          <w:color w:val="auto"/>
        </w:rPr>
        <w:t>The Company considers all highly liquid investments purchased with original final maturities of three months or less from the date of purchase to be cash equivalents. Cash and cash equivalents comprise marketable securities with maturities of less than three months when purchased. Cash equivalents are reported at fair value.</w:t>
      </w:r>
    </w:p>
    <w:p>
      <w:pPr>
        <w:spacing w:after="0" w:line="10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Restricted Cash</w:t>
      </w:r>
    </w:p>
    <w:p>
      <w:pPr>
        <w:spacing w:after="0" w:line="156" w:lineRule="exact"/>
        <w:rPr>
          <w:sz w:val="20"/>
          <w:szCs w:val="20"/>
          <w:color w:val="auto"/>
        </w:rPr>
      </w:pPr>
    </w:p>
    <w:p>
      <w:pPr>
        <w:ind w:right="140"/>
        <w:spacing w:after="0" w:line="281" w:lineRule="auto"/>
        <w:rPr>
          <w:sz w:val="20"/>
          <w:szCs w:val="20"/>
          <w:color w:val="auto"/>
        </w:rPr>
      </w:pPr>
      <w:r>
        <w:rPr>
          <w:rFonts w:ascii="Arial" w:cs="Arial" w:eastAsia="Arial" w:hAnsi="Arial"/>
          <w:sz w:val="19"/>
          <w:szCs w:val="19"/>
          <w:color w:val="auto"/>
        </w:rPr>
        <w:t>The Company had $0.3 million of restricted cash as of both December 31, 2023 and 2022, which represents cash held as a security deposit under the terms of the Company’s Needham, Massachusetts facility lease.</w:t>
      </w:r>
    </w:p>
    <w:p>
      <w:pPr>
        <w:spacing w:after="0" w:line="4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Fair Value Measurements</w:t>
      </w:r>
    </w:p>
    <w:p>
      <w:pPr>
        <w:spacing w:after="0" w:line="43" w:lineRule="exact"/>
        <w:rPr>
          <w:sz w:val="20"/>
          <w:szCs w:val="20"/>
          <w:color w:val="auto"/>
        </w:rPr>
      </w:pPr>
    </w:p>
    <w:p>
      <w:pPr>
        <w:spacing w:after="0" w:line="245" w:lineRule="auto"/>
        <w:rPr>
          <w:sz w:val="20"/>
          <w:szCs w:val="20"/>
          <w:color w:val="auto"/>
        </w:rPr>
      </w:pPr>
      <w:r>
        <w:rPr>
          <w:rFonts w:ascii="Arial" w:cs="Arial" w:eastAsia="Arial" w:hAnsi="Arial"/>
          <w:sz w:val="19"/>
          <w:szCs w:val="19"/>
          <w:color w:val="auto"/>
        </w:rPr>
        <w:t>Certain assets and liabilities of the Company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33" w:lineRule="exact"/>
        <w:rPr>
          <w:sz w:val="20"/>
          <w:szCs w:val="20"/>
          <w:color w:val="auto"/>
        </w:rPr>
      </w:pPr>
    </w:p>
    <w:p>
      <w:pPr>
        <w:ind w:left="720" w:hanging="360"/>
        <w:spacing w:after="0"/>
        <w:tabs>
          <w:tab w:leader="none" w:pos="720" w:val="left"/>
        </w:tabs>
        <w:numPr>
          <w:ilvl w:val="0"/>
          <w:numId w:val="87"/>
        </w:numPr>
        <w:rPr>
          <w:rFonts w:ascii="Arial" w:cs="Arial" w:eastAsia="Arial" w:hAnsi="Arial"/>
          <w:sz w:val="19"/>
          <w:szCs w:val="19"/>
          <w:color w:val="auto"/>
        </w:rPr>
      </w:pPr>
      <w:r>
        <w:rPr>
          <w:rFonts w:ascii="Arial" w:cs="Arial" w:eastAsia="Arial" w:hAnsi="Arial"/>
          <w:sz w:val="19"/>
          <w:szCs w:val="19"/>
          <w:color w:val="auto"/>
        </w:rPr>
        <w:t>Level 1—Quoted prices in active markets for identical assets or liabilities.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03" w:lineRule="exact"/>
        <w:rPr>
          <w:rFonts w:ascii="Arial" w:cs="Arial" w:eastAsia="Arial" w:hAnsi="Arial"/>
          <w:sz w:val="19"/>
          <w:szCs w:val="19"/>
          <w:color w:val="auto"/>
        </w:rPr>
      </w:pPr>
    </w:p>
    <w:p>
      <w:pPr>
        <w:ind w:left="4900"/>
        <w:spacing w:after="0"/>
        <w:rPr>
          <w:rFonts w:ascii="Arial" w:cs="Arial" w:eastAsia="Arial" w:hAnsi="Arial"/>
          <w:sz w:val="19"/>
          <w:szCs w:val="19"/>
          <w:color w:val="auto"/>
        </w:rPr>
      </w:pPr>
      <w:r>
        <w:rPr>
          <w:rFonts w:ascii="Arial" w:cs="Arial" w:eastAsia="Arial" w:hAnsi="Arial"/>
          <w:sz w:val="19"/>
          <w:szCs w:val="19"/>
          <w:color w:val="auto"/>
        </w:rPr>
        <w:t>F-8</w:t>
      </w:r>
    </w:p>
    <w:p>
      <w:pPr>
        <w:sectPr>
          <w:pgSz w:w="12240" w:h="15840" w:orient="portrait"/>
          <w:cols w:equalWidth="0" w:num="1">
            <w:col w:w="10080"/>
          </w:cols>
          <w:pgMar w:left="1080" w:top="1066" w:right="1080" w:bottom="173" w:gutter="0" w:footer="0" w:header="0"/>
        </w:sectPr>
      </w:pPr>
    </w:p>
    <w:bookmarkStart w:id="131" w:name="page132"/>
    <w:bookmarkEnd w:id="131"/>
    <w:p>
      <w:pPr>
        <w:ind w:left="720" w:right="420" w:hanging="360"/>
        <w:spacing w:after="0" w:line="253" w:lineRule="auto"/>
        <w:tabs>
          <w:tab w:leader="none" w:pos="720" w:val="left"/>
        </w:tabs>
        <w:numPr>
          <w:ilvl w:val="0"/>
          <w:numId w:val="88"/>
        </w:numPr>
        <w:rPr>
          <w:rFonts w:ascii="Arial" w:cs="Arial" w:eastAsia="Arial" w:hAnsi="Arial"/>
          <w:sz w:val="19"/>
          <w:szCs w:val="19"/>
          <w:color w:val="auto"/>
        </w:rPr>
      </w:pPr>
      <w:r>
        <w:rPr>
          <w:rFonts w:ascii="Arial" w:cs="Arial" w:eastAsia="Arial" w:hAnsi="Arial"/>
          <w:sz w:val="19"/>
          <w:szCs w:val="19"/>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 w:lineRule="exact"/>
        <w:rPr>
          <w:rFonts w:ascii="Arial" w:cs="Arial" w:eastAsia="Arial" w:hAnsi="Arial"/>
          <w:sz w:val="19"/>
          <w:szCs w:val="19"/>
          <w:color w:val="auto"/>
        </w:rPr>
      </w:pPr>
    </w:p>
    <w:p>
      <w:pPr>
        <w:ind w:left="720" w:right="1020" w:hanging="360"/>
        <w:spacing w:after="0" w:line="247" w:lineRule="auto"/>
        <w:tabs>
          <w:tab w:leader="none" w:pos="720" w:val="left"/>
        </w:tabs>
        <w:numPr>
          <w:ilvl w:val="0"/>
          <w:numId w:val="88"/>
        </w:numPr>
        <w:rPr>
          <w:rFonts w:ascii="Arial" w:cs="Arial" w:eastAsia="Arial" w:hAnsi="Arial"/>
          <w:sz w:val="19"/>
          <w:szCs w:val="19"/>
          <w:color w:val="auto"/>
        </w:rPr>
      </w:pPr>
      <w:r>
        <w:rPr>
          <w:rFonts w:ascii="Arial" w:cs="Arial" w:eastAsia="Arial" w:hAnsi="Arial"/>
          <w:sz w:val="19"/>
          <w:szCs w:val="19"/>
          <w:color w:val="auto"/>
        </w:rPr>
        <w:t>Level 3—Unobservable inputs that are supported by little or no market activity that are significant to determining the fair value of the assets or liabilities, including pricing models, discounted cash flow methodologies and similar techniques.</w:t>
      </w:r>
    </w:p>
    <w:p>
      <w:pPr>
        <w:spacing w:after="0" w:line="117" w:lineRule="exact"/>
        <w:rPr>
          <w:sz w:val="20"/>
          <w:szCs w:val="20"/>
          <w:color w:val="auto"/>
        </w:rPr>
      </w:pPr>
    </w:p>
    <w:p>
      <w:pPr>
        <w:ind w:right="60"/>
        <w:spacing w:after="0" w:line="253" w:lineRule="auto"/>
        <w:rPr>
          <w:sz w:val="20"/>
          <w:szCs w:val="20"/>
          <w:color w:val="auto"/>
        </w:rPr>
      </w:pPr>
      <w:r>
        <w:rPr>
          <w:rFonts w:ascii="Arial" w:cs="Arial" w:eastAsia="Arial" w:hAnsi="Arial"/>
          <w:sz w:val="19"/>
          <w:szCs w:val="19"/>
          <w:color w:val="auto"/>
        </w:rPr>
        <w:t>The carrying values of cash and cash equivalents (considered as Level 1 measurements), accounts payable, and accrued expenses approximate their fair values due to the short-term nature of these assets and liabilities. The carrying value of the Company's term loan approximates fair value due to the variable interest rate. The Company’s warrant liability is carried at fair value and is classified as Level 3 measurement.</w:t>
      </w:r>
    </w:p>
    <w:p>
      <w:pPr>
        <w:spacing w:after="0" w:line="11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Property and Equipment</w:t>
      </w:r>
    </w:p>
    <w:p>
      <w:pPr>
        <w:spacing w:after="0" w:line="156" w:lineRule="exact"/>
        <w:rPr>
          <w:sz w:val="20"/>
          <w:szCs w:val="20"/>
          <w:color w:val="auto"/>
        </w:rPr>
      </w:pPr>
    </w:p>
    <w:p>
      <w:pPr>
        <w:ind w:right="20"/>
        <w:spacing w:after="0" w:line="260" w:lineRule="auto"/>
        <w:rPr>
          <w:sz w:val="20"/>
          <w:szCs w:val="20"/>
          <w:color w:val="auto"/>
        </w:rPr>
      </w:pPr>
      <w:r>
        <w:rPr>
          <w:rFonts w:ascii="Arial" w:cs="Arial" w:eastAsia="Arial" w:hAnsi="Arial"/>
          <w:sz w:val="19"/>
          <w:szCs w:val="19"/>
          <w:color w:val="auto"/>
        </w:rPr>
        <w:t>Property and equipment consist of laboratory and manufacturing equipment, networking and computer equipment, furniture and fixtures and leasehold improvements. Property and equipment are recorded at cost, and depreciated using the straight-line method over the estimated useful lives of the respective assets: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ASSET</w:t>
            </w:r>
          </w:p>
        </w:tc>
        <w:tc>
          <w:tcPr>
            <w:tcW w:w="160" w:type="dxa"/>
            <w:vAlign w:val="bottom"/>
          </w:tcPr>
          <w:p>
            <w:pPr>
              <w:spacing w:after="0"/>
              <w:rPr>
                <w:sz w:val="17"/>
                <w:szCs w:val="17"/>
                <w:color w:val="auto"/>
              </w:rPr>
            </w:pPr>
          </w:p>
        </w:tc>
        <w:tc>
          <w:tcPr>
            <w:tcW w:w="47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ESTIMATED USEFUL LIFE</w:t>
            </w:r>
          </w:p>
        </w:tc>
      </w:tr>
      <w:tr>
        <w:trPr>
          <w:trHeight w:val="191"/>
        </w:trPr>
        <w:tc>
          <w:tcPr>
            <w:tcW w:w="5220" w:type="dxa"/>
            <w:vAlign w:val="bottom"/>
          </w:tcPr>
          <w:p>
            <w:pPr>
              <w:spacing w:after="0" w:line="191" w:lineRule="exact"/>
              <w:rPr>
                <w:sz w:val="20"/>
                <w:szCs w:val="20"/>
                <w:color w:val="auto"/>
              </w:rPr>
            </w:pPr>
            <w:r>
              <w:rPr>
                <w:rFonts w:ascii="Arial" w:cs="Arial" w:eastAsia="Arial" w:hAnsi="Arial"/>
                <w:sz w:val="19"/>
                <w:szCs w:val="19"/>
                <w:color w:val="auto"/>
              </w:rPr>
              <w:t>Networking and computer equipment</w:t>
            </w:r>
          </w:p>
        </w:tc>
        <w:tc>
          <w:tcPr>
            <w:tcW w:w="160" w:type="dxa"/>
            <w:vAlign w:val="bottom"/>
          </w:tcPr>
          <w:p>
            <w:pPr>
              <w:spacing w:after="0"/>
              <w:rPr>
                <w:sz w:val="16"/>
                <w:szCs w:val="16"/>
                <w:color w:val="auto"/>
              </w:rPr>
            </w:pPr>
          </w:p>
        </w:tc>
        <w:tc>
          <w:tcPr>
            <w:tcW w:w="4700" w:type="dxa"/>
            <w:vAlign w:val="bottom"/>
          </w:tcPr>
          <w:p>
            <w:pPr>
              <w:spacing w:after="0" w:line="191" w:lineRule="exact"/>
              <w:rPr>
                <w:sz w:val="20"/>
                <w:szCs w:val="20"/>
                <w:color w:val="auto"/>
              </w:rPr>
            </w:pPr>
            <w:r>
              <w:rPr>
                <w:rFonts w:ascii="Arial" w:cs="Arial" w:eastAsia="Arial" w:hAnsi="Arial"/>
                <w:sz w:val="19"/>
                <w:szCs w:val="19"/>
                <w:color w:val="auto"/>
              </w:rPr>
              <w:t>5 years</w:t>
            </w:r>
          </w:p>
        </w:tc>
      </w:tr>
      <w:tr>
        <w:trPr>
          <w:trHeight w:val="218"/>
        </w:trPr>
        <w:tc>
          <w:tcPr>
            <w:tcW w:w="5220" w:type="dxa"/>
            <w:vAlign w:val="bottom"/>
          </w:tcPr>
          <w:p>
            <w:pPr>
              <w:spacing w:after="0"/>
              <w:rPr>
                <w:sz w:val="20"/>
                <w:szCs w:val="20"/>
                <w:color w:val="auto"/>
              </w:rPr>
            </w:pPr>
            <w:r>
              <w:rPr>
                <w:rFonts w:ascii="Arial" w:cs="Arial" w:eastAsia="Arial" w:hAnsi="Arial"/>
                <w:sz w:val="19"/>
                <w:szCs w:val="19"/>
                <w:color w:val="auto"/>
              </w:rPr>
              <w:t>Laboratory equipment</w:t>
            </w:r>
          </w:p>
        </w:tc>
        <w:tc>
          <w:tcPr>
            <w:tcW w:w="1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9"/>
                <w:szCs w:val="19"/>
                <w:color w:val="auto"/>
              </w:rPr>
              <w:t>5 years</w:t>
            </w:r>
          </w:p>
        </w:tc>
      </w:tr>
      <w:tr>
        <w:trPr>
          <w:trHeight w:val="218"/>
        </w:trPr>
        <w:tc>
          <w:tcPr>
            <w:tcW w:w="5220" w:type="dxa"/>
            <w:vAlign w:val="bottom"/>
          </w:tcPr>
          <w:p>
            <w:pPr>
              <w:spacing w:after="0"/>
              <w:rPr>
                <w:sz w:val="20"/>
                <w:szCs w:val="20"/>
                <w:color w:val="auto"/>
              </w:rPr>
            </w:pPr>
            <w:r>
              <w:rPr>
                <w:rFonts w:ascii="Arial" w:cs="Arial" w:eastAsia="Arial" w:hAnsi="Arial"/>
                <w:sz w:val="19"/>
                <w:szCs w:val="19"/>
                <w:color w:val="auto"/>
              </w:rPr>
              <w:t>Manufacturing equipment</w:t>
            </w:r>
          </w:p>
        </w:tc>
        <w:tc>
          <w:tcPr>
            <w:tcW w:w="1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9"/>
                <w:szCs w:val="19"/>
                <w:color w:val="auto"/>
              </w:rPr>
              <w:t>5 years</w:t>
            </w:r>
          </w:p>
        </w:tc>
      </w:tr>
      <w:tr>
        <w:trPr>
          <w:trHeight w:val="218"/>
        </w:trPr>
        <w:tc>
          <w:tcPr>
            <w:tcW w:w="5220" w:type="dxa"/>
            <w:vAlign w:val="bottom"/>
          </w:tcPr>
          <w:p>
            <w:pPr>
              <w:spacing w:after="0"/>
              <w:rPr>
                <w:sz w:val="20"/>
                <w:szCs w:val="20"/>
                <w:color w:val="auto"/>
              </w:rPr>
            </w:pPr>
            <w:r>
              <w:rPr>
                <w:rFonts w:ascii="Arial" w:cs="Arial" w:eastAsia="Arial" w:hAnsi="Arial"/>
                <w:sz w:val="19"/>
                <w:szCs w:val="19"/>
                <w:color w:val="auto"/>
              </w:rPr>
              <w:t>Furniture and fixtures</w:t>
            </w:r>
          </w:p>
        </w:tc>
        <w:tc>
          <w:tcPr>
            <w:tcW w:w="1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9"/>
                <w:szCs w:val="19"/>
                <w:color w:val="auto"/>
              </w:rPr>
              <w:t>5 years</w:t>
            </w:r>
          </w:p>
        </w:tc>
      </w:tr>
      <w:tr>
        <w:trPr>
          <w:trHeight w:val="256"/>
        </w:trPr>
        <w:tc>
          <w:tcPr>
            <w:tcW w:w="5220" w:type="dxa"/>
            <w:vAlign w:val="bottom"/>
          </w:tcPr>
          <w:p>
            <w:pPr>
              <w:spacing w:after="0"/>
              <w:rPr>
                <w:sz w:val="20"/>
                <w:szCs w:val="20"/>
                <w:color w:val="auto"/>
              </w:rPr>
            </w:pPr>
            <w:r>
              <w:rPr>
                <w:rFonts w:ascii="Arial" w:cs="Arial" w:eastAsia="Arial" w:hAnsi="Arial"/>
                <w:sz w:val="19"/>
                <w:szCs w:val="19"/>
                <w:color w:val="auto"/>
              </w:rPr>
              <w:t>Leasehold improvements</w:t>
            </w:r>
          </w:p>
        </w:tc>
        <w:tc>
          <w:tcPr>
            <w:tcW w:w="160" w:type="dxa"/>
            <w:vAlign w:val="bottom"/>
          </w:tcPr>
          <w:p>
            <w:pPr>
              <w:spacing w:after="0"/>
              <w:rPr>
                <w:sz w:val="22"/>
                <w:szCs w:val="22"/>
                <w:color w:val="auto"/>
              </w:rPr>
            </w:pPr>
          </w:p>
        </w:tc>
        <w:tc>
          <w:tcPr>
            <w:tcW w:w="4700" w:type="dxa"/>
            <w:vAlign w:val="bottom"/>
          </w:tcPr>
          <w:p>
            <w:pPr>
              <w:spacing w:after="0"/>
              <w:rPr>
                <w:sz w:val="20"/>
                <w:szCs w:val="20"/>
                <w:color w:val="auto"/>
              </w:rPr>
            </w:pPr>
            <w:r>
              <w:rPr>
                <w:rFonts w:ascii="Arial" w:cs="Arial" w:eastAsia="Arial" w:hAnsi="Arial"/>
                <w:sz w:val="19"/>
                <w:szCs w:val="19"/>
                <w:color w:val="auto"/>
              </w:rPr>
              <w:t>Shorter of the useful life or remaining lease term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-724535</wp:posOffset>
            </wp:positionV>
            <wp:extent cx="6426200" cy="7251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4">
                      <a:extLst>
                        <a:ext uri="{28A0092B-C50C-407E-A947-70E740481C1C}"/>
                      </a:extLst>
                    </a:blip>
                    <a:srcRect/>
                    <a:stretch>
                      <a:fillRect/>
                    </a:stretch>
                  </pic:blipFill>
                  <pic:spPr bwMode="auto">
                    <a:xfrm>
                      <a:off x="0" y="0"/>
                      <a:ext cx="6426200" cy="72517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-18415</wp:posOffset>
                </wp:positionH>
                <wp:positionV relativeFrom="paragraph">
                  <wp:posOffset>135890</wp:posOffset>
                </wp:positionV>
                <wp:extent cx="6437630"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76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10.7pt" to="505.45pt,10.7pt" o:allowincell="f" strokecolor="#000000" strokeweight="0.75pt"/>
            </w:pict>
          </mc:Fallback>
        </mc:AlternateContent>
      </w:r>
    </w:p>
    <w:p>
      <w:pPr>
        <w:spacing w:after="0" w:line="34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Leases</w:t>
      </w:r>
    </w:p>
    <w:p>
      <w:pPr>
        <w:spacing w:after="0" w:line="156" w:lineRule="exact"/>
        <w:rPr>
          <w:sz w:val="20"/>
          <w:szCs w:val="20"/>
          <w:color w:val="auto"/>
        </w:rPr>
      </w:pPr>
    </w:p>
    <w:p>
      <w:pPr>
        <w:ind w:right="60"/>
        <w:spacing w:after="0" w:line="250" w:lineRule="auto"/>
        <w:rPr>
          <w:sz w:val="20"/>
          <w:szCs w:val="20"/>
          <w:color w:val="auto"/>
        </w:rPr>
      </w:pPr>
      <w:r>
        <w:rPr>
          <w:rFonts w:ascii="Arial" w:cs="Arial" w:eastAsia="Arial" w:hAnsi="Arial"/>
          <w:sz w:val="19"/>
          <w:szCs w:val="19"/>
          <w:color w:val="auto"/>
        </w:rPr>
        <w:t>The Company adopted ASC 842 as of January 1, 2022 and elected the transition method under ASU 2016-02 whereby the Company records a right-of-use asset and a lease liability on the balance sheet for all leases with terms longer than 12 months. The Company also elected to apply the practical expedients intended to ease transition. Accordingly, the Company has only applied ASC 842 to leases existing as of January 1, 2022. The Company determines if an arrangement is, or contains, a lease at inception.</w:t>
      </w:r>
    </w:p>
    <w:p>
      <w:pPr>
        <w:spacing w:after="0" w:line="11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Lease right of use assets represent the Company’s right to use an underlying asset for the lease term and lease liabilities represent the Company’s obligation to make lease payments arising from the lease. Lease right of use assets and lease liabilities are recognized at the lease commencement date based on the present value of lease payments to be made over the lease term. The lease right of use asset is equal to the lease liability and adjusted for prepaid rent, initial direct costs, and incentives. As the Company’s leases do not provide an implicit rate, the Company uses its incremental borrowing rate based on the information available at the lease commencement date in determining the present value of lease payments. The lease terms may include options to extend or terminate the lease when it is reasonably certain that the Company will exercise that option. Operating lease expense is recognized on a straight-line basis over the lease term. The Company has elected to not apply the recognition requirements of ASC 842 for short-term leases, which is defined as a lease that, at the lease commencement date, has a lease term of 12 months or less and does not include an option to purchase the underlying asset that the Company is reasonably certain to exercise.</w:t>
      </w:r>
    </w:p>
    <w:p>
      <w:pPr>
        <w:spacing w:after="0" w:line="106" w:lineRule="exact"/>
        <w:rPr>
          <w:sz w:val="20"/>
          <w:szCs w:val="20"/>
          <w:color w:val="auto"/>
        </w:rPr>
      </w:pPr>
    </w:p>
    <w:p>
      <w:pPr>
        <w:jc w:val="both"/>
        <w:ind w:right="360"/>
        <w:spacing w:after="0" w:line="260" w:lineRule="auto"/>
        <w:rPr>
          <w:sz w:val="20"/>
          <w:szCs w:val="20"/>
          <w:color w:val="auto"/>
        </w:rPr>
      </w:pPr>
      <w:r>
        <w:rPr>
          <w:rFonts w:ascii="Arial" w:cs="Arial" w:eastAsia="Arial" w:hAnsi="Arial"/>
          <w:sz w:val="19"/>
          <w:szCs w:val="19"/>
          <w:color w:val="auto"/>
        </w:rPr>
        <w:t>For real estate lease agreements entered into or modified after the adoption of ASC 842 that include lease and non-lease components, the Company has elected to account for the lease and non-lease components, such as common area maintenance charges, as a single lease component term.</w:t>
      </w:r>
    </w:p>
    <w:p>
      <w:pPr>
        <w:spacing w:after="0" w:line="10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Concentrations of Credit Risk</w:t>
      </w:r>
    </w:p>
    <w:p>
      <w:pPr>
        <w:spacing w:after="0" w:line="156" w:lineRule="exact"/>
        <w:rPr>
          <w:sz w:val="20"/>
          <w:szCs w:val="20"/>
          <w:color w:val="auto"/>
        </w:rPr>
      </w:pPr>
    </w:p>
    <w:p>
      <w:pPr>
        <w:ind w:right="140"/>
        <w:spacing w:after="0" w:line="250" w:lineRule="auto"/>
        <w:rPr>
          <w:sz w:val="20"/>
          <w:szCs w:val="20"/>
          <w:color w:val="auto"/>
        </w:rPr>
      </w:pPr>
      <w:r>
        <w:rPr>
          <w:rFonts w:ascii="Arial" w:cs="Arial" w:eastAsia="Arial" w:hAnsi="Arial"/>
          <w:sz w:val="19"/>
          <w:szCs w:val="19"/>
          <w:color w:val="auto"/>
        </w:rPr>
        <w:t>Financial instruments that potentially expose the Company to concentrations of credit risk consist primarily of cash and cash equivalents. Periodically, the Company maintains deposits in accredited financial institutions in-excess of the federally insured limits. The Company deposits its cash in financial institutions with a high credit quality and has not experienced any losses on such accounts and does not believe it is exposed to any unusual credit risk beyond the normal risk associated with commercial banking relationships.</w:t>
      </w:r>
    </w:p>
    <w:p>
      <w:pPr>
        <w:spacing w:after="0" w:line="11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Impairment of Long-lived Assets</w:t>
      </w:r>
    </w:p>
    <w:p>
      <w:pPr>
        <w:spacing w:after="0" w:line="156" w:lineRule="exact"/>
        <w:rPr>
          <w:sz w:val="20"/>
          <w:szCs w:val="20"/>
          <w:color w:val="auto"/>
        </w:rPr>
      </w:pPr>
    </w:p>
    <w:p>
      <w:pPr>
        <w:ind w:right="60"/>
        <w:spacing w:after="0" w:line="250" w:lineRule="auto"/>
        <w:rPr>
          <w:sz w:val="20"/>
          <w:szCs w:val="20"/>
          <w:color w:val="auto"/>
        </w:rPr>
      </w:pPr>
      <w:r>
        <w:rPr>
          <w:rFonts w:ascii="Arial" w:cs="Arial" w:eastAsia="Arial" w:hAnsi="Arial"/>
          <w:sz w:val="19"/>
          <w:szCs w:val="19"/>
          <w:color w:val="auto"/>
        </w:rPr>
        <w:t>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F-9</w:t>
      </w:r>
    </w:p>
    <w:p>
      <w:pPr>
        <w:sectPr>
          <w:pgSz w:w="12240" w:h="15840" w:orient="portrait"/>
          <w:cols w:equalWidth="0" w:num="1">
            <w:col w:w="10080"/>
          </w:cols>
          <w:pgMar w:left="1080" w:top="1075" w:right="1080" w:bottom="173" w:gutter="0" w:footer="0" w:header="0"/>
        </w:sectPr>
      </w:pPr>
    </w:p>
    <w:bookmarkStart w:id="132" w:name="page133"/>
    <w:bookmarkEnd w:id="132"/>
    <w:p>
      <w:pPr>
        <w:ind w:right="140"/>
        <w:spacing w:after="0" w:line="267" w:lineRule="auto"/>
        <w:rPr>
          <w:sz w:val="20"/>
          <w:szCs w:val="20"/>
          <w:color w:val="auto"/>
        </w:rPr>
      </w:pPr>
      <w:r>
        <w:rPr>
          <w:rFonts w:ascii="Arial" w:cs="Arial" w:eastAsia="Arial" w:hAnsi="Arial"/>
          <w:sz w:val="18"/>
          <w:szCs w:val="18"/>
          <w:color w:val="auto"/>
        </w:rPr>
        <w:t>Company compares forecasts of undiscounted cash flows expected to result from the use and eventual disposition of the long-lived asset group to its carrying value. An impairment loss would be recognized when estimated undiscounted future cash flows expected to result from the use of an asset group are less than its carrying amount. The impairment loss would be based on the excess of the carrying value of the impaired asset group over its fair value, determined based on discounted cash flows. Long-lived assets consist of fixed assets and operating lease assets.</w:t>
      </w:r>
    </w:p>
    <w:p>
      <w:pPr>
        <w:spacing w:after="0" w:line="101" w:lineRule="exact"/>
        <w:rPr>
          <w:sz w:val="20"/>
          <w:szCs w:val="20"/>
          <w:color w:val="auto"/>
        </w:rPr>
      </w:pPr>
    </w:p>
    <w:p>
      <w:pPr>
        <w:ind w:right="160"/>
        <w:spacing w:after="0" w:line="253" w:lineRule="auto"/>
        <w:rPr>
          <w:sz w:val="20"/>
          <w:szCs w:val="20"/>
          <w:color w:val="auto"/>
        </w:rPr>
      </w:pPr>
      <w:r>
        <w:rPr>
          <w:rFonts w:ascii="Arial" w:cs="Arial" w:eastAsia="Arial" w:hAnsi="Arial"/>
          <w:sz w:val="19"/>
          <w:szCs w:val="19"/>
          <w:color w:val="auto"/>
        </w:rPr>
        <w:t>In the third and fourth quarters of 2023, the Company recorded impairment charges totaling approximately $0.4 million related to manufacturing equipment that the Company has determined it does not plan to use for its intended use, and the Company recorded an impairment to reduce the carrying value to its estimated fair value. The Company has not recorded any other impairment losses on such long-lived assets.</w:t>
      </w:r>
    </w:p>
    <w:p>
      <w:pPr>
        <w:spacing w:after="0" w:line="11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Revenue Recognition</w:t>
      </w:r>
    </w:p>
    <w:p>
      <w:pPr>
        <w:spacing w:after="0" w:line="156" w:lineRule="exact"/>
        <w:rPr>
          <w:sz w:val="20"/>
          <w:szCs w:val="20"/>
          <w:color w:val="auto"/>
        </w:rPr>
      </w:pPr>
    </w:p>
    <w:p>
      <w:pPr>
        <w:ind w:right="120"/>
        <w:spacing w:after="0" w:line="243" w:lineRule="auto"/>
        <w:rPr>
          <w:sz w:val="20"/>
          <w:szCs w:val="20"/>
          <w:color w:val="auto"/>
        </w:rPr>
      </w:pPr>
      <w:r>
        <w:rPr>
          <w:rFonts w:ascii="Arial" w:cs="Arial" w:eastAsia="Arial" w:hAnsi="Arial"/>
          <w:sz w:val="19"/>
          <w:szCs w:val="19"/>
          <w:color w:val="auto"/>
        </w:rPr>
        <w:t>The Company applies Accounting Standards Codification (ASC), Topic 606, Revenue from Contracts with Customers, (ASC 606). This standard applies to all contracts with customers, except for contracts that are within the scope of other standards, such as leases, insurance, collaboration arrangements and financial instruments. 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w:t>
      </w:r>
    </w:p>
    <w:p>
      <w:pPr>
        <w:spacing w:after="0" w:line="5" w:lineRule="exact"/>
        <w:rPr>
          <w:sz w:val="20"/>
          <w:szCs w:val="20"/>
          <w:color w:val="auto"/>
        </w:rPr>
      </w:pPr>
    </w:p>
    <w:p>
      <w:pPr>
        <w:ind w:left="300" w:hanging="300"/>
        <w:spacing w:after="0"/>
        <w:tabs>
          <w:tab w:leader="none" w:pos="300" w:val="left"/>
        </w:tabs>
        <w:numPr>
          <w:ilvl w:val="0"/>
          <w:numId w:val="89"/>
        </w:numPr>
        <w:rPr>
          <w:rFonts w:ascii="Arial" w:cs="Arial" w:eastAsia="Arial" w:hAnsi="Arial"/>
          <w:sz w:val="19"/>
          <w:szCs w:val="19"/>
          <w:color w:val="auto"/>
        </w:rPr>
      </w:pPr>
      <w:r>
        <w:rPr>
          <w:rFonts w:ascii="Arial" w:cs="Arial" w:eastAsia="Arial" w:hAnsi="Arial"/>
          <w:sz w:val="19"/>
          <w:szCs w:val="19"/>
          <w:color w:val="auto"/>
        </w:rPr>
        <w:t>determine the transaction price; (iv) allocate the transaction price to the performance obligations in the contract; and</w:t>
      </w:r>
    </w:p>
    <w:p>
      <w:pPr>
        <w:ind w:right="60"/>
        <w:spacing w:after="0" w:line="242" w:lineRule="auto"/>
        <w:tabs>
          <w:tab w:leader="none" w:pos="274" w:val="left"/>
        </w:tabs>
        <w:numPr>
          <w:ilvl w:val="0"/>
          <w:numId w:val="90"/>
        </w:numPr>
        <w:rPr>
          <w:rFonts w:ascii="Arial" w:cs="Arial" w:eastAsia="Arial" w:hAnsi="Arial"/>
          <w:sz w:val="19"/>
          <w:szCs w:val="19"/>
          <w:color w:val="auto"/>
        </w:rPr>
      </w:pPr>
      <w:r>
        <w:rPr>
          <w:rFonts w:ascii="Arial" w:cs="Arial" w:eastAsia="Arial" w:hAnsi="Arial"/>
          <w:sz w:val="19"/>
          <w:szCs w:val="19"/>
          <w:color w:val="auto"/>
        </w:rPr>
        <w:t>recognize revenue when (or as) the entity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then assesses whether or not each promised good or service is distinct. The Company then recognizes as revenue the amount of the transaction price that is allocated to the respective performance obligation when (or as) the performance obligation is satisfied.</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Research and Development Costs and Accruals</w:t>
      </w:r>
    </w:p>
    <w:p>
      <w:pPr>
        <w:spacing w:after="0" w:line="156" w:lineRule="exact"/>
        <w:rPr>
          <w:sz w:val="20"/>
          <w:szCs w:val="20"/>
          <w:color w:val="auto"/>
        </w:rPr>
      </w:pPr>
    </w:p>
    <w:p>
      <w:pPr>
        <w:ind w:right="40"/>
        <w:spacing w:after="0" w:line="243" w:lineRule="auto"/>
        <w:rPr>
          <w:sz w:val="20"/>
          <w:szCs w:val="20"/>
          <w:color w:val="auto"/>
        </w:rPr>
      </w:pPr>
      <w:r>
        <w:rPr>
          <w:rFonts w:ascii="Arial" w:cs="Arial" w:eastAsia="Arial" w:hAnsi="Arial"/>
          <w:sz w:val="19"/>
          <w:szCs w:val="19"/>
          <w:color w:val="auto"/>
        </w:rPr>
        <w:t>Research and development expenses include salaries and benefits, materials and supplies, preclinical and clinical trial expenses, stock-based compensation expense, depreciation of equipment, contract services and other outside expenses. The Company has entered into various research and development-related contracts with clinical and research institutions, contract research organizations, and other companies. These agreements are generally cancelable, and related payments are recorded as research and development expenses as incurred. Costs of certain development activities, such as manufacturing, pre-clinical and clinical trial expenses, are recognized based on an evaluation of the progress to completion of specific tasks. Payments for these activities are based on the terms of the individual arrangements, which may differ from the pattern of costs incurred, and are reflected in the financial statements as prepaid or accrued research and development costs. Nonrefundable advance payments for goods or services to be received in the future for use in research and development activities are deferred and capitalized. The capitalized amounts are expensed as the related goods are delivered or the services are performed. Costs incurred in obtaining technology licenses and intellectual property are charged to research and development expenses as acquired in-process research and development if the technology licensed or intellectual property acquired has not reached technological feasibility and has no alternative future use.</w:t>
      </w:r>
    </w:p>
    <w:p>
      <w:pPr>
        <w:spacing w:after="0" w:line="12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Patent Costs</w:t>
      </w:r>
    </w:p>
    <w:p>
      <w:pPr>
        <w:spacing w:after="0" w:line="156" w:lineRule="exact"/>
        <w:rPr>
          <w:sz w:val="20"/>
          <w:szCs w:val="20"/>
          <w:color w:val="auto"/>
        </w:rPr>
      </w:pPr>
    </w:p>
    <w:p>
      <w:pPr>
        <w:ind w:right="40"/>
        <w:spacing w:after="0" w:line="260" w:lineRule="auto"/>
        <w:rPr>
          <w:sz w:val="20"/>
          <w:szCs w:val="20"/>
          <w:color w:val="auto"/>
        </w:rPr>
      </w:pPr>
      <w:r>
        <w:rPr>
          <w:rFonts w:ascii="Arial" w:cs="Arial" w:eastAsia="Arial" w:hAnsi="Arial"/>
          <w:sz w:val="19"/>
          <w:szCs w:val="19"/>
          <w:color w:val="auto"/>
        </w:rPr>
        <w:t>All patent-related costs incurred in connection with preparing, filing, maintaining and prosecuting patent applications are expensed as incurred due to the uncertainty about the recovery of the expenditure. Amounts incurred are classified in general and administrative expenses.</w:t>
      </w:r>
    </w:p>
    <w:p>
      <w:pPr>
        <w:spacing w:after="0" w:line="10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Stock-Based Compensation</w:t>
      </w:r>
    </w:p>
    <w:p>
      <w:pPr>
        <w:spacing w:after="0" w:line="156" w:lineRule="exact"/>
        <w:rPr>
          <w:sz w:val="20"/>
          <w:szCs w:val="20"/>
          <w:color w:val="auto"/>
        </w:rPr>
      </w:pPr>
    </w:p>
    <w:p>
      <w:pPr>
        <w:spacing w:after="0" w:line="245" w:lineRule="auto"/>
        <w:rPr>
          <w:sz w:val="20"/>
          <w:szCs w:val="20"/>
          <w:color w:val="auto"/>
        </w:rPr>
      </w:pPr>
      <w:r>
        <w:rPr>
          <w:rFonts w:ascii="Arial" w:cs="Arial" w:eastAsia="Arial" w:hAnsi="Arial"/>
          <w:sz w:val="19"/>
          <w:szCs w:val="19"/>
          <w:color w:val="auto"/>
        </w:rPr>
        <w:t>The Company accounts for its stock-based compensation in accordance with ASC Topic 718, Compensation—Stock Compensation (ASC 718). ASC 718 requires all share -based payments to employees and directors to be recognized as expense in the consolidated statements of operations based on their grant date fair values. In addition, in accordance with FASB Accounting Standards Update (ASU) 2016-09 which identifies areas for simplification of several areas of share-based payment transactions, the Company treats non-employee grants the same as employee grants. The Company estimates the fair value of options granted using the Black-Scholes option pricing model for stock option grants to both employees and non-employees. The Company believes the fair value of the stock options granted to non-employees is more reliably determinable than the fair value of the services provided.</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F-10</w:t>
      </w:r>
    </w:p>
    <w:p>
      <w:pPr>
        <w:sectPr>
          <w:pgSz w:w="12240" w:h="15840" w:orient="portrait"/>
          <w:cols w:equalWidth="0" w:num="1">
            <w:col w:w="10080"/>
          </w:cols>
          <w:pgMar w:left="1080" w:top="1062" w:right="1080" w:bottom="173" w:gutter="0" w:footer="0" w:header="0"/>
        </w:sectPr>
      </w:pPr>
    </w:p>
    <w:bookmarkStart w:id="133" w:name="page134"/>
    <w:bookmarkEnd w:id="133"/>
    <w:p>
      <w:pPr>
        <w:ind w:right="20"/>
        <w:spacing w:after="0" w:line="242" w:lineRule="auto"/>
        <w:rPr>
          <w:sz w:val="20"/>
          <w:szCs w:val="20"/>
          <w:color w:val="auto"/>
        </w:rPr>
      </w:pPr>
      <w:r>
        <w:rPr>
          <w:rFonts w:ascii="Arial" w:cs="Arial" w:eastAsia="Arial" w:hAnsi="Arial"/>
          <w:sz w:val="19"/>
          <w:szCs w:val="19"/>
          <w:color w:val="auto"/>
        </w:rPr>
        <w:t>The Black-Scholes option pricing model requires inputs based on certain subjective assumptions, including (a) the expected stock price volatility, (b) the expected term of the award, (c) the risk-free interest rate and (d) expected dividends. Due to a lack of company-specific historical and implied volatility data, the Company has based its computation of expected volatility on a combination of the historical volatility of the Company and of a representative group of public companies with similar characteristics to the Company, including stage of product development and life science industry focus. The historical volatility is calculated based on a period of time commensurate with the expected term assumption. The Company uses the simplified method as prescribed by the SEC Staff Accounting Bulletin No. 107, Share-Based Payment, to calculate the expected term for options granted to employees as it does not have sufficient historical exercise data to provide a reasonable basis upon which to estimate the expected term. The expected term is applied to the stock option grant group as a whole, as the Company does not expect substantially different exercise or post-vesting termination behavior among its employee population. For options granted to non-employees, the Company utilizes the contractual term of the share-based payment as the basis for the expected term assumption. The risk-free interest rate is based on a treasury instrument whose term is consistent with the expected term of the stock options. The expected dividend yield is assumed to be zero as the Company has never paid dividends and has no current plans to pay any dividends on its common stock.</w:t>
      </w:r>
    </w:p>
    <w:p>
      <w:pPr>
        <w:spacing w:after="0" w:line="133" w:lineRule="exact"/>
        <w:rPr>
          <w:sz w:val="20"/>
          <w:szCs w:val="20"/>
          <w:color w:val="auto"/>
        </w:rPr>
      </w:pPr>
    </w:p>
    <w:p>
      <w:pPr>
        <w:ind w:right="580"/>
        <w:spacing w:after="0" w:line="281" w:lineRule="auto"/>
        <w:rPr>
          <w:sz w:val="20"/>
          <w:szCs w:val="20"/>
          <w:color w:val="auto"/>
        </w:rPr>
      </w:pPr>
      <w:r>
        <w:rPr>
          <w:rFonts w:ascii="Arial" w:cs="Arial" w:eastAsia="Arial" w:hAnsi="Arial"/>
          <w:sz w:val="19"/>
          <w:szCs w:val="19"/>
          <w:color w:val="auto"/>
        </w:rPr>
        <w:t>The Company generally expenses the fair value of its share-based compensation awards to employees and non-employees on a straight-line basis over the requisite service period, which is generally the vesting period.</w:t>
      </w:r>
    </w:p>
    <w:p>
      <w:pPr>
        <w:spacing w:after="0" w:line="8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Government Grants</w:t>
      </w:r>
    </w:p>
    <w:p>
      <w:pPr>
        <w:spacing w:after="0" w:line="156" w:lineRule="exact"/>
        <w:rPr>
          <w:sz w:val="20"/>
          <w:szCs w:val="20"/>
          <w:color w:val="auto"/>
        </w:rPr>
      </w:pPr>
    </w:p>
    <w:p>
      <w:pPr>
        <w:ind w:right="240"/>
        <w:spacing w:after="0" w:line="253" w:lineRule="auto"/>
        <w:rPr>
          <w:sz w:val="20"/>
          <w:szCs w:val="20"/>
          <w:color w:val="auto"/>
        </w:rPr>
      </w:pPr>
      <w:r>
        <w:rPr>
          <w:rFonts w:ascii="Arial" w:cs="Arial" w:eastAsia="Arial" w:hAnsi="Arial"/>
          <w:sz w:val="19"/>
          <w:szCs w:val="19"/>
          <w:color w:val="auto"/>
        </w:rPr>
        <w:t>The Company has applied for grants for the reimbursement of expenditures with the Massachusetts Life Sciences Center for certain qualified operating expenditures, including employee related costs. The Company recognizes government grants when there is reasonable assurance that the Company will comply with the conditions attached to the grant arrangement and the grant will be received.</w:t>
      </w:r>
    </w:p>
    <w:p>
      <w:pPr>
        <w:spacing w:after="0" w:line="113" w:lineRule="exact"/>
        <w:rPr>
          <w:sz w:val="20"/>
          <w:szCs w:val="20"/>
          <w:color w:val="auto"/>
        </w:rPr>
      </w:pPr>
    </w:p>
    <w:p>
      <w:pPr>
        <w:ind w:right="60"/>
        <w:spacing w:after="0" w:line="253" w:lineRule="auto"/>
        <w:rPr>
          <w:sz w:val="20"/>
          <w:szCs w:val="20"/>
          <w:color w:val="auto"/>
        </w:rPr>
      </w:pPr>
      <w:r>
        <w:rPr>
          <w:rFonts w:ascii="Arial" w:cs="Arial" w:eastAsia="Arial" w:hAnsi="Arial"/>
          <w:sz w:val="19"/>
          <w:szCs w:val="19"/>
          <w:color w:val="auto"/>
        </w:rPr>
        <w:t>Government grants are recorded as grant income and classified in other income in the consolidated statements of operations. The Company recognized government grants of zero and $48,000 for the years ended December 31, 2023 and 2022, respectively. Grant income is recognized as a component of other income/(expense), net in the consolidated statements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Income Taxes</w:t>
      </w:r>
    </w:p>
    <w:p>
      <w:pPr>
        <w:spacing w:after="0" w:line="156" w:lineRule="exact"/>
        <w:rPr>
          <w:sz w:val="20"/>
          <w:szCs w:val="20"/>
          <w:color w:val="auto"/>
        </w:rPr>
      </w:pPr>
    </w:p>
    <w:p>
      <w:pPr>
        <w:ind w:right="60"/>
        <w:spacing w:after="0" w:line="243" w:lineRule="auto"/>
        <w:rPr>
          <w:sz w:val="20"/>
          <w:szCs w:val="20"/>
          <w:color w:val="auto"/>
        </w:rPr>
      </w:pPr>
      <w:r>
        <w:rPr>
          <w:rFonts w:ascii="Arial" w:cs="Arial" w:eastAsia="Arial" w:hAnsi="Arial"/>
          <w:sz w:val="19"/>
          <w:szCs w:val="19"/>
          <w:color w:val="auto"/>
        </w:rPr>
        <w:t>The Company accounts for income taxes using the asset and liability method in accordance with ASC Topic 740, Income Taxes (ASC 740) which requires the recognition of deferred tax assets and liabilities for the expected future tax consequences of events that have been recognized in the financial statements or in the Company’s tax returns. Deferred tax assets and liabilities are determined on the basis of the differences between the financial statement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 At December 31, 2023 and 2022, the Company has concluded that a full valuation allowance is necessary for its deferred tax assets (see Note 12).</w:t>
      </w:r>
    </w:p>
    <w:p>
      <w:pPr>
        <w:spacing w:after="0" w:line="127" w:lineRule="exact"/>
        <w:rPr>
          <w:sz w:val="20"/>
          <w:szCs w:val="20"/>
          <w:color w:val="auto"/>
        </w:rPr>
      </w:pPr>
    </w:p>
    <w:p>
      <w:pPr>
        <w:spacing w:after="0" w:line="245" w:lineRule="auto"/>
        <w:rPr>
          <w:sz w:val="20"/>
          <w:szCs w:val="20"/>
          <w:color w:val="auto"/>
        </w:rPr>
      </w:pPr>
      <w:r>
        <w:rPr>
          <w:rFonts w:ascii="Arial" w:cs="Arial" w:eastAsia="Arial" w:hAnsi="Arial"/>
          <w:sz w:val="19"/>
          <w:szCs w:val="19"/>
          <w:color w:val="auto"/>
        </w:rPr>
        <w:t>The Company accounts for uncertainty in income taxes, by applying the two-step process to determine the amount of tax benefit to be recognized in the financial statements. First, the tax position must be evaluated to determine the likelihood that it will be sustained upon external examination by the taxing authorities. If the tax position is deemed more-likely-than-not to be sustained, the tax is then assessed as the amount of benefits to be recognized in the consolidated financial statements. The amount of benefits that may be used are the largest amounts that have a greater than 50% likelihood of being realized upon ultimate settlement. The provision for income taxes includes the effects of any resulting tax reserves or unrecognized tax benefits that are considered appropriate as well as the related net interest received.</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Net Loss Per Share</w:t>
      </w:r>
    </w:p>
    <w:p>
      <w:pPr>
        <w:spacing w:after="0" w:line="15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Basic net loss per share is computed by dividing net loss attributable to common stockholders by the weighted-average number of shares of common stock outstanding during the period. Diluted net loss per share is computed using the weighted-average number of shares of common stock outstanding during the period and, if dilutive, the weighted-average number of potential shares of common stock. In periods where the Company reports a net loss attributable to common stockholders, diluted net loss per share is the same as basic net loss per share, since dilutive shares of common stock are not assumed to have been issued if their effect is anti-dilutive. Diluted net loss per share is the same</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F-11</w:t>
      </w:r>
    </w:p>
    <w:p>
      <w:pPr>
        <w:sectPr>
          <w:pgSz w:w="12240" w:h="15840" w:orient="portrait"/>
          <w:cols w:equalWidth="0" w:num="1">
            <w:col w:w="10060"/>
          </w:cols>
          <w:pgMar w:left="1080" w:top="1062" w:right="1100" w:bottom="173" w:gutter="0" w:footer="0" w:header="0"/>
        </w:sectPr>
      </w:pPr>
    </w:p>
    <w:bookmarkStart w:id="134" w:name="page135"/>
    <w:bookmarkEnd w:id="134"/>
    <w:p>
      <w:pPr>
        <w:ind w:left="20" w:right="460"/>
        <w:spacing w:after="0" w:line="281" w:lineRule="auto"/>
        <w:rPr>
          <w:sz w:val="20"/>
          <w:szCs w:val="20"/>
          <w:color w:val="auto"/>
        </w:rPr>
      </w:pPr>
      <w:r>
        <w:rPr>
          <w:rFonts w:ascii="Arial" w:cs="Arial" w:eastAsia="Arial" w:hAnsi="Arial"/>
          <w:sz w:val="19"/>
          <w:szCs w:val="19"/>
          <w:color w:val="auto"/>
        </w:rPr>
        <w:t>as basic net loss per share for the years ended December 31, 2023 and 2022 since all potential shares of common stock instruments are anti-dilutive as a result of the loss for such periods.</w:t>
      </w:r>
    </w:p>
    <w:p>
      <w:pPr>
        <w:spacing w:after="0" w:line="89" w:lineRule="exact"/>
        <w:rPr>
          <w:sz w:val="20"/>
          <w:szCs w:val="20"/>
          <w:color w:val="auto"/>
        </w:rPr>
      </w:pPr>
    </w:p>
    <w:p>
      <w:pPr>
        <w:ind w:left="20"/>
        <w:spacing w:after="0"/>
        <w:rPr>
          <w:sz w:val="20"/>
          <w:szCs w:val="20"/>
          <w:color w:val="auto"/>
        </w:rPr>
      </w:pPr>
      <w:r>
        <w:rPr>
          <w:rFonts w:ascii="Arial" w:cs="Arial" w:eastAsia="Arial" w:hAnsi="Arial"/>
          <w:sz w:val="19"/>
          <w:szCs w:val="19"/>
          <w:b w:val="1"/>
          <w:bCs w:val="1"/>
          <w:i w:val="1"/>
          <w:iCs w:val="1"/>
          <w:color w:val="auto"/>
        </w:rPr>
        <w:t>Recently Issued Accounting Standards</w:t>
      </w:r>
    </w:p>
    <w:p>
      <w:pPr>
        <w:spacing w:after="0" w:line="156" w:lineRule="exact"/>
        <w:rPr>
          <w:sz w:val="20"/>
          <w:szCs w:val="20"/>
          <w:color w:val="auto"/>
        </w:rPr>
      </w:pPr>
    </w:p>
    <w:p>
      <w:pPr>
        <w:ind w:left="20" w:right="60"/>
        <w:spacing w:after="0" w:line="245" w:lineRule="auto"/>
        <w:rPr>
          <w:sz w:val="20"/>
          <w:szCs w:val="20"/>
          <w:color w:val="auto"/>
        </w:rPr>
      </w:pPr>
      <w:r>
        <w:rPr>
          <w:rFonts w:ascii="Arial" w:cs="Arial" w:eastAsia="Arial" w:hAnsi="Arial"/>
          <w:sz w:val="19"/>
          <w:szCs w:val="19"/>
          <w:color w:val="auto"/>
        </w:rPr>
        <w:t>In October 2023, the FASB issued ASU 2023-06, Disclosure Improvements: Codification Amendments in Response to the SEC's Disclosure Update and Simplification Initiative, which modifies the disclosure or presentation requirements related to a variety of FASB Accounting Standard Codification topics. The effective date for each amendment will be the date on which the SEC's removal of that related disclosure from Regulation S-X or Regulation S-K is effective, with early adoption prohibited. If by June 30, 2027, the SEC has not removed the applicable requirement from Regulation S-X or Regulation S-K, the pending content of the associated amendment will be removed from the Codification and will not become effective for any entities. The Company is currently evaluating the potential impact that ASU 2023-06 may have on its consolidated financial statements and related disclosures.</w:t>
      </w:r>
    </w:p>
    <w:p>
      <w:pPr>
        <w:spacing w:after="0" w:line="124" w:lineRule="exact"/>
        <w:rPr>
          <w:sz w:val="20"/>
          <w:szCs w:val="20"/>
          <w:color w:val="auto"/>
        </w:rPr>
      </w:pPr>
    </w:p>
    <w:p>
      <w:pPr>
        <w:ind w:left="20" w:right="200"/>
        <w:spacing w:after="0" w:line="246" w:lineRule="auto"/>
        <w:rPr>
          <w:sz w:val="20"/>
          <w:szCs w:val="20"/>
          <w:color w:val="auto"/>
        </w:rPr>
      </w:pPr>
      <w:r>
        <w:rPr>
          <w:rFonts w:ascii="Arial" w:cs="Arial" w:eastAsia="Arial" w:hAnsi="Arial"/>
          <w:sz w:val="19"/>
          <w:szCs w:val="19"/>
          <w:color w:val="auto"/>
        </w:rPr>
        <w:t>In November 2023, the FASB issued ASU 2023-07, Segment Reporting: Improvements to Reportable Segment Disclosures, which amends guidance in ASC 280, Segment Reporting The amendments in this ASU expand segment disclosure requirements, including new segment disclosure requirements for entities with a single reportable segment, among other disclosure requirements. The ASU’s amendments are effective for public business entities for annual periods beginning after December 15, 2023. Early adoption is permitted. The Company is currently evaluating the potential impact that the adoption of ASU 2023-07 may have have on its consolidated financial statements and related disclosures.</w:t>
      </w:r>
    </w:p>
    <w:p>
      <w:pPr>
        <w:spacing w:after="0" w:line="122" w:lineRule="exact"/>
        <w:rPr>
          <w:sz w:val="20"/>
          <w:szCs w:val="20"/>
          <w:color w:val="auto"/>
        </w:rPr>
      </w:pPr>
    </w:p>
    <w:p>
      <w:pPr>
        <w:ind w:left="20" w:right="140"/>
        <w:spacing w:after="0" w:line="245" w:lineRule="auto"/>
        <w:rPr>
          <w:sz w:val="20"/>
          <w:szCs w:val="20"/>
          <w:color w:val="auto"/>
        </w:rPr>
      </w:pPr>
      <w:r>
        <w:rPr>
          <w:rFonts w:ascii="Arial" w:cs="Arial" w:eastAsia="Arial" w:hAnsi="Arial"/>
          <w:sz w:val="19"/>
          <w:szCs w:val="19"/>
          <w:color w:val="auto"/>
        </w:rPr>
        <w:t>In December 2023, the FASB issued ASU 2023-09, Improvements to Income Tax Disclosures, which amends the guidance in ASC 740, Income Taxes. The ASU is intended to improve the transparency of income tax disclosures by requiring (1) consistent categories and greater disaggregation of information in the rate reconciliation and (2) income taxes paid disaggregated by jurisdiction. It also includes certain other amendments to improve the effectiveness of income tax disclosures. The ASU’s amendments are effective for public business entities for annual periods beginning after December 15, 2024. Early adoption is permitted. Adoption can be either prospectively or retrospectively applied, and the Company will adopt this ASU on a prospective basis. The Company is currently evaluating the potential impact that ASU 2023-09 may have on its consolidated financial statements and related disclosures.</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3. Fair Value of Financial Assets and Liabilities</w:t>
      </w:r>
    </w:p>
    <w:p>
      <w:pPr>
        <w:spacing w:after="0" w:line="164" w:lineRule="exact"/>
        <w:rPr>
          <w:sz w:val="20"/>
          <w:szCs w:val="20"/>
          <w:color w:val="auto"/>
        </w:rPr>
      </w:pPr>
    </w:p>
    <w:p>
      <w:pPr>
        <w:ind w:left="20" w:right="40"/>
        <w:spacing w:after="0" w:line="281" w:lineRule="auto"/>
        <w:rPr>
          <w:sz w:val="20"/>
          <w:szCs w:val="20"/>
          <w:color w:val="auto"/>
        </w:rPr>
      </w:pPr>
      <w:r>
        <w:rPr>
          <w:rFonts w:ascii="Arial" w:cs="Arial" w:eastAsia="Arial" w:hAnsi="Arial"/>
          <w:sz w:val="19"/>
          <w:szCs w:val="19"/>
          <w:color w:val="auto"/>
        </w:rPr>
        <w:t>The following tables present information about the Company’s financial assets and liabilities measured at fair value on a recurring basis and indicate the level of the fair value hierarchy utilized to determine such fair values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80" w:type="dxa"/>
            <w:vAlign w:val="bottom"/>
            <w:gridSpan w:val="9"/>
          </w:tcPr>
          <w:p>
            <w:pPr>
              <w:jc w:val="center"/>
              <w:spacing w:after="0"/>
              <w:rPr>
                <w:sz w:val="20"/>
                <w:szCs w:val="20"/>
                <w:color w:val="auto"/>
              </w:rPr>
            </w:pPr>
            <w:r>
              <w:rPr>
                <w:rFonts w:ascii="Arial" w:cs="Arial" w:eastAsia="Arial" w:hAnsi="Arial"/>
                <w:sz w:val="16"/>
                <w:szCs w:val="16"/>
                <w:b w:val="1"/>
                <w:bCs w:val="1"/>
                <w:color w:val="auto"/>
              </w:rPr>
              <w:t>FAIR VALUE MEASUREMENTS AS OF</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22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6"/>
          </w:tcPr>
          <w:p>
            <w:pPr>
              <w:jc w:val="center"/>
              <w:ind w:right="240"/>
              <w:spacing w:after="0"/>
              <w:rPr>
                <w:sz w:val="20"/>
                <w:szCs w:val="20"/>
                <w:color w:val="auto"/>
              </w:rPr>
            </w:pPr>
            <w:r>
              <w:rPr>
                <w:rFonts w:ascii="Arial" w:cs="Arial" w:eastAsia="Arial" w:hAnsi="Arial"/>
                <w:sz w:val="16"/>
                <w:szCs w:val="16"/>
                <w:b w:val="1"/>
                <w:bCs w:val="1"/>
                <w:color w:val="auto"/>
                <w:w w:val="99"/>
              </w:rPr>
              <w:t>DECEMBER 31, 2023 USING:</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220" w:type="dxa"/>
            <w:vAlign w:val="bottom"/>
            <w:vMerge w:val="restart"/>
          </w:tcPr>
          <w:p>
            <w:pPr>
              <w:ind w:left="20"/>
              <w:spacing w:after="0"/>
              <w:rPr>
                <w:sz w:val="20"/>
                <w:szCs w:val="20"/>
                <w:color w:val="auto"/>
              </w:rPr>
            </w:pPr>
            <w:r>
              <w:rPr>
                <w:rFonts w:ascii="Arial" w:cs="Arial" w:eastAsia="Arial" w:hAnsi="Arial"/>
                <w:sz w:val="19"/>
                <w:szCs w:val="19"/>
                <w:b w:val="1"/>
                <w:bCs w:val="1"/>
                <w:color w:val="auto"/>
              </w:rPr>
              <w:t>Liabilities:</w:t>
            </w:r>
          </w:p>
        </w:tc>
        <w:tc>
          <w:tcPr>
            <w:tcW w:w="840" w:type="dxa"/>
            <w:vAlign w:val="bottom"/>
          </w:tcPr>
          <w:p>
            <w:pPr>
              <w:jc w:val="right"/>
              <w:spacing w:after="0" w:line="174" w:lineRule="exact"/>
              <w:rPr>
                <w:sz w:val="20"/>
                <w:szCs w:val="20"/>
                <w:color w:val="auto"/>
              </w:rPr>
            </w:pPr>
            <w:r>
              <w:rPr>
                <w:rFonts w:ascii="Arial" w:cs="Arial" w:eastAsia="Arial" w:hAnsi="Arial"/>
                <w:sz w:val="16"/>
                <w:szCs w:val="16"/>
                <w:b w:val="1"/>
                <w:bCs w:val="1"/>
                <w:color w:val="auto"/>
              </w:rPr>
              <w:t>LEVEL 1</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line="174" w:lineRule="exact"/>
              <w:rPr>
                <w:sz w:val="20"/>
                <w:szCs w:val="20"/>
                <w:color w:val="auto"/>
              </w:rPr>
            </w:pPr>
            <w:r>
              <w:rPr>
                <w:rFonts w:ascii="Arial" w:cs="Arial" w:eastAsia="Arial" w:hAnsi="Arial"/>
                <w:sz w:val="16"/>
                <w:szCs w:val="16"/>
                <w:b w:val="1"/>
                <w:bCs w:val="1"/>
                <w:color w:val="auto"/>
              </w:rPr>
              <w:t>LEVEL 2</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right"/>
              <w:ind w:right="420"/>
              <w:spacing w:after="0" w:line="174" w:lineRule="exact"/>
              <w:rPr>
                <w:sz w:val="20"/>
                <w:szCs w:val="20"/>
                <w:color w:val="auto"/>
              </w:rPr>
            </w:pPr>
            <w:r>
              <w:rPr>
                <w:rFonts w:ascii="Arial" w:cs="Arial" w:eastAsia="Arial" w:hAnsi="Arial"/>
                <w:sz w:val="16"/>
                <w:szCs w:val="16"/>
                <w:b w:val="1"/>
                <w:bCs w:val="1"/>
                <w:color w:val="auto"/>
              </w:rPr>
              <w:t>LEVEL 3</w:t>
            </w:r>
          </w:p>
        </w:tc>
        <w:tc>
          <w:tcPr>
            <w:tcW w:w="160" w:type="dxa"/>
            <w:vAlign w:val="bottom"/>
          </w:tcPr>
          <w:p>
            <w:pPr>
              <w:spacing w:after="0"/>
              <w:rPr>
                <w:sz w:val="15"/>
                <w:szCs w:val="15"/>
                <w:color w:val="auto"/>
              </w:rPr>
            </w:pPr>
          </w:p>
        </w:tc>
        <w:tc>
          <w:tcPr>
            <w:tcW w:w="860" w:type="dxa"/>
            <w:vAlign w:val="bottom"/>
          </w:tcPr>
          <w:p>
            <w:pPr>
              <w:jc w:val="right"/>
              <w:ind w:right="150"/>
              <w:spacing w:after="0" w:line="174" w:lineRule="exact"/>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220" w:type="dxa"/>
            <w:vAlign w:val="bottom"/>
            <w:vMerge w:val="continue"/>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20" w:type="dxa"/>
            <w:vAlign w:val="bottom"/>
          </w:tcPr>
          <w:p>
            <w:pPr>
              <w:ind w:left="300"/>
              <w:spacing w:after="0"/>
              <w:rPr>
                <w:sz w:val="20"/>
                <w:szCs w:val="20"/>
                <w:color w:val="auto"/>
              </w:rPr>
            </w:pPr>
            <w:r>
              <w:rPr>
                <w:rFonts w:ascii="Arial" w:cs="Arial" w:eastAsia="Arial" w:hAnsi="Arial"/>
                <w:sz w:val="19"/>
                <w:szCs w:val="19"/>
                <w:color w:val="auto"/>
              </w:rPr>
              <w:t>Warrant liability</w:t>
            </w:r>
          </w:p>
        </w:tc>
        <w:tc>
          <w:tcPr>
            <w:tcW w:w="840" w:type="dxa"/>
            <w:vAlign w:val="bottom"/>
          </w:tcPr>
          <w:p>
            <w:pPr>
              <w:spacing w:after="0"/>
              <w:rPr>
                <w:sz w:val="20"/>
                <w:szCs w:val="20"/>
                <w:color w:val="auto"/>
              </w:rPr>
            </w:pPr>
          </w:p>
        </w:tc>
        <w:tc>
          <w:tcPr>
            <w:tcW w:w="420" w:type="dxa"/>
            <w:vAlign w:val="bottom"/>
            <w:gridSpan w:val="2"/>
          </w:tcPr>
          <w:p>
            <w:pPr>
              <w:spacing w:after="0"/>
              <w:rPr>
                <w:sz w:val="20"/>
                <w:szCs w:val="20"/>
                <w:color w:val="auto"/>
              </w:rPr>
            </w:pPr>
            <w:r>
              <w:rPr>
                <w:rFonts w:ascii="Arial" w:cs="Arial" w:eastAsia="Arial" w:hAnsi="Arial"/>
                <w:sz w:val="19"/>
                <w:szCs w:val="19"/>
                <w:color w:val="auto"/>
              </w:rPr>
              <w:t>—</w:t>
            </w:r>
          </w:p>
        </w:tc>
        <w:tc>
          <w:tcPr>
            <w:tcW w:w="820" w:type="dxa"/>
            <w:vAlign w:val="bottom"/>
          </w:tcPr>
          <w:p>
            <w:pPr>
              <w:spacing w:after="0"/>
              <w:rPr>
                <w:sz w:val="20"/>
                <w:szCs w:val="20"/>
                <w:color w:val="auto"/>
              </w:rPr>
            </w:pPr>
          </w:p>
        </w:tc>
        <w:tc>
          <w:tcPr>
            <w:tcW w:w="420" w:type="dxa"/>
            <w:vAlign w:val="bottom"/>
            <w:gridSpan w:val="2"/>
          </w:tcPr>
          <w:p>
            <w:pPr>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9"/>
                <w:szCs w:val="19"/>
                <w:color w:val="auto"/>
              </w:rPr>
              <w:t>916</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916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220" w:type="dxa"/>
            <w:vAlign w:val="bottom"/>
          </w:tcPr>
          <w:p>
            <w:pPr>
              <w:ind w:left="300"/>
              <w:spacing w:after="0" w:line="209" w:lineRule="exact"/>
              <w:rPr>
                <w:sz w:val="20"/>
                <w:szCs w:val="20"/>
                <w:color w:val="auto"/>
              </w:rPr>
            </w:pPr>
            <w:r>
              <w:rPr>
                <w:rFonts w:ascii="Arial" w:cs="Arial" w:eastAsia="Arial" w:hAnsi="Arial"/>
                <w:sz w:val="19"/>
                <w:szCs w:val="19"/>
                <w:color w:val="auto"/>
              </w:rPr>
              <w:t>Total</w:t>
            </w:r>
          </w:p>
        </w:tc>
        <w:tc>
          <w:tcPr>
            <w:tcW w:w="840" w:type="dxa"/>
            <w:vAlign w:val="bottom"/>
            <w:tcBorders>
              <w:top w:val="single" w:sz="8" w:color="auto"/>
              <w:bottom w:val="single" w:sz="8" w:color="auto"/>
            </w:tcBorders>
          </w:tcPr>
          <w:p>
            <w:pPr>
              <w:jc w:val="right"/>
              <w:ind w:right="653"/>
              <w:spacing w:after="0" w:line="209" w:lineRule="exact"/>
              <w:rPr>
                <w:sz w:val="20"/>
                <w:szCs w:val="20"/>
                <w:color w:val="auto"/>
              </w:rPr>
            </w:pPr>
            <w:r>
              <w:rPr>
                <w:rFonts w:ascii="Arial" w:cs="Arial" w:eastAsia="Arial" w:hAnsi="Arial"/>
                <w:sz w:val="19"/>
                <w:szCs w:val="19"/>
                <w:color w:val="auto"/>
                <w:w w:val="75"/>
              </w:rPr>
              <w:t>$</w:t>
            </w:r>
          </w:p>
        </w:tc>
        <w:tc>
          <w:tcPr>
            <w:tcW w:w="180" w:type="dxa"/>
            <w:vAlign w:val="bottom"/>
            <w:tcBorders>
              <w:top w:val="single" w:sz="8" w:color="auto"/>
              <w:bottom w:val="single" w:sz="8" w:color="auto"/>
            </w:tcBorders>
          </w:tcPr>
          <w:p>
            <w:pPr>
              <w:spacing w:after="0" w:line="209" w:lineRule="exact"/>
              <w:rPr>
                <w:sz w:val="20"/>
                <w:szCs w:val="20"/>
                <w:color w:val="auto"/>
              </w:rPr>
            </w:pPr>
            <w:r>
              <w:rPr>
                <w:rFonts w:ascii="Arial" w:cs="Arial" w:eastAsia="Arial" w:hAnsi="Arial"/>
                <w:sz w:val="19"/>
                <w:szCs w:val="19"/>
                <w:color w:val="auto"/>
                <w:w w:val="83"/>
              </w:rPr>
              <w:t>—</w:t>
            </w:r>
          </w:p>
        </w:tc>
        <w:tc>
          <w:tcPr>
            <w:tcW w:w="24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35"/>
              <w:spacing w:after="0" w:line="209" w:lineRule="exact"/>
              <w:rPr>
                <w:sz w:val="20"/>
                <w:szCs w:val="20"/>
                <w:color w:val="auto"/>
              </w:rPr>
            </w:pPr>
            <w:r>
              <w:rPr>
                <w:rFonts w:ascii="Arial" w:cs="Arial" w:eastAsia="Arial" w:hAnsi="Arial"/>
                <w:sz w:val="19"/>
                <w:szCs w:val="19"/>
                <w:color w:val="auto"/>
                <w:w w:val="75"/>
              </w:rPr>
              <w:t>$</w:t>
            </w:r>
          </w:p>
        </w:tc>
        <w:tc>
          <w:tcPr>
            <w:tcW w:w="200" w:type="dxa"/>
            <w:vAlign w:val="bottom"/>
            <w:tcBorders>
              <w:top w:val="single" w:sz="8" w:color="auto"/>
              <w:bottom w:val="single" w:sz="8" w:color="auto"/>
            </w:tcBorders>
          </w:tcPr>
          <w:p>
            <w:pPr>
              <w:spacing w:after="0" w:line="209" w:lineRule="exact"/>
              <w:rPr>
                <w:sz w:val="20"/>
                <w:szCs w:val="20"/>
                <w:color w:val="auto"/>
              </w:rPr>
            </w:pPr>
            <w:r>
              <w:rPr>
                <w:rFonts w:ascii="Arial" w:cs="Arial" w:eastAsia="Arial" w:hAnsi="Arial"/>
                <w:sz w:val="19"/>
                <w:szCs w:val="19"/>
                <w:color w:val="auto"/>
                <w:w w:val="94"/>
              </w:rPr>
              <w:t>—</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19"/>
                <w:szCs w:val="19"/>
                <w:color w:val="auto"/>
                <w:w w:val="75"/>
              </w:rPr>
              <w:t>$</w:t>
            </w:r>
          </w:p>
        </w:tc>
        <w:tc>
          <w:tcPr>
            <w:tcW w:w="86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916</w:t>
            </w: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19"/>
                <w:szCs w:val="19"/>
                <w:color w:val="auto"/>
                <w:w w:val="75"/>
              </w:rPr>
              <w:t>$</w:t>
            </w:r>
          </w:p>
        </w:tc>
        <w:tc>
          <w:tcPr>
            <w:tcW w:w="86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916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9"/>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82"/>
        </w:trPr>
        <w:tc>
          <w:tcPr>
            <w:tcW w:w="5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80" w:type="dxa"/>
            <w:vAlign w:val="bottom"/>
            <w:gridSpan w:val="9"/>
          </w:tcPr>
          <w:p>
            <w:pPr>
              <w:jc w:val="center"/>
              <w:spacing w:after="0"/>
              <w:rPr>
                <w:sz w:val="20"/>
                <w:szCs w:val="20"/>
                <w:color w:val="auto"/>
              </w:rPr>
            </w:pPr>
            <w:r>
              <w:rPr>
                <w:rFonts w:ascii="Arial" w:cs="Arial" w:eastAsia="Arial" w:hAnsi="Arial"/>
                <w:sz w:val="16"/>
                <w:szCs w:val="16"/>
                <w:b w:val="1"/>
                <w:bCs w:val="1"/>
                <w:color w:val="auto"/>
              </w:rPr>
              <w:t>FAIR VALUE MEASUREMENTS AS OF</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22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6"/>
          </w:tcPr>
          <w:p>
            <w:pPr>
              <w:jc w:val="center"/>
              <w:ind w:right="240"/>
              <w:spacing w:after="0"/>
              <w:rPr>
                <w:sz w:val="20"/>
                <w:szCs w:val="20"/>
                <w:color w:val="auto"/>
              </w:rPr>
            </w:pPr>
            <w:r>
              <w:rPr>
                <w:rFonts w:ascii="Arial" w:cs="Arial" w:eastAsia="Arial" w:hAnsi="Arial"/>
                <w:sz w:val="16"/>
                <w:szCs w:val="16"/>
                <w:b w:val="1"/>
                <w:bCs w:val="1"/>
                <w:color w:val="auto"/>
                <w:w w:val="99"/>
              </w:rPr>
              <w:t>DECEMBER 31, 2022 USING:</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220" w:type="dxa"/>
            <w:vAlign w:val="bottom"/>
            <w:vMerge w:val="restart"/>
          </w:tcPr>
          <w:p>
            <w:pPr>
              <w:ind w:left="20"/>
              <w:spacing w:after="0"/>
              <w:rPr>
                <w:sz w:val="20"/>
                <w:szCs w:val="20"/>
                <w:color w:val="auto"/>
              </w:rPr>
            </w:pPr>
            <w:r>
              <w:rPr>
                <w:rFonts w:ascii="Arial" w:cs="Arial" w:eastAsia="Arial" w:hAnsi="Arial"/>
                <w:sz w:val="19"/>
                <w:szCs w:val="19"/>
                <w:b w:val="1"/>
                <w:bCs w:val="1"/>
                <w:color w:val="auto"/>
              </w:rPr>
              <w:t>Liabilities:</w:t>
            </w:r>
          </w:p>
        </w:tc>
        <w:tc>
          <w:tcPr>
            <w:tcW w:w="840" w:type="dxa"/>
            <w:vAlign w:val="bottom"/>
          </w:tcPr>
          <w:p>
            <w:pPr>
              <w:jc w:val="right"/>
              <w:spacing w:after="0" w:line="174" w:lineRule="exact"/>
              <w:rPr>
                <w:sz w:val="20"/>
                <w:szCs w:val="20"/>
                <w:color w:val="auto"/>
              </w:rPr>
            </w:pPr>
            <w:r>
              <w:rPr>
                <w:rFonts w:ascii="Arial" w:cs="Arial" w:eastAsia="Arial" w:hAnsi="Arial"/>
                <w:sz w:val="16"/>
                <w:szCs w:val="16"/>
                <w:b w:val="1"/>
                <w:bCs w:val="1"/>
                <w:color w:val="auto"/>
              </w:rPr>
              <w:t>LEVEL 1</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line="174" w:lineRule="exact"/>
              <w:rPr>
                <w:sz w:val="20"/>
                <w:szCs w:val="20"/>
                <w:color w:val="auto"/>
              </w:rPr>
            </w:pPr>
            <w:r>
              <w:rPr>
                <w:rFonts w:ascii="Arial" w:cs="Arial" w:eastAsia="Arial" w:hAnsi="Arial"/>
                <w:sz w:val="16"/>
                <w:szCs w:val="16"/>
                <w:b w:val="1"/>
                <w:bCs w:val="1"/>
                <w:color w:val="auto"/>
              </w:rPr>
              <w:t>LEVEL 2</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right"/>
              <w:ind w:right="420"/>
              <w:spacing w:after="0" w:line="174" w:lineRule="exact"/>
              <w:rPr>
                <w:sz w:val="20"/>
                <w:szCs w:val="20"/>
                <w:color w:val="auto"/>
              </w:rPr>
            </w:pPr>
            <w:r>
              <w:rPr>
                <w:rFonts w:ascii="Arial" w:cs="Arial" w:eastAsia="Arial" w:hAnsi="Arial"/>
                <w:sz w:val="16"/>
                <w:szCs w:val="16"/>
                <w:b w:val="1"/>
                <w:bCs w:val="1"/>
                <w:color w:val="auto"/>
              </w:rPr>
              <w:t>LEVEL 3</w:t>
            </w:r>
          </w:p>
        </w:tc>
        <w:tc>
          <w:tcPr>
            <w:tcW w:w="160" w:type="dxa"/>
            <w:vAlign w:val="bottom"/>
          </w:tcPr>
          <w:p>
            <w:pPr>
              <w:spacing w:after="0"/>
              <w:rPr>
                <w:sz w:val="15"/>
                <w:szCs w:val="15"/>
                <w:color w:val="auto"/>
              </w:rPr>
            </w:pPr>
          </w:p>
        </w:tc>
        <w:tc>
          <w:tcPr>
            <w:tcW w:w="860" w:type="dxa"/>
            <w:vAlign w:val="bottom"/>
          </w:tcPr>
          <w:p>
            <w:pPr>
              <w:jc w:val="right"/>
              <w:ind w:right="150"/>
              <w:spacing w:after="0" w:line="174" w:lineRule="exact"/>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220" w:type="dxa"/>
            <w:vAlign w:val="bottom"/>
            <w:vMerge w:val="continue"/>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20" w:type="dxa"/>
            <w:vAlign w:val="bottom"/>
          </w:tcPr>
          <w:p>
            <w:pPr>
              <w:ind w:left="300"/>
              <w:spacing w:after="0"/>
              <w:rPr>
                <w:sz w:val="20"/>
                <w:szCs w:val="20"/>
                <w:color w:val="auto"/>
              </w:rPr>
            </w:pPr>
            <w:r>
              <w:rPr>
                <w:rFonts w:ascii="Arial" w:cs="Arial" w:eastAsia="Arial" w:hAnsi="Arial"/>
                <w:sz w:val="19"/>
                <w:szCs w:val="19"/>
                <w:color w:val="auto"/>
              </w:rPr>
              <w:t>Warrant liability</w:t>
            </w:r>
          </w:p>
        </w:tc>
        <w:tc>
          <w:tcPr>
            <w:tcW w:w="840" w:type="dxa"/>
            <w:vAlign w:val="bottom"/>
          </w:tcPr>
          <w:p>
            <w:pPr>
              <w:spacing w:after="0"/>
              <w:rPr>
                <w:sz w:val="20"/>
                <w:szCs w:val="20"/>
                <w:color w:val="auto"/>
              </w:rPr>
            </w:pPr>
          </w:p>
        </w:tc>
        <w:tc>
          <w:tcPr>
            <w:tcW w:w="420" w:type="dxa"/>
            <w:vAlign w:val="bottom"/>
            <w:gridSpan w:val="2"/>
          </w:tcPr>
          <w:p>
            <w:pPr>
              <w:spacing w:after="0"/>
              <w:rPr>
                <w:sz w:val="20"/>
                <w:szCs w:val="20"/>
                <w:color w:val="auto"/>
              </w:rPr>
            </w:pPr>
            <w:r>
              <w:rPr>
                <w:rFonts w:ascii="Arial" w:cs="Arial" w:eastAsia="Arial" w:hAnsi="Arial"/>
                <w:sz w:val="19"/>
                <w:szCs w:val="19"/>
                <w:color w:val="auto"/>
              </w:rPr>
              <w:t>—</w:t>
            </w:r>
          </w:p>
        </w:tc>
        <w:tc>
          <w:tcPr>
            <w:tcW w:w="820" w:type="dxa"/>
            <w:vAlign w:val="bottom"/>
          </w:tcPr>
          <w:p>
            <w:pPr>
              <w:spacing w:after="0"/>
              <w:rPr>
                <w:sz w:val="20"/>
                <w:szCs w:val="20"/>
                <w:color w:val="auto"/>
              </w:rPr>
            </w:pPr>
          </w:p>
        </w:tc>
        <w:tc>
          <w:tcPr>
            <w:tcW w:w="420" w:type="dxa"/>
            <w:vAlign w:val="bottom"/>
            <w:gridSpan w:val="2"/>
          </w:tcPr>
          <w:p>
            <w:pPr>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9"/>
                <w:szCs w:val="19"/>
                <w:color w:val="auto"/>
              </w:rPr>
              <w:t>1,882</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1,882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220" w:type="dxa"/>
            <w:vAlign w:val="bottom"/>
          </w:tcPr>
          <w:p>
            <w:pPr>
              <w:ind w:left="300"/>
              <w:spacing w:after="0" w:line="209" w:lineRule="exact"/>
              <w:rPr>
                <w:sz w:val="20"/>
                <w:szCs w:val="20"/>
                <w:color w:val="auto"/>
              </w:rPr>
            </w:pPr>
            <w:r>
              <w:rPr>
                <w:rFonts w:ascii="Arial" w:cs="Arial" w:eastAsia="Arial" w:hAnsi="Arial"/>
                <w:sz w:val="19"/>
                <w:szCs w:val="19"/>
                <w:color w:val="auto"/>
              </w:rPr>
              <w:t>Total</w:t>
            </w:r>
          </w:p>
        </w:tc>
        <w:tc>
          <w:tcPr>
            <w:tcW w:w="840" w:type="dxa"/>
            <w:vAlign w:val="bottom"/>
            <w:tcBorders>
              <w:top w:val="single" w:sz="8" w:color="auto"/>
              <w:bottom w:val="single" w:sz="8" w:color="auto"/>
            </w:tcBorders>
          </w:tcPr>
          <w:p>
            <w:pPr>
              <w:jc w:val="right"/>
              <w:ind w:right="653"/>
              <w:spacing w:after="0" w:line="209" w:lineRule="exact"/>
              <w:rPr>
                <w:sz w:val="20"/>
                <w:szCs w:val="20"/>
                <w:color w:val="auto"/>
              </w:rPr>
            </w:pPr>
            <w:r>
              <w:rPr>
                <w:rFonts w:ascii="Arial" w:cs="Arial" w:eastAsia="Arial" w:hAnsi="Arial"/>
                <w:sz w:val="19"/>
                <w:szCs w:val="19"/>
                <w:color w:val="auto"/>
                <w:w w:val="75"/>
              </w:rPr>
              <w:t>$</w:t>
            </w:r>
          </w:p>
        </w:tc>
        <w:tc>
          <w:tcPr>
            <w:tcW w:w="180" w:type="dxa"/>
            <w:vAlign w:val="bottom"/>
            <w:tcBorders>
              <w:top w:val="single" w:sz="8" w:color="auto"/>
              <w:bottom w:val="single" w:sz="8" w:color="auto"/>
            </w:tcBorders>
          </w:tcPr>
          <w:p>
            <w:pPr>
              <w:spacing w:after="0" w:line="209" w:lineRule="exact"/>
              <w:rPr>
                <w:sz w:val="20"/>
                <w:szCs w:val="20"/>
                <w:color w:val="auto"/>
              </w:rPr>
            </w:pPr>
            <w:r>
              <w:rPr>
                <w:rFonts w:ascii="Arial" w:cs="Arial" w:eastAsia="Arial" w:hAnsi="Arial"/>
                <w:sz w:val="19"/>
                <w:szCs w:val="19"/>
                <w:color w:val="auto"/>
                <w:w w:val="83"/>
              </w:rPr>
              <w:t>—</w:t>
            </w:r>
          </w:p>
        </w:tc>
        <w:tc>
          <w:tcPr>
            <w:tcW w:w="24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35"/>
              <w:spacing w:after="0" w:line="209" w:lineRule="exact"/>
              <w:rPr>
                <w:sz w:val="20"/>
                <w:szCs w:val="20"/>
                <w:color w:val="auto"/>
              </w:rPr>
            </w:pPr>
            <w:r>
              <w:rPr>
                <w:rFonts w:ascii="Arial" w:cs="Arial" w:eastAsia="Arial" w:hAnsi="Arial"/>
                <w:sz w:val="19"/>
                <w:szCs w:val="19"/>
                <w:color w:val="auto"/>
                <w:w w:val="75"/>
              </w:rPr>
              <w:t>$</w:t>
            </w:r>
          </w:p>
        </w:tc>
        <w:tc>
          <w:tcPr>
            <w:tcW w:w="200" w:type="dxa"/>
            <w:vAlign w:val="bottom"/>
            <w:tcBorders>
              <w:top w:val="single" w:sz="8" w:color="auto"/>
              <w:bottom w:val="single" w:sz="8" w:color="auto"/>
            </w:tcBorders>
          </w:tcPr>
          <w:p>
            <w:pPr>
              <w:spacing w:after="0" w:line="209" w:lineRule="exact"/>
              <w:rPr>
                <w:sz w:val="20"/>
                <w:szCs w:val="20"/>
                <w:color w:val="auto"/>
              </w:rPr>
            </w:pPr>
            <w:r>
              <w:rPr>
                <w:rFonts w:ascii="Arial" w:cs="Arial" w:eastAsia="Arial" w:hAnsi="Arial"/>
                <w:sz w:val="19"/>
                <w:szCs w:val="19"/>
                <w:color w:val="auto"/>
                <w:w w:val="94"/>
              </w:rPr>
              <w:t>—</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19"/>
                <w:szCs w:val="19"/>
                <w:color w:val="auto"/>
                <w:w w:val="75"/>
              </w:rPr>
              <w:t>$</w:t>
            </w:r>
          </w:p>
        </w:tc>
        <w:tc>
          <w:tcPr>
            <w:tcW w:w="86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1,882</w:t>
            </w: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19"/>
                <w:szCs w:val="19"/>
                <w:color w:val="auto"/>
                <w:w w:val="75"/>
              </w:rPr>
              <w:t>$</w:t>
            </w:r>
          </w:p>
        </w:tc>
        <w:tc>
          <w:tcPr>
            <w:tcW w:w="86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1,882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-1719580</wp:posOffset>
            </wp:positionV>
            <wp:extent cx="6426200" cy="4540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5">
                      <a:extLst>
                        <a:ext uri="{28A0092B-C50C-407E-A947-70E740481C1C}"/>
                      </a:extLst>
                    </a:blip>
                    <a:srcRect/>
                    <a:stretch>
                      <a:fillRect/>
                    </a:stretch>
                  </pic:blipFill>
                  <pic:spPr bwMode="auto">
                    <a:xfrm>
                      <a:off x="0" y="0"/>
                      <a:ext cx="6426200" cy="4540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-622935</wp:posOffset>
            </wp:positionV>
            <wp:extent cx="6426200" cy="4540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6">
                      <a:extLst>
                        <a:ext uri="{28A0092B-C50C-407E-A947-70E740481C1C}"/>
                      </a:extLst>
                    </a:blip>
                    <a:srcRect/>
                    <a:stretch>
                      <a:fillRect/>
                    </a:stretch>
                  </pic:blipFill>
                  <pic:spPr bwMode="auto">
                    <a:xfrm>
                      <a:off x="0" y="0"/>
                      <a:ext cx="6426200" cy="454025"/>
                    </a:xfrm>
                    <a:prstGeom prst="rect">
                      <a:avLst/>
                    </a:prstGeom>
                    <a:noFill/>
                  </pic:spPr>
                </pic:pic>
              </a:graphicData>
            </a:graphic>
          </wp:anchor>
        </w:drawing>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9"/>
          <w:szCs w:val="19"/>
          <w:b w:val="1"/>
          <w:bCs w:val="1"/>
          <w:i w:val="1"/>
          <w:iCs w:val="1"/>
          <w:color w:val="auto"/>
        </w:rPr>
        <w:t>Valuation of Warrant Liability</w:t>
      </w:r>
    </w:p>
    <w:p>
      <w:pPr>
        <w:spacing w:after="0" w:line="156" w:lineRule="exact"/>
        <w:rPr>
          <w:sz w:val="20"/>
          <w:szCs w:val="20"/>
          <w:color w:val="auto"/>
        </w:rPr>
      </w:pPr>
    </w:p>
    <w:p>
      <w:pPr>
        <w:ind w:left="20" w:right="60"/>
        <w:spacing w:after="0" w:line="244" w:lineRule="auto"/>
        <w:rPr>
          <w:sz w:val="20"/>
          <w:szCs w:val="20"/>
          <w:color w:val="auto"/>
        </w:rPr>
      </w:pPr>
      <w:r>
        <w:rPr>
          <w:rFonts w:ascii="Arial" w:cs="Arial" w:eastAsia="Arial" w:hAnsi="Arial"/>
          <w:sz w:val="19"/>
          <w:szCs w:val="19"/>
          <w:color w:val="auto"/>
        </w:rPr>
        <w:t>In connection with the November 13, 2018 issuance of Series B convertible preferred stock, the Company issued warrants to purchase shares of common stock of which certain warrants are shown as a liability on the balance sheet, see Note 10. The fair value of the warrant liability was determined based on significant inputs not observable in the market, which represents a Level 3 measurement within the fair value hierarchy. The fair value of the warrant liability uses various valuation methods, including the Monte Carlo method, the option-pricing method, probability-weighted expected return and the hybrid method, all of which incorporate assumptions and estimates, to value the common stock warrants. The hybrid method is often used when a company is expecting a liquidity event in the near future and is a combination of the option-pricing and probability-weighted expected return methods. Estimates and assumptions impacting the fair value measurement include the fair value per share of the underlying shares of common stock, risk-free interest rate, expected dividend yield, expected volatility of the price of the underlying common stock, and the</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F-12</w:t>
      </w:r>
    </w:p>
    <w:p>
      <w:pPr>
        <w:sectPr>
          <w:pgSz w:w="12240" w:h="15840" w:orient="portrait"/>
          <w:cols w:equalWidth="0" w:num="1">
            <w:col w:w="10120"/>
          </w:cols>
          <w:pgMar w:left="1060" w:top="1062" w:right="1060" w:bottom="173" w:gutter="0" w:footer="0" w:header="0"/>
        </w:sectPr>
      </w:pPr>
    </w:p>
    <w:bookmarkStart w:id="135" w:name="page136"/>
    <w:bookmarkEnd w:id="135"/>
    <w:p>
      <w:pPr>
        <w:ind w:left="20" w:right="100"/>
        <w:spacing w:after="0" w:line="281" w:lineRule="auto"/>
        <w:rPr>
          <w:sz w:val="20"/>
          <w:szCs w:val="20"/>
          <w:color w:val="auto"/>
        </w:rPr>
      </w:pPr>
      <w:r>
        <w:rPr>
          <w:rFonts w:ascii="Arial" w:cs="Arial" w:eastAsia="Arial" w:hAnsi="Arial"/>
          <w:sz w:val="19"/>
          <w:szCs w:val="19"/>
          <w:color w:val="auto"/>
        </w:rPr>
        <w:t>remaining contractual term of the warrants. The most significant assumption in the model impacting the fair value of the common stock warrants is the fair value of the Company’s common stock as of each remeasurement date.</w:t>
      </w:r>
    </w:p>
    <w:p>
      <w:pPr>
        <w:spacing w:after="0" w:line="45" w:lineRule="exact"/>
        <w:rPr>
          <w:sz w:val="20"/>
          <w:szCs w:val="20"/>
          <w:color w:val="auto"/>
        </w:rPr>
      </w:pPr>
    </w:p>
    <w:p>
      <w:pPr>
        <w:ind w:left="20" w:right="220"/>
        <w:spacing w:after="0" w:line="281" w:lineRule="auto"/>
        <w:rPr>
          <w:sz w:val="20"/>
          <w:szCs w:val="20"/>
          <w:color w:val="auto"/>
        </w:rPr>
      </w:pPr>
      <w:r>
        <w:rPr>
          <w:rFonts w:ascii="Arial" w:cs="Arial" w:eastAsia="Arial" w:hAnsi="Arial"/>
          <w:sz w:val="19"/>
          <w:szCs w:val="19"/>
          <w:color w:val="auto"/>
        </w:rPr>
        <w:t>The following table provides a roll forward of the aggregate fair values of the Company’s warrant liability, for which fair value is determined by Level 3 inputs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w w:val="99"/>
              </w:rPr>
              <w:t>SERIES B</w:t>
            </w:r>
          </w:p>
        </w:tc>
        <w:tc>
          <w:tcPr>
            <w:tcW w:w="0" w:type="dxa"/>
            <w:vAlign w:val="bottom"/>
          </w:tcPr>
          <w:p>
            <w:pPr>
              <w:spacing w:after="0"/>
              <w:rPr>
                <w:sz w:val="1"/>
                <w:szCs w:val="1"/>
                <w:color w:val="auto"/>
              </w:rPr>
            </w:pPr>
          </w:p>
        </w:tc>
      </w:tr>
      <w:tr>
        <w:trPr>
          <w:trHeight w:val="184"/>
        </w:trPr>
        <w:tc>
          <w:tcPr>
            <w:tcW w:w="6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w w:val="99"/>
              </w:rPr>
              <w:t>WARRANT</w:t>
            </w:r>
          </w:p>
        </w:tc>
        <w:tc>
          <w:tcPr>
            <w:tcW w:w="0" w:type="dxa"/>
            <w:vAlign w:val="bottom"/>
          </w:tcPr>
          <w:p>
            <w:pPr>
              <w:spacing w:after="0"/>
              <w:rPr>
                <w:sz w:val="1"/>
                <w:szCs w:val="1"/>
                <w:color w:val="auto"/>
              </w:rPr>
            </w:pPr>
          </w:p>
        </w:tc>
      </w:tr>
      <w:tr>
        <w:trPr>
          <w:trHeight w:val="203"/>
        </w:trPr>
        <w:tc>
          <w:tcPr>
            <w:tcW w:w="6940" w:type="dxa"/>
            <w:vAlign w:val="bottom"/>
            <w:vMerge w:val="restart"/>
          </w:tcPr>
          <w:p>
            <w:pPr>
              <w:ind w:left="20"/>
              <w:spacing w:after="0"/>
              <w:rPr>
                <w:sz w:val="20"/>
                <w:szCs w:val="20"/>
                <w:color w:val="auto"/>
              </w:rPr>
            </w:pPr>
            <w:r>
              <w:rPr>
                <w:rFonts w:ascii="Arial" w:cs="Arial" w:eastAsia="Arial" w:hAnsi="Arial"/>
                <w:sz w:val="19"/>
                <w:szCs w:val="19"/>
                <w:color w:val="auto"/>
              </w:rPr>
              <w:t>Balance at December 31, 2021</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rPr>
              <w:t>LIABILITY</w:t>
            </w:r>
          </w:p>
        </w:tc>
        <w:tc>
          <w:tcPr>
            <w:tcW w:w="0" w:type="dxa"/>
            <w:vAlign w:val="bottom"/>
          </w:tcPr>
          <w:p>
            <w:pPr>
              <w:spacing w:after="0"/>
              <w:rPr>
                <w:sz w:val="1"/>
                <w:szCs w:val="1"/>
                <w:color w:val="auto"/>
              </w:rPr>
            </w:pPr>
          </w:p>
        </w:tc>
      </w:tr>
      <w:tr>
        <w:trPr>
          <w:trHeight w:val="191"/>
        </w:trPr>
        <w:tc>
          <w:tcPr>
            <w:tcW w:w="69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Borders>
              <w:top w:val="single" w:sz="8" w:color="auto"/>
            </w:tcBorders>
            <w:gridSpan w:val="2"/>
          </w:tcPr>
          <w:p>
            <w:pPr>
              <w:jc w:val="right"/>
              <w:ind w:right="200"/>
              <w:spacing w:after="0" w:line="191" w:lineRule="exact"/>
              <w:rPr>
                <w:sz w:val="20"/>
                <w:szCs w:val="20"/>
                <w:color w:val="auto"/>
              </w:rPr>
            </w:pPr>
            <w:r>
              <w:rPr>
                <w:rFonts w:ascii="Arial" w:cs="Arial" w:eastAsia="Arial" w:hAnsi="Arial"/>
                <w:sz w:val="19"/>
                <w:szCs w:val="19"/>
                <w:color w:val="auto"/>
                <w:w w:val="75"/>
              </w:rPr>
              <w:t>$</w:t>
            </w: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9"/>
                <w:szCs w:val="19"/>
                <w:color w:val="auto"/>
              </w:rPr>
              <w:t>18,252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940" w:type="dxa"/>
            <w:vAlign w:val="bottom"/>
          </w:tcPr>
          <w:p>
            <w:pPr>
              <w:ind w:left="20"/>
              <w:spacing w:after="0"/>
              <w:rPr>
                <w:sz w:val="20"/>
                <w:szCs w:val="20"/>
                <w:color w:val="auto"/>
              </w:rPr>
            </w:pPr>
            <w:r>
              <w:rPr>
                <w:rFonts w:ascii="Arial" w:cs="Arial" w:eastAsia="Arial" w:hAnsi="Arial"/>
                <w:sz w:val="19"/>
                <w:szCs w:val="19"/>
                <w:color w:val="auto"/>
              </w:rPr>
              <w:t>Change in fair value</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9"/>
                <w:szCs w:val="19"/>
                <w:color w:val="auto"/>
              </w:rPr>
              <w:t>(16,370)</w:t>
            </w:r>
          </w:p>
        </w:tc>
        <w:tc>
          <w:tcPr>
            <w:tcW w:w="0" w:type="dxa"/>
            <w:vAlign w:val="bottom"/>
          </w:tcPr>
          <w:p>
            <w:pPr>
              <w:spacing w:after="0"/>
              <w:rPr>
                <w:sz w:val="1"/>
                <w:szCs w:val="1"/>
                <w:color w:val="auto"/>
              </w:rPr>
            </w:pPr>
          </w:p>
        </w:tc>
      </w:tr>
      <w:tr>
        <w:trPr>
          <w:trHeight w:val="191"/>
        </w:trPr>
        <w:tc>
          <w:tcPr>
            <w:tcW w:w="6940" w:type="dxa"/>
            <w:vAlign w:val="bottom"/>
          </w:tcPr>
          <w:p>
            <w:pPr>
              <w:ind w:left="20"/>
              <w:spacing w:after="0" w:line="191" w:lineRule="exact"/>
              <w:rPr>
                <w:sz w:val="20"/>
                <w:szCs w:val="20"/>
                <w:color w:val="auto"/>
              </w:rPr>
            </w:pPr>
            <w:r>
              <w:rPr>
                <w:rFonts w:ascii="Arial" w:cs="Arial" w:eastAsia="Arial" w:hAnsi="Arial"/>
                <w:sz w:val="19"/>
                <w:szCs w:val="19"/>
                <w:color w:val="auto"/>
              </w:rPr>
              <w:t>Balance at December 31, 2022</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Borders>
              <w:top w:val="single" w:sz="8" w:color="auto"/>
            </w:tcBorders>
            <w:gridSpan w:val="2"/>
          </w:tcPr>
          <w:p>
            <w:pPr>
              <w:jc w:val="right"/>
              <w:ind w:right="200"/>
              <w:spacing w:after="0" w:line="191" w:lineRule="exact"/>
              <w:rPr>
                <w:sz w:val="20"/>
                <w:szCs w:val="20"/>
                <w:color w:val="auto"/>
              </w:rPr>
            </w:pPr>
            <w:r>
              <w:rPr>
                <w:rFonts w:ascii="Arial" w:cs="Arial" w:eastAsia="Arial" w:hAnsi="Arial"/>
                <w:sz w:val="19"/>
                <w:szCs w:val="19"/>
                <w:color w:val="auto"/>
                <w:w w:val="75"/>
              </w:rPr>
              <w:t>$</w:t>
            </w: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9"/>
                <w:szCs w:val="19"/>
                <w:color w:val="auto"/>
              </w:rPr>
              <w:t>1,882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940" w:type="dxa"/>
            <w:vAlign w:val="bottom"/>
          </w:tcPr>
          <w:p>
            <w:pPr>
              <w:ind w:left="20"/>
              <w:spacing w:after="0"/>
              <w:rPr>
                <w:sz w:val="20"/>
                <w:szCs w:val="20"/>
                <w:color w:val="auto"/>
              </w:rPr>
            </w:pPr>
            <w:r>
              <w:rPr>
                <w:rFonts w:ascii="Arial" w:cs="Arial" w:eastAsia="Arial" w:hAnsi="Arial"/>
                <w:sz w:val="19"/>
                <w:szCs w:val="19"/>
                <w:color w:val="auto"/>
              </w:rPr>
              <w:t>Change in fair value</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9"/>
                <w:szCs w:val="19"/>
                <w:color w:val="auto"/>
              </w:rPr>
              <w:t>(966)</w:t>
            </w:r>
          </w:p>
        </w:tc>
        <w:tc>
          <w:tcPr>
            <w:tcW w:w="0" w:type="dxa"/>
            <w:vAlign w:val="bottom"/>
          </w:tcPr>
          <w:p>
            <w:pPr>
              <w:spacing w:after="0"/>
              <w:rPr>
                <w:sz w:val="1"/>
                <w:szCs w:val="1"/>
                <w:color w:val="auto"/>
              </w:rPr>
            </w:pPr>
          </w:p>
        </w:tc>
      </w:tr>
      <w:tr>
        <w:trPr>
          <w:trHeight w:val="208"/>
        </w:trPr>
        <w:tc>
          <w:tcPr>
            <w:tcW w:w="6940" w:type="dxa"/>
            <w:vAlign w:val="bottom"/>
          </w:tcPr>
          <w:p>
            <w:pPr>
              <w:ind w:left="20"/>
              <w:spacing w:after="0" w:line="209" w:lineRule="exact"/>
              <w:rPr>
                <w:sz w:val="20"/>
                <w:szCs w:val="20"/>
                <w:color w:val="auto"/>
              </w:rPr>
            </w:pPr>
            <w:r>
              <w:rPr>
                <w:rFonts w:ascii="Arial" w:cs="Arial" w:eastAsia="Arial" w:hAnsi="Arial"/>
                <w:sz w:val="19"/>
                <w:szCs w:val="19"/>
                <w:color w:val="auto"/>
              </w:rPr>
              <w:t>Balance at December 31, 2023</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Borders>
              <w:top w:val="single" w:sz="8" w:color="auto"/>
              <w:bottom w:val="single" w:sz="8" w:color="auto"/>
            </w:tcBorders>
            <w:gridSpan w:val="2"/>
          </w:tcPr>
          <w:p>
            <w:pPr>
              <w:jc w:val="right"/>
              <w:ind w:right="200"/>
              <w:spacing w:after="0" w:line="209" w:lineRule="exact"/>
              <w:rPr>
                <w:sz w:val="20"/>
                <w:szCs w:val="20"/>
                <w:color w:val="auto"/>
              </w:rPr>
            </w:pPr>
            <w:r>
              <w:rPr>
                <w:rFonts w:ascii="Arial" w:cs="Arial" w:eastAsia="Arial" w:hAnsi="Arial"/>
                <w:sz w:val="19"/>
                <w:szCs w:val="19"/>
                <w:color w:val="auto"/>
                <w:w w:val="75"/>
              </w:rPr>
              <w:t>$</w:t>
            </w:r>
          </w:p>
        </w:tc>
        <w:tc>
          <w:tcPr>
            <w:tcW w:w="1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916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9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6940" w:type="dxa"/>
            <w:vAlign w:val="bottom"/>
          </w:tcPr>
          <w:p>
            <w:pPr>
              <w:ind w:left="20"/>
              <w:spacing w:after="0"/>
              <w:rPr>
                <w:sz w:val="20"/>
                <w:szCs w:val="20"/>
                <w:color w:val="auto"/>
              </w:rPr>
            </w:pPr>
            <w:r>
              <w:rPr>
                <w:rFonts w:ascii="Arial" w:cs="Arial" w:eastAsia="Arial" w:hAnsi="Arial"/>
                <w:sz w:val="19"/>
                <w:szCs w:val="19"/>
                <w:b w:val="1"/>
                <w:bCs w:val="1"/>
                <w:color w:val="auto"/>
              </w:rPr>
              <w:t>4. Fixed Assets, Net</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6940" w:type="dxa"/>
            <w:vAlign w:val="bottom"/>
          </w:tcPr>
          <w:p>
            <w:pPr>
              <w:ind w:left="20"/>
              <w:spacing w:after="0"/>
              <w:rPr>
                <w:sz w:val="20"/>
                <w:szCs w:val="20"/>
                <w:color w:val="auto"/>
              </w:rPr>
            </w:pPr>
            <w:r>
              <w:rPr>
                <w:rFonts w:ascii="Arial" w:cs="Arial" w:eastAsia="Arial" w:hAnsi="Arial"/>
                <w:sz w:val="19"/>
                <w:szCs w:val="19"/>
                <w:color w:val="auto"/>
              </w:rPr>
              <w:t>Fixed assets, net consisted of the following (in thousands):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69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gridSpan w:val="2"/>
          </w:tcPr>
          <w:p>
            <w:pPr>
              <w:spacing w:after="0"/>
              <w:rPr>
                <w:sz w:val="8"/>
                <w:szCs w:val="8"/>
                <w:color w:val="auto"/>
              </w:rPr>
            </w:pPr>
          </w:p>
        </w:tc>
        <w:tc>
          <w:tcPr>
            <w:tcW w:w="1780" w:type="dxa"/>
            <w:vAlign w:val="bottom"/>
            <w:tcBorders>
              <w:bottom w:val="single" w:sz="8" w:color="auto"/>
            </w:tcBorders>
            <w:gridSpan w:val="4"/>
          </w:tcPr>
          <w:p>
            <w:pPr>
              <w:spacing w:after="0"/>
              <w:rPr>
                <w:sz w:val="8"/>
                <w:szCs w:val="8"/>
                <w:color w:val="auto"/>
              </w:rPr>
            </w:pPr>
          </w:p>
        </w:tc>
        <w:tc>
          <w:tcPr>
            <w:tcW w:w="0" w:type="dxa"/>
            <w:vAlign w:val="bottom"/>
          </w:tcPr>
          <w:p>
            <w:pPr>
              <w:spacing w:after="0"/>
              <w:rPr>
                <w:sz w:val="1"/>
                <w:szCs w:val="1"/>
                <w:color w:val="auto"/>
              </w:rPr>
            </w:pPr>
          </w:p>
        </w:tc>
      </w:tr>
      <w:tr>
        <w:trPr>
          <w:trHeight w:val="302"/>
        </w:trPr>
        <w:tc>
          <w:tcPr>
            <w:tcW w:w="6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60" w:type="dxa"/>
            <w:vAlign w:val="bottom"/>
            <w:gridSpan w:val="6"/>
          </w:tcPr>
          <w:p>
            <w:pPr>
              <w:jc w:val="right"/>
              <w:ind w:right="106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74"/>
        </w:trPr>
        <w:tc>
          <w:tcPr>
            <w:tcW w:w="6940" w:type="dxa"/>
            <w:vAlign w:val="bottom"/>
            <w:vMerge w:val="restart"/>
          </w:tcPr>
          <w:p>
            <w:pPr>
              <w:ind w:left="20"/>
              <w:spacing w:after="0"/>
              <w:rPr>
                <w:sz w:val="20"/>
                <w:szCs w:val="20"/>
                <w:color w:val="auto"/>
              </w:rPr>
            </w:pPr>
            <w:r>
              <w:rPr>
                <w:rFonts w:ascii="Arial" w:cs="Arial" w:eastAsia="Arial" w:hAnsi="Arial"/>
                <w:sz w:val="19"/>
                <w:szCs w:val="19"/>
                <w:color w:val="auto"/>
              </w:rPr>
              <w:t>Laboratory equipment</w:t>
            </w: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388"/>
              <w:spacing w:after="0" w:line="174" w:lineRule="exact"/>
              <w:rPr>
                <w:sz w:val="20"/>
                <w:szCs w:val="20"/>
                <w:color w:val="auto"/>
              </w:rPr>
            </w:pPr>
            <w:r>
              <w:rPr>
                <w:rFonts w:ascii="Arial" w:cs="Arial" w:eastAsia="Arial" w:hAnsi="Arial"/>
                <w:sz w:val="16"/>
                <w:szCs w:val="16"/>
                <w:b w:val="1"/>
                <w:bCs w:val="1"/>
                <w:color w:val="auto"/>
              </w:rPr>
              <w:t>2023</w:t>
            </w:r>
          </w:p>
        </w:tc>
        <w:tc>
          <w:tcPr>
            <w:tcW w:w="4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429"/>
              <w:spacing w:after="0" w:line="174" w:lineRule="exact"/>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940" w:type="dxa"/>
            <w:vAlign w:val="bottom"/>
            <w:vMerge w:val="continue"/>
          </w:tcPr>
          <w:p>
            <w:pPr>
              <w:spacing w:after="0"/>
              <w:rPr>
                <w:sz w:val="16"/>
                <w:szCs w:val="16"/>
                <w:color w:val="auto"/>
              </w:rPr>
            </w:pPr>
          </w:p>
        </w:tc>
        <w:tc>
          <w:tcPr>
            <w:tcW w:w="320" w:type="dxa"/>
            <w:vAlign w:val="bottom"/>
          </w:tcPr>
          <w:p>
            <w:pPr>
              <w:jc w:val="right"/>
              <w:ind w:right="125"/>
              <w:spacing w:after="0" w:line="191" w:lineRule="exact"/>
              <w:rPr>
                <w:sz w:val="20"/>
                <w:szCs w:val="20"/>
                <w:color w:val="auto"/>
              </w:rPr>
            </w:pPr>
            <w:r>
              <w:rPr>
                <w:rFonts w:ascii="Arial" w:cs="Arial" w:eastAsia="Arial" w:hAnsi="Arial"/>
                <w:sz w:val="19"/>
                <w:szCs w:val="19"/>
                <w:color w:val="auto"/>
                <w:w w:val="75"/>
              </w:rPr>
              <w:t>$</w:t>
            </w:r>
          </w:p>
        </w:tc>
        <w:tc>
          <w:tcPr>
            <w:tcW w:w="1080" w:type="dxa"/>
            <w:vAlign w:val="bottom"/>
            <w:gridSpan w:val="2"/>
          </w:tcPr>
          <w:p>
            <w:pPr>
              <w:jc w:val="right"/>
              <w:spacing w:after="0" w:line="191" w:lineRule="exact"/>
              <w:rPr>
                <w:sz w:val="20"/>
                <w:szCs w:val="20"/>
                <w:color w:val="auto"/>
              </w:rPr>
            </w:pPr>
            <w:r>
              <w:rPr>
                <w:rFonts w:ascii="Arial" w:cs="Arial" w:eastAsia="Arial" w:hAnsi="Arial"/>
                <w:sz w:val="19"/>
                <w:szCs w:val="19"/>
                <w:color w:val="auto"/>
              </w:rPr>
              <w:t>1,209</w:t>
            </w:r>
          </w:p>
        </w:tc>
        <w:tc>
          <w:tcPr>
            <w:tcW w:w="260" w:type="dxa"/>
            <w:vAlign w:val="bottom"/>
          </w:tcPr>
          <w:p>
            <w:pPr>
              <w:spacing w:after="0"/>
              <w:rPr>
                <w:sz w:val="16"/>
                <w:szCs w:val="16"/>
                <w:color w:val="auto"/>
              </w:rPr>
            </w:pPr>
          </w:p>
        </w:tc>
        <w:tc>
          <w:tcPr>
            <w:tcW w:w="120" w:type="dxa"/>
            <w:vAlign w:val="bottom"/>
          </w:tcPr>
          <w:p>
            <w:pPr>
              <w:jc w:val="right"/>
              <w:spacing w:after="0" w:line="191" w:lineRule="exact"/>
              <w:rPr>
                <w:sz w:val="20"/>
                <w:szCs w:val="20"/>
                <w:color w:val="auto"/>
              </w:rPr>
            </w:pPr>
            <w:r>
              <w:rPr>
                <w:rFonts w:ascii="Arial" w:cs="Arial" w:eastAsia="Arial" w:hAnsi="Arial"/>
                <w:sz w:val="19"/>
                <w:szCs w:val="19"/>
                <w:color w:val="auto"/>
                <w:w w:val="75"/>
              </w:rPr>
              <w:t>$</w:t>
            </w:r>
          </w:p>
        </w:tc>
        <w:tc>
          <w:tcPr>
            <w:tcW w:w="1280" w:type="dxa"/>
            <w:vAlign w:val="bottom"/>
          </w:tcPr>
          <w:p>
            <w:pPr>
              <w:jc w:val="right"/>
              <w:spacing w:after="0" w:line="191" w:lineRule="exact"/>
              <w:rPr>
                <w:sz w:val="20"/>
                <w:szCs w:val="20"/>
                <w:color w:val="auto"/>
              </w:rPr>
            </w:pPr>
            <w:r>
              <w:rPr>
                <w:rFonts w:ascii="Arial" w:cs="Arial" w:eastAsia="Arial" w:hAnsi="Arial"/>
                <w:sz w:val="19"/>
                <w:szCs w:val="19"/>
                <w:color w:val="auto"/>
              </w:rPr>
              <w:t>1,055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940" w:type="dxa"/>
            <w:vAlign w:val="bottom"/>
          </w:tcPr>
          <w:p>
            <w:pPr>
              <w:ind w:left="20"/>
              <w:spacing w:after="0"/>
              <w:rPr>
                <w:sz w:val="20"/>
                <w:szCs w:val="20"/>
                <w:color w:val="auto"/>
              </w:rPr>
            </w:pPr>
            <w:r>
              <w:rPr>
                <w:rFonts w:ascii="Arial" w:cs="Arial" w:eastAsia="Arial" w:hAnsi="Arial"/>
                <w:sz w:val="19"/>
                <w:szCs w:val="19"/>
                <w:color w:val="auto"/>
              </w:rPr>
              <w:t>Manufacturing equipment</w:t>
            </w:r>
          </w:p>
        </w:tc>
        <w:tc>
          <w:tcPr>
            <w:tcW w:w="3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9"/>
                <w:szCs w:val="19"/>
                <w:color w:val="auto"/>
              </w:rPr>
              <w:t>730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9"/>
                <w:szCs w:val="19"/>
                <w:color w:val="auto"/>
              </w:rPr>
              <w:t>1,201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940" w:type="dxa"/>
            <w:vAlign w:val="bottom"/>
          </w:tcPr>
          <w:p>
            <w:pPr>
              <w:ind w:left="20"/>
              <w:spacing w:after="0"/>
              <w:rPr>
                <w:sz w:val="20"/>
                <w:szCs w:val="20"/>
                <w:color w:val="auto"/>
              </w:rPr>
            </w:pPr>
            <w:r>
              <w:rPr>
                <w:rFonts w:ascii="Arial" w:cs="Arial" w:eastAsia="Arial" w:hAnsi="Arial"/>
                <w:sz w:val="19"/>
                <w:szCs w:val="19"/>
                <w:color w:val="auto"/>
              </w:rPr>
              <w:t>Furniture and fixtures</w:t>
            </w:r>
          </w:p>
        </w:tc>
        <w:tc>
          <w:tcPr>
            <w:tcW w:w="3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9"/>
                <w:szCs w:val="19"/>
                <w:color w:val="auto"/>
              </w:rPr>
              <w:t>159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9"/>
                <w:szCs w:val="19"/>
                <w:color w:val="auto"/>
              </w:rPr>
              <w:t>159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940" w:type="dxa"/>
            <w:vAlign w:val="bottom"/>
          </w:tcPr>
          <w:p>
            <w:pPr>
              <w:ind w:left="20"/>
              <w:spacing w:after="0"/>
              <w:rPr>
                <w:sz w:val="20"/>
                <w:szCs w:val="20"/>
                <w:color w:val="auto"/>
              </w:rPr>
            </w:pPr>
            <w:r>
              <w:rPr>
                <w:rFonts w:ascii="Arial" w:cs="Arial" w:eastAsia="Arial" w:hAnsi="Arial"/>
                <w:sz w:val="19"/>
                <w:szCs w:val="19"/>
                <w:color w:val="auto"/>
              </w:rPr>
              <w:t>Networking and computer equipment</w:t>
            </w:r>
          </w:p>
        </w:tc>
        <w:tc>
          <w:tcPr>
            <w:tcW w:w="3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9"/>
                <w:szCs w:val="19"/>
                <w:color w:val="auto"/>
              </w:rPr>
              <w:t>88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9"/>
                <w:szCs w:val="19"/>
                <w:color w:val="auto"/>
              </w:rPr>
              <w:t>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940" w:type="dxa"/>
            <w:vAlign w:val="bottom"/>
          </w:tcPr>
          <w:p>
            <w:pPr>
              <w:ind w:left="20"/>
              <w:spacing w:after="0"/>
              <w:rPr>
                <w:sz w:val="20"/>
                <w:szCs w:val="20"/>
                <w:color w:val="auto"/>
              </w:rPr>
            </w:pPr>
            <w:r>
              <w:rPr>
                <w:rFonts w:ascii="Arial" w:cs="Arial" w:eastAsia="Arial" w:hAnsi="Arial"/>
                <w:sz w:val="19"/>
                <w:szCs w:val="19"/>
                <w:color w:val="auto"/>
              </w:rPr>
              <w:t>Leasehold improvements</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3,109</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3,057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940" w:type="dxa"/>
            <w:vAlign w:val="bottom"/>
          </w:tcPr>
          <w:p>
            <w:pPr>
              <w:ind w:left="20"/>
              <w:spacing w:after="0" w:line="191" w:lineRule="exact"/>
              <w:rPr>
                <w:sz w:val="20"/>
                <w:szCs w:val="20"/>
                <w:color w:val="auto"/>
              </w:rPr>
            </w:pPr>
            <w:r>
              <w:rPr>
                <w:rFonts w:ascii="Arial" w:cs="Arial" w:eastAsia="Arial" w:hAnsi="Arial"/>
                <w:sz w:val="19"/>
                <w:szCs w:val="19"/>
                <w:color w:val="auto"/>
              </w:rPr>
              <w:t>Total fixed assets</w:t>
            </w:r>
          </w:p>
        </w:tc>
        <w:tc>
          <w:tcPr>
            <w:tcW w:w="320" w:type="dxa"/>
            <w:vAlign w:val="bottom"/>
          </w:tcPr>
          <w:p>
            <w:pPr>
              <w:jc w:val="right"/>
              <w:ind w:right="125"/>
              <w:spacing w:after="0" w:line="191" w:lineRule="exact"/>
              <w:rPr>
                <w:sz w:val="20"/>
                <w:szCs w:val="20"/>
                <w:color w:val="auto"/>
              </w:rPr>
            </w:pPr>
            <w:r>
              <w:rPr>
                <w:rFonts w:ascii="Arial" w:cs="Arial" w:eastAsia="Arial" w:hAnsi="Arial"/>
                <w:sz w:val="19"/>
                <w:szCs w:val="19"/>
                <w:color w:val="auto"/>
                <w:w w:val="75"/>
              </w:rPr>
              <w:t>$</w:t>
            </w:r>
          </w:p>
        </w:tc>
        <w:tc>
          <w:tcPr>
            <w:tcW w:w="1080" w:type="dxa"/>
            <w:vAlign w:val="bottom"/>
            <w:gridSpan w:val="2"/>
          </w:tcPr>
          <w:p>
            <w:pPr>
              <w:jc w:val="right"/>
              <w:spacing w:after="0" w:line="191" w:lineRule="exact"/>
              <w:rPr>
                <w:sz w:val="20"/>
                <w:szCs w:val="20"/>
                <w:color w:val="auto"/>
              </w:rPr>
            </w:pPr>
            <w:r>
              <w:rPr>
                <w:rFonts w:ascii="Arial" w:cs="Arial" w:eastAsia="Arial" w:hAnsi="Arial"/>
                <w:sz w:val="19"/>
                <w:szCs w:val="19"/>
                <w:color w:val="auto"/>
              </w:rPr>
              <w:t>5,295</w:t>
            </w:r>
          </w:p>
        </w:tc>
        <w:tc>
          <w:tcPr>
            <w:tcW w:w="260" w:type="dxa"/>
            <w:vAlign w:val="bottom"/>
          </w:tcPr>
          <w:p>
            <w:pPr>
              <w:spacing w:after="0"/>
              <w:rPr>
                <w:sz w:val="16"/>
                <w:szCs w:val="16"/>
                <w:color w:val="auto"/>
              </w:rPr>
            </w:pPr>
          </w:p>
        </w:tc>
        <w:tc>
          <w:tcPr>
            <w:tcW w:w="120" w:type="dxa"/>
            <w:vAlign w:val="bottom"/>
          </w:tcPr>
          <w:p>
            <w:pPr>
              <w:jc w:val="right"/>
              <w:spacing w:after="0" w:line="191" w:lineRule="exact"/>
              <w:rPr>
                <w:sz w:val="20"/>
                <w:szCs w:val="20"/>
                <w:color w:val="auto"/>
              </w:rPr>
            </w:pPr>
            <w:r>
              <w:rPr>
                <w:rFonts w:ascii="Arial" w:cs="Arial" w:eastAsia="Arial" w:hAnsi="Arial"/>
                <w:sz w:val="19"/>
                <w:szCs w:val="19"/>
                <w:color w:val="auto"/>
                <w:w w:val="75"/>
              </w:rPr>
              <w:t>$</w:t>
            </w:r>
          </w:p>
        </w:tc>
        <w:tc>
          <w:tcPr>
            <w:tcW w:w="1280" w:type="dxa"/>
            <w:vAlign w:val="bottom"/>
          </w:tcPr>
          <w:p>
            <w:pPr>
              <w:jc w:val="right"/>
              <w:spacing w:after="0" w:line="191" w:lineRule="exact"/>
              <w:rPr>
                <w:sz w:val="20"/>
                <w:szCs w:val="20"/>
                <w:color w:val="auto"/>
              </w:rPr>
            </w:pPr>
            <w:r>
              <w:rPr>
                <w:rFonts w:ascii="Arial" w:cs="Arial" w:eastAsia="Arial" w:hAnsi="Arial"/>
                <w:sz w:val="19"/>
                <w:szCs w:val="19"/>
                <w:color w:val="auto"/>
              </w:rPr>
              <w:t>5,553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940" w:type="dxa"/>
            <w:vAlign w:val="bottom"/>
          </w:tcPr>
          <w:p>
            <w:pPr>
              <w:ind w:left="20"/>
              <w:spacing w:after="0"/>
              <w:rPr>
                <w:sz w:val="20"/>
                <w:szCs w:val="20"/>
                <w:color w:val="auto"/>
              </w:rPr>
            </w:pPr>
            <w:r>
              <w:rPr>
                <w:rFonts w:ascii="Arial" w:cs="Arial" w:eastAsia="Arial" w:hAnsi="Arial"/>
                <w:sz w:val="19"/>
                <w:szCs w:val="19"/>
                <w:color w:val="auto"/>
              </w:rPr>
              <w:t>Less: accumulated depreciation</w:t>
            </w:r>
          </w:p>
        </w:tc>
        <w:tc>
          <w:tcPr>
            <w:tcW w:w="320" w:type="dxa"/>
            <w:vAlign w:val="bottom"/>
          </w:tcPr>
          <w:p>
            <w:pPr>
              <w:spacing w:after="0"/>
              <w:rPr>
                <w:sz w:val="20"/>
                <w:szCs w:val="20"/>
                <w:color w:val="auto"/>
              </w:rPr>
            </w:pPr>
          </w:p>
        </w:tc>
        <w:tc>
          <w:tcPr>
            <w:tcW w:w="1340" w:type="dxa"/>
            <w:vAlign w:val="bottom"/>
            <w:gridSpan w:val="3"/>
          </w:tcPr>
          <w:p>
            <w:pPr>
              <w:jc w:val="right"/>
              <w:ind w:right="200"/>
              <w:spacing w:after="0"/>
              <w:rPr>
                <w:sz w:val="20"/>
                <w:szCs w:val="20"/>
                <w:color w:val="auto"/>
              </w:rPr>
            </w:pPr>
            <w:r>
              <w:rPr>
                <w:rFonts w:ascii="Arial" w:cs="Arial" w:eastAsia="Arial" w:hAnsi="Arial"/>
                <w:sz w:val="19"/>
                <w:szCs w:val="19"/>
                <w:color w:val="auto"/>
              </w:rPr>
              <w:t>(2,089)</w:t>
            </w:r>
          </w:p>
        </w:tc>
        <w:tc>
          <w:tcPr>
            <w:tcW w:w="120" w:type="dxa"/>
            <w:vAlign w:val="bottom"/>
          </w:tcPr>
          <w:p>
            <w:pPr>
              <w:spacing w:after="0"/>
              <w:rPr>
                <w:sz w:val="20"/>
                <w:szCs w:val="20"/>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9"/>
                <w:szCs w:val="19"/>
                <w:color w:val="auto"/>
              </w:rPr>
              <w:t>(1,129)</w:t>
            </w:r>
          </w:p>
        </w:tc>
        <w:tc>
          <w:tcPr>
            <w:tcW w:w="0" w:type="dxa"/>
            <w:vAlign w:val="bottom"/>
          </w:tcPr>
          <w:p>
            <w:pPr>
              <w:spacing w:after="0"/>
              <w:rPr>
                <w:sz w:val="1"/>
                <w:szCs w:val="1"/>
                <w:color w:val="auto"/>
              </w:rPr>
            </w:pPr>
          </w:p>
        </w:tc>
      </w:tr>
      <w:tr>
        <w:trPr>
          <w:trHeight w:val="208"/>
        </w:trPr>
        <w:tc>
          <w:tcPr>
            <w:tcW w:w="6940" w:type="dxa"/>
            <w:vAlign w:val="bottom"/>
          </w:tcPr>
          <w:p>
            <w:pPr>
              <w:ind w:left="300"/>
              <w:spacing w:after="0" w:line="209" w:lineRule="exact"/>
              <w:rPr>
                <w:sz w:val="20"/>
                <w:szCs w:val="20"/>
                <w:color w:val="auto"/>
              </w:rPr>
            </w:pPr>
            <w:r>
              <w:rPr>
                <w:rFonts w:ascii="Arial" w:cs="Arial" w:eastAsia="Arial" w:hAnsi="Arial"/>
                <w:sz w:val="19"/>
                <w:szCs w:val="19"/>
                <w:b w:val="1"/>
                <w:bCs w:val="1"/>
                <w:color w:val="auto"/>
              </w:rPr>
              <w:t>Fixed assets, net</w:t>
            </w:r>
          </w:p>
        </w:tc>
        <w:tc>
          <w:tcPr>
            <w:tcW w:w="320" w:type="dxa"/>
            <w:vAlign w:val="bottom"/>
            <w:tcBorders>
              <w:top w:val="single" w:sz="8" w:color="auto"/>
              <w:bottom w:val="single" w:sz="8" w:color="auto"/>
            </w:tcBorders>
          </w:tcPr>
          <w:p>
            <w:pPr>
              <w:jc w:val="right"/>
              <w:ind w:right="125"/>
              <w:spacing w:after="0" w:line="209" w:lineRule="exact"/>
              <w:rPr>
                <w:sz w:val="20"/>
                <w:szCs w:val="20"/>
                <w:color w:val="auto"/>
              </w:rPr>
            </w:pPr>
            <w:r>
              <w:rPr>
                <w:rFonts w:ascii="Arial" w:cs="Arial" w:eastAsia="Arial" w:hAnsi="Arial"/>
                <w:sz w:val="19"/>
                <w:szCs w:val="19"/>
                <w:color w:val="auto"/>
                <w:w w:val="75"/>
              </w:rPr>
              <w:t>$</w:t>
            </w:r>
          </w:p>
        </w:tc>
        <w:tc>
          <w:tcPr>
            <w:tcW w:w="1080" w:type="dxa"/>
            <w:vAlign w:val="bottom"/>
            <w:tcBorders>
              <w:top w:val="single" w:sz="8" w:color="auto"/>
              <w:bottom w:val="single" w:sz="8" w:color="auto"/>
            </w:tcBorders>
            <w:gridSpan w:val="2"/>
          </w:tcPr>
          <w:p>
            <w:pPr>
              <w:jc w:val="right"/>
              <w:spacing w:after="0" w:line="209" w:lineRule="exact"/>
              <w:rPr>
                <w:sz w:val="20"/>
                <w:szCs w:val="20"/>
                <w:color w:val="auto"/>
              </w:rPr>
            </w:pPr>
            <w:r>
              <w:rPr>
                <w:rFonts w:ascii="Arial" w:cs="Arial" w:eastAsia="Arial" w:hAnsi="Arial"/>
                <w:sz w:val="19"/>
                <w:szCs w:val="19"/>
                <w:color w:val="auto"/>
              </w:rPr>
              <w:t>3,206</w:t>
            </w: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19"/>
                <w:szCs w:val="19"/>
                <w:color w:val="auto"/>
                <w:w w:val="75"/>
              </w:rPr>
              <w:t>$</w:t>
            </w:r>
          </w:p>
        </w:tc>
        <w:tc>
          <w:tcPr>
            <w:tcW w:w="128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4,424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69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-2986405</wp:posOffset>
            </wp:positionV>
            <wp:extent cx="6426200" cy="7378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7">
                      <a:extLst>
                        <a:ext uri="{28A0092B-C50C-407E-A947-70E740481C1C}"/>
                      </a:extLst>
                    </a:blip>
                    <a:srcRect/>
                    <a:stretch>
                      <a:fillRect/>
                    </a:stretch>
                  </pic:blipFill>
                  <pic:spPr bwMode="auto">
                    <a:xfrm>
                      <a:off x="0" y="0"/>
                      <a:ext cx="6426200" cy="73787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-1263650</wp:posOffset>
            </wp:positionV>
            <wp:extent cx="6438900" cy="11671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8">
                      <a:extLst>
                        <a:ext uri="{28A0092B-C50C-407E-A947-70E740481C1C}"/>
                      </a:extLst>
                    </a:blip>
                    <a:srcRect/>
                    <a:stretch>
                      <a:fillRect/>
                    </a:stretch>
                  </pic:blipFill>
                  <pic:spPr bwMode="auto">
                    <a:xfrm>
                      <a:off x="0" y="0"/>
                      <a:ext cx="6438900" cy="1167130"/>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9"/>
          <w:szCs w:val="19"/>
          <w:color w:val="auto"/>
        </w:rPr>
        <w:t>Depreciation expense was $1.0 million and $0.8 million for the years ended December 31, 2023 and 2022, respectively.</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5. Accrued Expenses</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9"/>
          <w:szCs w:val="19"/>
          <w:color w:val="auto"/>
        </w:rPr>
        <w:t>Accrued expenses consisted of the following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4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6940" w:type="dxa"/>
            <w:vAlign w:val="bottom"/>
            <w:vMerge w:val="restart"/>
          </w:tcPr>
          <w:p>
            <w:pPr>
              <w:ind w:left="20"/>
              <w:spacing w:after="0"/>
              <w:rPr>
                <w:sz w:val="20"/>
                <w:szCs w:val="20"/>
                <w:color w:val="auto"/>
              </w:rPr>
            </w:pPr>
            <w:r>
              <w:rPr>
                <w:rFonts w:ascii="Arial" w:cs="Arial" w:eastAsia="Arial" w:hAnsi="Arial"/>
                <w:sz w:val="19"/>
                <w:szCs w:val="19"/>
                <w:color w:val="auto"/>
              </w:rPr>
              <w:t>Payroll and employee related expenses</w:t>
            </w:r>
          </w:p>
        </w:tc>
        <w:tc>
          <w:tcPr>
            <w:tcW w:w="900" w:type="dxa"/>
            <w:vAlign w:val="bottom"/>
            <w:tcBorders>
              <w:bottom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2023</w:t>
            </w:r>
          </w:p>
        </w:tc>
        <w:tc>
          <w:tcPr>
            <w:tcW w:w="5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28"/>
              <w:spacing w:after="0" w:line="174" w:lineRule="exact"/>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940" w:type="dxa"/>
            <w:vAlign w:val="bottom"/>
            <w:vMerge w:val="continue"/>
          </w:tcPr>
          <w:p>
            <w:pPr>
              <w:spacing w:after="0"/>
              <w:rPr>
                <w:sz w:val="16"/>
                <w:szCs w:val="16"/>
                <w:color w:val="auto"/>
              </w:rPr>
            </w:pPr>
          </w:p>
        </w:tc>
        <w:tc>
          <w:tcPr>
            <w:tcW w:w="900" w:type="dxa"/>
            <w:vAlign w:val="bottom"/>
          </w:tcPr>
          <w:p>
            <w:pPr>
              <w:jc w:val="right"/>
              <w:ind w:right="710"/>
              <w:spacing w:after="0" w:line="191" w:lineRule="exact"/>
              <w:rPr>
                <w:sz w:val="20"/>
                <w:szCs w:val="20"/>
                <w:color w:val="auto"/>
              </w:rPr>
            </w:pPr>
            <w:r>
              <w:rPr>
                <w:rFonts w:ascii="Arial" w:cs="Arial" w:eastAsia="Arial" w:hAnsi="Arial"/>
                <w:sz w:val="19"/>
                <w:szCs w:val="19"/>
                <w:color w:val="auto"/>
                <w:w w:val="75"/>
              </w:rPr>
              <w:t>$</w:t>
            </w:r>
          </w:p>
        </w:tc>
        <w:tc>
          <w:tcPr>
            <w:tcW w:w="500" w:type="dxa"/>
            <w:vAlign w:val="bottom"/>
          </w:tcPr>
          <w:p>
            <w:pPr>
              <w:jc w:val="right"/>
              <w:spacing w:after="0" w:line="191" w:lineRule="exact"/>
              <w:rPr>
                <w:sz w:val="20"/>
                <w:szCs w:val="20"/>
                <w:color w:val="auto"/>
              </w:rPr>
            </w:pPr>
            <w:r>
              <w:rPr>
                <w:rFonts w:ascii="Arial" w:cs="Arial" w:eastAsia="Arial" w:hAnsi="Arial"/>
                <w:sz w:val="19"/>
                <w:szCs w:val="19"/>
                <w:color w:val="auto"/>
              </w:rPr>
              <w:t>2,017</w:t>
            </w:r>
          </w:p>
        </w:tc>
        <w:tc>
          <w:tcPr>
            <w:tcW w:w="260" w:type="dxa"/>
            <w:vAlign w:val="bottom"/>
          </w:tcPr>
          <w:p>
            <w:pPr>
              <w:spacing w:after="0"/>
              <w:rPr>
                <w:sz w:val="16"/>
                <w:szCs w:val="16"/>
                <w:color w:val="auto"/>
              </w:rPr>
            </w:pPr>
          </w:p>
        </w:tc>
        <w:tc>
          <w:tcPr>
            <w:tcW w:w="500" w:type="dxa"/>
            <w:vAlign w:val="bottom"/>
          </w:tcPr>
          <w:p>
            <w:pPr>
              <w:jc w:val="right"/>
              <w:ind w:right="305"/>
              <w:spacing w:after="0" w:line="191" w:lineRule="exact"/>
              <w:rPr>
                <w:sz w:val="20"/>
                <w:szCs w:val="20"/>
                <w:color w:val="auto"/>
              </w:rPr>
            </w:pPr>
            <w:r>
              <w:rPr>
                <w:rFonts w:ascii="Arial" w:cs="Arial" w:eastAsia="Arial" w:hAnsi="Arial"/>
                <w:sz w:val="19"/>
                <w:szCs w:val="19"/>
                <w:color w:val="auto"/>
                <w:w w:val="75"/>
              </w:rPr>
              <w:t>$</w:t>
            </w:r>
          </w:p>
        </w:tc>
        <w:tc>
          <w:tcPr>
            <w:tcW w:w="900" w:type="dxa"/>
            <w:vAlign w:val="bottom"/>
          </w:tcPr>
          <w:p>
            <w:pPr>
              <w:jc w:val="right"/>
              <w:spacing w:after="0" w:line="191" w:lineRule="exact"/>
              <w:rPr>
                <w:sz w:val="20"/>
                <w:szCs w:val="20"/>
                <w:color w:val="auto"/>
              </w:rPr>
            </w:pPr>
            <w:r>
              <w:rPr>
                <w:rFonts w:ascii="Arial" w:cs="Arial" w:eastAsia="Arial" w:hAnsi="Arial"/>
                <w:sz w:val="19"/>
                <w:szCs w:val="19"/>
                <w:color w:val="auto"/>
              </w:rPr>
              <w:t>2,647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940" w:type="dxa"/>
            <w:vAlign w:val="bottom"/>
          </w:tcPr>
          <w:p>
            <w:pPr>
              <w:ind w:left="20"/>
              <w:spacing w:after="0"/>
              <w:rPr>
                <w:sz w:val="20"/>
                <w:szCs w:val="20"/>
                <w:color w:val="auto"/>
              </w:rPr>
            </w:pPr>
            <w:r>
              <w:rPr>
                <w:rFonts w:ascii="Arial" w:cs="Arial" w:eastAsia="Arial" w:hAnsi="Arial"/>
                <w:sz w:val="19"/>
                <w:szCs w:val="19"/>
                <w:color w:val="auto"/>
              </w:rPr>
              <w:t>Third-party research and development expenses</w:t>
            </w: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9"/>
                <w:szCs w:val="19"/>
                <w:color w:val="auto"/>
              </w:rPr>
              <w:t>1,811</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1,486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940" w:type="dxa"/>
            <w:vAlign w:val="bottom"/>
          </w:tcPr>
          <w:p>
            <w:pPr>
              <w:ind w:left="20"/>
              <w:spacing w:after="0"/>
              <w:rPr>
                <w:sz w:val="20"/>
                <w:szCs w:val="20"/>
                <w:color w:val="auto"/>
              </w:rPr>
            </w:pPr>
            <w:r>
              <w:rPr>
                <w:rFonts w:ascii="Arial" w:cs="Arial" w:eastAsia="Arial" w:hAnsi="Arial"/>
                <w:sz w:val="19"/>
                <w:szCs w:val="19"/>
                <w:color w:val="auto"/>
              </w:rPr>
              <w:t>Professional fees and other</w:t>
            </w:r>
          </w:p>
        </w:tc>
        <w:tc>
          <w:tcPr>
            <w:tcW w:w="9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528</w:t>
            </w:r>
          </w:p>
        </w:tc>
        <w:tc>
          <w:tcPr>
            <w:tcW w:w="2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590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6940" w:type="dxa"/>
            <w:vAlign w:val="bottom"/>
          </w:tcPr>
          <w:p>
            <w:pPr>
              <w:spacing w:after="0"/>
              <w:rPr>
                <w:sz w:val="18"/>
                <w:szCs w:val="18"/>
                <w:color w:val="auto"/>
              </w:rPr>
            </w:pPr>
          </w:p>
        </w:tc>
        <w:tc>
          <w:tcPr>
            <w:tcW w:w="900" w:type="dxa"/>
            <w:vAlign w:val="bottom"/>
            <w:tcBorders>
              <w:bottom w:val="single" w:sz="8" w:color="auto"/>
            </w:tcBorders>
          </w:tcPr>
          <w:p>
            <w:pPr>
              <w:jc w:val="right"/>
              <w:ind w:right="710"/>
              <w:spacing w:after="0" w:line="209" w:lineRule="exact"/>
              <w:rPr>
                <w:sz w:val="20"/>
                <w:szCs w:val="20"/>
                <w:color w:val="auto"/>
              </w:rPr>
            </w:pPr>
            <w:r>
              <w:rPr>
                <w:rFonts w:ascii="Arial" w:cs="Arial" w:eastAsia="Arial" w:hAnsi="Arial"/>
                <w:sz w:val="19"/>
                <w:szCs w:val="19"/>
                <w:color w:val="auto"/>
                <w:w w:val="75"/>
              </w:rPr>
              <w:t>$</w:t>
            </w:r>
          </w:p>
        </w:tc>
        <w:tc>
          <w:tcPr>
            <w:tcW w:w="50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4,356</w:t>
            </w:r>
          </w:p>
        </w:tc>
        <w:tc>
          <w:tcPr>
            <w:tcW w:w="260" w:type="dxa"/>
            <w:vAlign w:val="bottom"/>
          </w:tcPr>
          <w:p>
            <w:pPr>
              <w:spacing w:after="0"/>
              <w:rPr>
                <w:sz w:val="18"/>
                <w:szCs w:val="18"/>
                <w:color w:val="auto"/>
              </w:rPr>
            </w:pPr>
          </w:p>
        </w:tc>
        <w:tc>
          <w:tcPr>
            <w:tcW w:w="500" w:type="dxa"/>
            <w:vAlign w:val="bottom"/>
            <w:tcBorders>
              <w:bottom w:val="single" w:sz="8" w:color="auto"/>
            </w:tcBorders>
          </w:tcPr>
          <w:p>
            <w:pPr>
              <w:jc w:val="right"/>
              <w:ind w:right="305"/>
              <w:spacing w:after="0" w:line="209" w:lineRule="exact"/>
              <w:rPr>
                <w:sz w:val="20"/>
                <w:szCs w:val="20"/>
                <w:color w:val="auto"/>
              </w:rPr>
            </w:pPr>
            <w:r>
              <w:rPr>
                <w:rFonts w:ascii="Arial" w:cs="Arial" w:eastAsia="Arial" w:hAnsi="Arial"/>
                <w:sz w:val="19"/>
                <w:szCs w:val="19"/>
                <w:color w:val="auto"/>
                <w:w w:val="75"/>
              </w:rPr>
              <w:t>$</w:t>
            </w:r>
          </w:p>
        </w:tc>
        <w:tc>
          <w:tcPr>
            <w:tcW w:w="90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4,723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69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-702310</wp:posOffset>
            </wp:positionV>
            <wp:extent cx="6438900" cy="6057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9">
                      <a:extLst>
                        <a:ext uri="{28A0092B-C50C-407E-A947-70E740481C1C}"/>
                      </a:extLst>
                    </a:blip>
                    <a:srcRect/>
                    <a:stretch>
                      <a:fillRect/>
                    </a:stretch>
                  </pic:blipFill>
                  <pic:spPr bwMode="auto">
                    <a:xfrm>
                      <a:off x="0" y="0"/>
                      <a:ext cx="6438900" cy="605790"/>
                    </a:xfrm>
                    <a:prstGeom prst="rect">
                      <a:avLst/>
                    </a:prstGeom>
                    <a:noFill/>
                  </pic:spPr>
                </pic:pic>
              </a:graphicData>
            </a:graphic>
          </wp:anchor>
        </w:drawing>
      </w:r>
    </w:p>
    <w:p>
      <w:pPr>
        <w:spacing w:after="0" w:line="22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6. Term Loan</w:t>
      </w:r>
    </w:p>
    <w:p>
      <w:pPr>
        <w:spacing w:after="0" w:line="164" w:lineRule="exact"/>
        <w:rPr>
          <w:sz w:val="20"/>
          <w:szCs w:val="20"/>
          <w:color w:val="auto"/>
        </w:rPr>
      </w:pPr>
    </w:p>
    <w:p>
      <w:pPr>
        <w:ind w:left="20" w:right="240"/>
        <w:spacing w:after="0" w:line="244" w:lineRule="auto"/>
        <w:rPr>
          <w:sz w:val="20"/>
          <w:szCs w:val="20"/>
          <w:color w:val="auto"/>
        </w:rPr>
      </w:pPr>
      <w:r>
        <w:rPr>
          <w:rFonts w:ascii="Arial" w:cs="Arial" w:eastAsia="Arial" w:hAnsi="Arial"/>
          <w:sz w:val="19"/>
          <w:szCs w:val="19"/>
          <w:color w:val="auto"/>
        </w:rPr>
        <w:t>On February 24, 2022, the Company entered into a four-year loan and security agreement (the Loan Agreement) with Silicon Valley Bank (SVB) pursuant to which SVB has agreed to provide term loans to the Company in an aggregate principal amount of up to $25.0 million. The Company borrowed $20.0 million upon entering into the Loan Agreement. The Company could have borrowed up to an additional aggregate principal amount not to exceed $5.0 million, at any time on or prior to December 31, 2022, upon achievement of all of the following milestones, inclusively: (a) positive phase 2 clinical activity data from the Company’s CAN-2409 NSCLC clinical trial, (b) dosing of its first patient in its phase 3 CAN-2409 high-grade glioma clinical trial, and (c) receipt on or prior to December 31, 2022, of net cash proceeds in an amount equal to at least $75.0 million from the issuance and sale of equity securities to investors acceptable to SVB. The Company did not borrow any of the additional aggregate principal amount on or prior to December 31, 2022. The term loan is secured by substantially all of the Company’s properties, rights and assets, except for its intellectual property, which is subject to a negative pledge under the Loan Agreement.</w:t>
      </w:r>
    </w:p>
    <w:p>
      <w:pPr>
        <w:spacing w:after="0" w:line="120" w:lineRule="exact"/>
        <w:rPr>
          <w:sz w:val="20"/>
          <w:szCs w:val="20"/>
          <w:color w:val="auto"/>
        </w:rPr>
      </w:pPr>
    </w:p>
    <w:p>
      <w:pPr>
        <w:ind w:left="20" w:right="20"/>
        <w:spacing w:after="0" w:line="250" w:lineRule="auto"/>
        <w:rPr>
          <w:sz w:val="20"/>
          <w:szCs w:val="20"/>
          <w:color w:val="auto"/>
        </w:rPr>
      </w:pPr>
      <w:r>
        <w:rPr>
          <w:rFonts w:ascii="Arial" w:cs="Arial" w:eastAsia="Arial" w:hAnsi="Arial"/>
          <w:sz w:val="19"/>
          <w:szCs w:val="19"/>
          <w:color w:val="auto"/>
        </w:rPr>
        <w:t>The term loans bear interest at a floating rate per annum equal to the greater of (A) 5.75% and (B) the prime rate (as published in the money rates section of The Wall Street Journal) plus 2.50%. The Company is required to make monthly interest payments, and commencing on February 1, 2024, 24 consecutive installments of principal plus monthly payments of accrued interest. The term loans mature on January 1, 2026. Upon repayment in full of the term loans, the Company will be required to pay a final payment fee equal to 4.50% of the original principal amount of any funded term</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F-13</w:t>
      </w:r>
    </w:p>
    <w:p>
      <w:pPr>
        <w:sectPr>
          <w:pgSz w:w="12240" w:h="15840" w:orient="portrait"/>
          <w:cols w:equalWidth="0" w:num="1">
            <w:col w:w="10120"/>
          </w:cols>
          <w:pgMar w:left="1060" w:top="1062" w:right="1060" w:bottom="173" w:gutter="0" w:footer="0" w:header="0"/>
        </w:sectPr>
      </w:pPr>
    </w:p>
    <w:bookmarkStart w:id="136" w:name="page137"/>
    <w:bookmarkEnd w:id="136"/>
    <w:p>
      <w:pPr>
        <w:ind w:right="520"/>
        <w:spacing w:after="0" w:line="281" w:lineRule="auto"/>
        <w:rPr>
          <w:sz w:val="20"/>
          <w:szCs w:val="20"/>
          <w:color w:val="auto"/>
        </w:rPr>
      </w:pPr>
      <w:r>
        <w:rPr>
          <w:rFonts w:ascii="Arial" w:cs="Arial" w:eastAsia="Arial" w:hAnsi="Arial"/>
          <w:sz w:val="19"/>
          <w:szCs w:val="19"/>
          <w:color w:val="auto"/>
        </w:rPr>
        <w:t>loan being repaid. The Loan Agreement permits voluntary prepayment of all, but not less than all, of the SVB term loans, subject to a prepayment premium of 1% to 3% based upon the timing of the repayment.</w:t>
      </w:r>
    </w:p>
    <w:p>
      <w:pPr>
        <w:spacing w:after="0" w:line="85" w:lineRule="exact"/>
        <w:rPr>
          <w:sz w:val="20"/>
          <w:szCs w:val="20"/>
          <w:color w:val="auto"/>
        </w:rPr>
      </w:pPr>
    </w:p>
    <w:p>
      <w:pPr>
        <w:ind w:right="360"/>
        <w:spacing w:after="0" w:line="260" w:lineRule="auto"/>
        <w:rPr>
          <w:sz w:val="20"/>
          <w:szCs w:val="20"/>
          <w:color w:val="auto"/>
        </w:rPr>
      </w:pPr>
      <w:r>
        <w:rPr>
          <w:rFonts w:ascii="Arial" w:cs="Arial" w:eastAsia="Arial" w:hAnsi="Arial"/>
          <w:sz w:val="19"/>
          <w:szCs w:val="19"/>
          <w:color w:val="auto"/>
        </w:rPr>
        <w:t>During the years ended December 31, 2023 and 2022, the Company recorded interest expense relating to the Loan Agreement of $2.5 million and $1.6 million, respectively. The weighted average effective interest rate as of December 31, 2023 was 11.19%.</w:t>
      </w:r>
    </w:p>
    <w:p>
      <w:pPr>
        <w:spacing w:after="0" w:line="105" w:lineRule="exact"/>
        <w:rPr>
          <w:sz w:val="20"/>
          <w:szCs w:val="20"/>
          <w:color w:val="auto"/>
        </w:rPr>
      </w:pPr>
    </w:p>
    <w:p>
      <w:pPr>
        <w:jc w:val="both"/>
        <w:ind w:right="500"/>
        <w:spacing w:after="0" w:line="260" w:lineRule="auto"/>
        <w:rPr>
          <w:sz w:val="20"/>
          <w:szCs w:val="20"/>
          <w:color w:val="auto"/>
        </w:rPr>
      </w:pPr>
      <w:r>
        <w:rPr>
          <w:rFonts w:ascii="Arial" w:cs="Arial" w:eastAsia="Arial" w:hAnsi="Arial"/>
          <w:sz w:val="19"/>
          <w:szCs w:val="19"/>
          <w:color w:val="auto"/>
        </w:rPr>
        <w:t>The Company incurred $89,000 of debt issuance costs and will incur a $0.9 million final payment fee, which were recorded as debt discount and are being amortized over the term of the Loan Agreement. The scheduled principal payments and net carrying amount of the term loan are as follows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YEAR ENDING DECEMBER 31,</w:t>
            </w:r>
          </w:p>
        </w:tc>
        <w:tc>
          <w:tcPr>
            <w:tcW w:w="1100" w:type="dxa"/>
            <w:vAlign w:val="bottom"/>
            <w:gridSpan w:val="2"/>
            <w:vMerge w:val="restart"/>
          </w:tcPr>
          <w:p>
            <w:pPr>
              <w:jc w:val="right"/>
              <w:ind w:right="620"/>
              <w:spacing w:after="0"/>
              <w:rPr>
                <w:sz w:val="20"/>
                <w:szCs w:val="20"/>
                <w:color w:val="auto"/>
              </w:rPr>
            </w:pPr>
            <w:r>
              <w:rPr>
                <w:rFonts w:ascii="Arial" w:cs="Arial" w:eastAsia="Arial" w:hAnsi="Arial"/>
                <w:sz w:val="20"/>
                <w:szCs w:val="20"/>
                <w:color w:val="auto"/>
              </w:rPr>
              <w:t>$</w:t>
            </w:r>
          </w:p>
        </w:tc>
        <w:tc>
          <w:tcPr>
            <w:tcW w:w="1340" w:type="dxa"/>
            <w:vAlign w:val="bottom"/>
            <w:vMerge w:val="restart"/>
          </w:tcPr>
          <w:p>
            <w:pPr>
              <w:jc w:val="right"/>
              <w:spacing w:after="0"/>
              <w:rPr>
                <w:sz w:val="20"/>
                <w:szCs w:val="20"/>
                <w:color w:val="auto"/>
              </w:rPr>
            </w:pPr>
            <w:r>
              <w:rPr>
                <w:rFonts w:ascii="Arial" w:cs="Arial" w:eastAsia="Arial" w:hAnsi="Arial"/>
                <w:sz w:val="20"/>
                <w:szCs w:val="20"/>
                <w:color w:val="auto"/>
              </w:rPr>
              <w:t>9,167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540" w:type="dxa"/>
            <w:vAlign w:val="bottom"/>
          </w:tcPr>
          <w:p>
            <w:pPr>
              <w:spacing w:after="0" w:line="201" w:lineRule="exact"/>
              <w:rPr>
                <w:sz w:val="20"/>
                <w:szCs w:val="20"/>
                <w:color w:val="auto"/>
              </w:rPr>
            </w:pPr>
            <w:r>
              <w:rPr>
                <w:rFonts w:ascii="Arial" w:cs="Arial" w:eastAsia="Arial" w:hAnsi="Arial"/>
                <w:sz w:val="20"/>
                <w:szCs w:val="20"/>
                <w:color w:val="auto"/>
              </w:rPr>
              <w:t>2024</w:t>
            </w:r>
          </w:p>
        </w:tc>
        <w:tc>
          <w:tcPr>
            <w:tcW w:w="1100" w:type="dxa"/>
            <w:vAlign w:val="bottom"/>
            <w:gridSpan w:val="2"/>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40" w:type="dxa"/>
            <w:vAlign w:val="bottom"/>
          </w:tcPr>
          <w:p>
            <w:pPr>
              <w:spacing w:after="0"/>
              <w:rPr>
                <w:sz w:val="20"/>
                <w:szCs w:val="20"/>
                <w:color w:val="auto"/>
              </w:rPr>
            </w:pPr>
            <w:r>
              <w:rPr>
                <w:rFonts w:ascii="Arial" w:cs="Arial" w:eastAsia="Arial" w:hAnsi="Arial"/>
                <w:sz w:val="20"/>
                <w:szCs w:val="20"/>
                <w:color w:val="auto"/>
              </w:rPr>
              <w:t>2025</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7540" w:type="dxa"/>
            <w:vAlign w:val="bottom"/>
          </w:tcPr>
          <w:p>
            <w:pPr>
              <w:spacing w:after="0"/>
              <w:rPr>
                <w:sz w:val="20"/>
                <w:szCs w:val="20"/>
                <w:color w:val="auto"/>
              </w:rPr>
            </w:pPr>
            <w:r>
              <w:rPr>
                <w:rFonts w:ascii="Arial" w:cs="Arial" w:eastAsia="Arial" w:hAnsi="Arial"/>
                <w:sz w:val="20"/>
                <w:szCs w:val="20"/>
                <w:color w:val="auto"/>
              </w:rPr>
              <w:t>2026</w:t>
            </w:r>
          </w:p>
        </w:tc>
        <w:tc>
          <w:tcPr>
            <w:tcW w:w="26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833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7540" w:type="dxa"/>
            <w:vAlign w:val="bottom"/>
          </w:tcPr>
          <w:p>
            <w:pPr>
              <w:ind w:left="280"/>
              <w:spacing w:after="0" w:line="201" w:lineRule="exact"/>
              <w:rPr>
                <w:sz w:val="20"/>
                <w:szCs w:val="20"/>
                <w:color w:val="auto"/>
              </w:rPr>
            </w:pPr>
            <w:r>
              <w:rPr>
                <w:rFonts w:ascii="Arial" w:cs="Arial" w:eastAsia="Arial" w:hAnsi="Arial"/>
                <w:sz w:val="20"/>
                <w:szCs w:val="20"/>
                <w:color w:val="auto"/>
              </w:rPr>
              <w:t>Total principal</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40" w:type="dxa"/>
            <w:vAlign w:val="bottom"/>
          </w:tcPr>
          <w:p>
            <w:pPr>
              <w:jc w:val="right"/>
              <w:spacing w:after="0" w:line="201" w:lineRule="exact"/>
              <w:rPr>
                <w:sz w:val="20"/>
                <w:szCs w:val="20"/>
                <w:color w:val="auto"/>
              </w:rPr>
            </w:pPr>
            <w:r>
              <w:rPr>
                <w:rFonts w:ascii="Arial" w:cs="Arial" w:eastAsia="Arial" w:hAnsi="Arial"/>
                <w:sz w:val="20"/>
                <w:szCs w:val="20"/>
                <w:color w:val="auto"/>
              </w:rPr>
              <w:t>20,000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40" w:type="dxa"/>
            <w:vAlign w:val="bottom"/>
          </w:tcPr>
          <w:p>
            <w:pPr>
              <w:spacing w:after="0"/>
              <w:rPr>
                <w:sz w:val="20"/>
                <w:szCs w:val="20"/>
                <w:color w:val="auto"/>
              </w:rPr>
            </w:pPr>
            <w:r>
              <w:rPr>
                <w:rFonts w:ascii="Arial" w:cs="Arial" w:eastAsia="Arial" w:hAnsi="Arial"/>
                <w:sz w:val="20"/>
                <w:szCs w:val="20"/>
                <w:color w:val="auto"/>
              </w:rPr>
              <w:t>Final payment fee</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900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spacing w:after="0"/>
              <w:rPr>
                <w:sz w:val="20"/>
                <w:szCs w:val="20"/>
                <w:color w:val="auto"/>
              </w:rPr>
            </w:pPr>
            <w:r>
              <w:rPr>
                <w:rFonts w:ascii="Arial" w:cs="Arial" w:eastAsia="Arial" w:hAnsi="Arial"/>
                <w:sz w:val="20"/>
                <w:szCs w:val="20"/>
                <w:color w:val="auto"/>
              </w:rPr>
              <w:t>Less: debt discount</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20"/>
                <w:szCs w:val="20"/>
                <w:color w:val="auto"/>
              </w:rPr>
              <w:t>(989)</w:t>
            </w:r>
          </w:p>
        </w:tc>
        <w:tc>
          <w:tcPr>
            <w:tcW w:w="0" w:type="dxa"/>
            <w:vAlign w:val="bottom"/>
          </w:tcPr>
          <w:p>
            <w:pPr>
              <w:spacing w:after="0"/>
              <w:rPr>
                <w:sz w:val="1"/>
                <w:szCs w:val="1"/>
                <w:color w:val="auto"/>
              </w:rPr>
            </w:pPr>
          </w:p>
        </w:tc>
      </w:tr>
      <w:tr>
        <w:trPr>
          <w:trHeight w:val="249"/>
        </w:trPr>
        <w:tc>
          <w:tcPr>
            <w:tcW w:w="7540" w:type="dxa"/>
            <w:vAlign w:val="bottom"/>
          </w:tcPr>
          <w:p>
            <w:pPr>
              <w:spacing w:after="0"/>
              <w:rPr>
                <w:sz w:val="20"/>
                <w:szCs w:val="20"/>
                <w:color w:val="auto"/>
              </w:rPr>
            </w:pPr>
            <w:r>
              <w:rPr>
                <w:rFonts w:ascii="Arial" w:cs="Arial" w:eastAsia="Arial" w:hAnsi="Arial"/>
                <w:sz w:val="20"/>
                <w:szCs w:val="20"/>
                <w:color w:val="auto"/>
              </w:rPr>
              <w:t>Accretion of debt discount</w:t>
            </w:r>
          </w:p>
        </w:tc>
        <w:tc>
          <w:tcPr>
            <w:tcW w:w="26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614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7540" w:type="dxa"/>
            <w:vAlign w:val="bottom"/>
          </w:tcPr>
          <w:p>
            <w:pPr>
              <w:spacing w:after="0" w:line="201" w:lineRule="exact"/>
              <w:rPr>
                <w:sz w:val="20"/>
                <w:szCs w:val="20"/>
                <w:color w:val="auto"/>
              </w:rPr>
            </w:pPr>
            <w:r>
              <w:rPr>
                <w:rFonts w:ascii="Arial" w:cs="Arial" w:eastAsia="Arial" w:hAnsi="Arial"/>
                <w:sz w:val="20"/>
                <w:szCs w:val="20"/>
                <w:color w:val="auto"/>
              </w:rPr>
              <w:t>Net carrying amount</w:t>
            </w:r>
          </w:p>
        </w:tc>
        <w:tc>
          <w:tcPr>
            <w:tcW w:w="260" w:type="dxa"/>
            <w:vAlign w:val="bottom"/>
          </w:tcPr>
          <w:p>
            <w:pPr>
              <w:spacing w:after="0"/>
              <w:rPr>
                <w:sz w:val="17"/>
                <w:szCs w:val="17"/>
                <w:color w:val="auto"/>
              </w:rPr>
            </w:pPr>
          </w:p>
        </w:tc>
        <w:tc>
          <w:tcPr>
            <w:tcW w:w="840" w:type="dxa"/>
            <w:vAlign w:val="bottom"/>
          </w:tcPr>
          <w:p>
            <w:pPr>
              <w:jc w:val="right"/>
              <w:ind w:right="620"/>
              <w:spacing w:after="0" w:line="201" w:lineRule="exact"/>
              <w:rPr>
                <w:sz w:val="20"/>
                <w:szCs w:val="20"/>
                <w:color w:val="auto"/>
              </w:rPr>
            </w:pPr>
            <w:r>
              <w:rPr>
                <w:rFonts w:ascii="Arial" w:cs="Arial" w:eastAsia="Arial" w:hAnsi="Arial"/>
                <w:sz w:val="20"/>
                <w:szCs w:val="20"/>
                <w:color w:val="auto"/>
                <w:w w:val="89"/>
              </w:rPr>
              <w:t>$</w:t>
            </w:r>
          </w:p>
        </w:tc>
        <w:tc>
          <w:tcPr>
            <w:tcW w:w="1340" w:type="dxa"/>
            <w:vAlign w:val="bottom"/>
          </w:tcPr>
          <w:p>
            <w:pPr>
              <w:jc w:val="right"/>
              <w:spacing w:after="0" w:line="201" w:lineRule="exact"/>
              <w:rPr>
                <w:sz w:val="20"/>
                <w:szCs w:val="20"/>
                <w:color w:val="auto"/>
              </w:rPr>
            </w:pPr>
            <w:r>
              <w:rPr>
                <w:rFonts w:ascii="Arial" w:cs="Arial" w:eastAsia="Arial" w:hAnsi="Arial"/>
                <w:sz w:val="20"/>
                <w:szCs w:val="20"/>
                <w:color w:val="auto"/>
              </w:rPr>
              <w:t>20,525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7540" w:type="dxa"/>
            <w:vAlign w:val="bottom"/>
          </w:tcPr>
          <w:p>
            <w:pPr>
              <w:spacing w:after="0"/>
              <w:rPr>
                <w:sz w:val="20"/>
                <w:szCs w:val="20"/>
                <w:color w:val="auto"/>
              </w:rPr>
            </w:pPr>
            <w:r>
              <w:rPr>
                <w:rFonts w:ascii="Arial" w:cs="Arial" w:eastAsia="Arial" w:hAnsi="Arial"/>
                <w:sz w:val="20"/>
                <w:szCs w:val="20"/>
                <w:color w:val="auto"/>
              </w:rPr>
              <w:t>Less current portion</w:t>
            </w:r>
          </w:p>
        </w:tc>
        <w:tc>
          <w:tcPr>
            <w:tcW w:w="1100" w:type="dxa"/>
            <w:vAlign w:val="bottom"/>
            <w:gridSpan w:val="2"/>
          </w:tcPr>
          <w:p>
            <w:pPr>
              <w:jc w:val="right"/>
              <w:ind w:right="620"/>
              <w:spacing w:after="0"/>
              <w:rPr>
                <w:sz w:val="20"/>
                <w:szCs w:val="20"/>
                <w:color w:val="auto"/>
              </w:rPr>
            </w:pPr>
            <w:r>
              <w:rPr>
                <w:rFonts w:ascii="Arial" w:cs="Arial" w:eastAsia="Arial" w:hAnsi="Arial"/>
                <w:sz w:val="20"/>
                <w:szCs w:val="20"/>
                <w:color w:val="auto"/>
              </w:rPr>
              <w:t>$</w:t>
            </w:r>
          </w:p>
        </w:tc>
        <w:tc>
          <w:tcPr>
            <w:tcW w:w="1400" w:type="dxa"/>
            <w:vAlign w:val="bottom"/>
            <w:gridSpan w:val="2"/>
          </w:tcPr>
          <w:p>
            <w:pPr>
              <w:jc w:val="right"/>
              <w:spacing w:after="0"/>
              <w:rPr>
                <w:sz w:val="20"/>
                <w:szCs w:val="20"/>
                <w:color w:val="auto"/>
              </w:rPr>
            </w:pPr>
            <w:r>
              <w:rPr>
                <w:rFonts w:ascii="Arial" w:cs="Arial" w:eastAsia="Arial" w:hAnsi="Arial"/>
                <w:sz w:val="20"/>
                <w:szCs w:val="20"/>
                <w:color w:val="auto"/>
              </w:rPr>
              <w:t>(8,893)</w:t>
            </w:r>
          </w:p>
        </w:tc>
        <w:tc>
          <w:tcPr>
            <w:tcW w:w="0" w:type="dxa"/>
            <w:vAlign w:val="bottom"/>
          </w:tcPr>
          <w:p>
            <w:pPr>
              <w:spacing w:after="0"/>
              <w:rPr>
                <w:sz w:val="1"/>
                <w:szCs w:val="1"/>
                <w:color w:val="auto"/>
              </w:rPr>
            </w:pPr>
          </w:p>
        </w:tc>
      </w:tr>
      <w:tr>
        <w:trPr>
          <w:trHeight w:val="220"/>
        </w:trPr>
        <w:tc>
          <w:tcPr>
            <w:tcW w:w="7540" w:type="dxa"/>
            <w:vAlign w:val="bottom"/>
          </w:tcPr>
          <w:p>
            <w:pPr>
              <w:spacing w:after="0" w:line="220" w:lineRule="exact"/>
              <w:rPr>
                <w:sz w:val="20"/>
                <w:szCs w:val="20"/>
                <w:color w:val="auto"/>
              </w:rPr>
            </w:pPr>
            <w:r>
              <w:rPr>
                <w:rFonts w:ascii="Arial" w:cs="Arial" w:eastAsia="Arial" w:hAnsi="Arial"/>
                <w:sz w:val="20"/>
                <w:szCs w:val="20"/>
                <w:color w:val="auto"/>
              </w:rPr>
              <w:t>Long-term portion</w:t>
            </w:r>
          </w:p>
        </w:tc>
        <w:tc>
          <w:tcPr>
            <w:tcW w:w="2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20"/>
              <w:spacing w:after="0" w:line="220" w:lineRule="exact"/>
              <w:rPr>
                <w:sz w:val="20"/>
                <w:szCs w:val="20"/>
                <w:color w:val="auto"/>
              </w:rPr>
            </w:pPr>
            <w:r>
              <w:rPr>
                <w:rFonts w:ascii="Arial" w:cs="Arial" w:eastAsia="Arial" w:hAnsi="Arial"/>
                <w:sz w:val="20"/>
                <w:szCs w:val="20"/>
                <w:color w:val="auto"/>
                <w:w w:val="89"/>
              </w:rPr>
              <w:t>$</w:t>
            </w:r>
          </w:p>
        </w:tc>
        <w:tc>
          <w:tcPr>
            <w:tcW w:w="134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11,632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-1526540</wp:posOffset>
            </wp:positionV>
            <wp:extent cx="6426200" cy="15113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0">
                      <a:extLst>
                        <a:ext uri="{28A0092B-C50C-407E-A947-70E740481C1C}"/>
                      </a:extLst>
                    </a:blip>
                    <a:srcRect/>
                    <a:stretch>
                      <a:fillRect/>
                    </a:stretch>
                  </pic:blipFill>
                  <pic:spPr bwMode="auto">
                    <a:xfrm>
                      <a:off x="0" y="0"/>
                      <a:ext cx="6426200" cy="151130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color w:val="auto"/>
        </w:rPr>
        <w:t>The carrying value of the Company's term loan approximates fair value.</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7. Other Long-Term Debt</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Periphagen Note</w:t>
      </w:r>
    </w:p>
    <w:p>
      <w:pPr>
        <w:spacing w:after="0" w:line="156" w:lineRule="exact"/>
        <w:rPr>
          <w:sz w:val="20"/>
          <w:szCs w:val="20"/>
          <w:color w:val="auto"/>
        </w:rPr>
      </w:pPr>
    </w:p>
    <w:p>
      <w:pPr>
        <w:ind w:right="160"/>
        <w:spacing w:after="0" w:line="243" w:lineRule="auto"/>
        <w:rPr>
          <w:sz w:val="20"/>
          <w:szCs w:val="20"/>
          <w:color w:val="auto"/>
        </w:rPr>
      </w:pPr>
      <w:r>
        <w:rPr>
          <w:rFonts w:ascii="Arial" w:cs="Arial" w:eastAsia="Arial" w:hAnsi="Arial"/>
          <w:sz w:val="19"/>
          <w:szCs w:val="19"/>
          <w:color w:val="auto"/>
        </w:rPr>
        <w:t>On December 9, 2019, the Company entered into a series of asset purchase agreements with Periphagen, Inc. (Periphagen), a biopharmaceutical company focused on the development of gene therapy vectors. Under the terms of the asset purchase agreements, the Company assumed a $1.0 million promissory note bearing a contractual interest rate of 2% compounded annually, with the outstanding balance and accrued interest due upon maturity in November 2027, with no interim installments due. The estimated market rate for the Company for an unsecured loan with a maturity in November 2027 was determined to be 15.83% as of December 9, 2019. Although the Company does not have a public credit rating, management estimates a CCC credit rating based on the Company’s financial position and stage of development. Using the commensurate rate for a CCC rated company and based on the amount due at maturity, the present value of the future cash outflow was determined to be $0.4 million at the transaction date. As of December 31, 2023, the carrying value of the note is $0.8 million. The carrying value of the note approximates fair value. Upon maturity, the Company will pay Periphagen $1.4 million for the outstanding balance and accrued interest due.</w:t>
      </w:r>
    </w:p>
    <w:p>
      <w:pPr>
        <w:spacing w:after="0" w:line="12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8. Lease</w:t>
      </w:r>
    </w:p>
    <w:p>
      <w:pPr>
        <w:spacing w:after="0" w:line="164" w:lineRule="exact"/>
        <w:rPr>
          <w:sz w:val="20"/>
          <w:szCs w:val="20"/>
          <w:color w:val="auto"/>
        </w:rPr>
      </w:pPr>
    </w:p>
    <w:p>
      <w:pPr>
        <w:jc w:val="both"/>
        <w:ind w:right="160"/>
        <w:spacing w:after="0" w:line="260" w:lineRule="auto"/>
        <w:rPr>
          <w:sz w:val="20"/>
          <w:szCs w:val="20"/>
          <w:color w:val="auto"/>
        </w:rPr>
      </w:pPr>
      <w:r>
        <w:rPr>
          <w:rFonts w:ascii="Arial" w:cs="Arial" w:eastAsia="Arial" w:hAnsi="Arial"/>
          <w:sz w:val="19"/>
          <w:szCs w:val="19"/>
          <w:color w:val="auto"/>
        </w:rPr>
        <w:t>On February 4, 2019, the Company signed a lease agreement for its corporate headquarters at 117 Kendrick Street in Needham, Massachusetts. The facility consists of a 15,197 square foot property which houses the corporate, clinical, laboratory and manufacturing operations for the Company. The lease term ends on August 31, 2026.</w:t>
      </w:r>
    </w:p>
    <w:p>
      <w:pPr>
        <w:spacing w:after="0" w:line="105" w:lineRule="exact"/>
        <w:rPr>
          <w:sz w:val="20"/>
          <w:szCs w:val="20"/>
          <w:color w:val="auto"/>
        </w:rPr>
      </w:pPr>
    </w:p>
    <w:p>
      <w:pPr>
        <w:ind w:right="100"/>
        <w:spacing w:after="0" w:line="260" w:lineRule="auto"/>
        <w:rPr>
          <w:sz w:val="20"/>
          <w:szCs w:val="20"/>
          <w:color w:val="auto"/>
        </w:rPr>
      </w:pPr>
      <w:r>
        <w:rPr>
          <w:rFonts w:ascii="Arial" w:cs="Arial" w:eastAsia="Arial" w:hAnsi="Arial"/>
          <w:sz w:val="19"/>
          <w:szCs w:val="19"/>
          <w:color w:val="auto"/>
        </w:rPr>
        <w:t>For each of the years ended December 31, 2023 and 2022, the Company recorded $0.4 million of operating lease cost and $0.1 million of variable lease cost. The total lease expense for each of the years ended December 31, 2023 and 2022 was $0.5 million.</w:t>
      </w:r>
    </w:p>
    <w:p>
      <w:pPr>
        <w:spacing w:after="0" w:line="105" w:lineRule="exact"/>
        <w:rPr>
          <w:sz w:val="20"/>
          <w:szCs w:val="20"/>
          <w:color w:val="auto"/>
        </w:rPr>
      </w:pPr>
    </w:p>
    <w:p>
      <w:pPr>
        <w:spacing w:after="0" w:line="281" w:lineRule="auto"/>
        <w:rPr>
          <w:sz w:val="20"/>
          <w:szCs w:val="20"/>
          <w:color w:val="auto"/>
        </w:rPr>
      </w:pPr>
      <w:r>
        <w:rPr>
          <w:rFonts w:ascii="Arial" w:cs="Arial" w:eastAsia="Arial" w:hAnsi="Arial"/>
          <w:sz w:val="19"/>
          <w:szCs w:val="19"/>
          <w:color w:val="auto"/>
        </w:rPr>
        <w:t>Cash paid for amounts included in the lease liability for each of the years ended December 31, 2023 and 2022 was $0.6 million.</w:t>
      </w:r>
    </w:p>
    <w:p>
      <w:pPr>
        <w:spacing w:after="0" w:line="227" w:lineRule="exact"/>
        <w:rPr>
          <w:sz w:val="20"/>
          <w:szCs w:val="20"/>
          <w:color w:val="auto"/>
        </w:rPr>
      </w:pPr>
    </w:p>
    <w:tbl>
      <w:tblPr>
        <w:tblLayout w:type="fixed"/>
        <w:tblInd w:w="1060" w:type="dxa"/>
        <w:tblCellMar>
          <w:top w:w="0" w:type="dxa"/>
          <w:left w:w="0" w:type="dxa"/>
          <w:bottom w:w="0" w:type="dxa"/>
          <w:right w:w="0" w:type="dxa"/>
        </w:tblCellMar>
      </w:tblPr>
      <w:tr>
        <w:trPr>
          <w:trHeight w:val="203"/>
        </w:trPr>
        <w:tc>
          <w:tcPr>
            <w:tcW w:w="5000" w:type="dxa"/>
            <w:vAlign w:val="bottom"/>
            <w:gridSpan w:val="2"/>
            <w:vMerge w:val="restart"/>
          </w:tcPr>
          <w:p>
            <w:pPr>
              <w:ind w:left="1780"/>
              <w:spacing w:after="0"/>
              <w:rPr>
                <w:sz w:val="20"/>
                <w:szCs w:val="20"/>
                <w:color w:val="auto"/>
              </w:rPr>
            </w:pPr>
            <w:r>
              <w:rPr>
                <w:rFonts w:ascii="Arial" w:cs="Arial" w:eastAsia="Arial" w:hAnsi="Arial"/>
                <w:sz w:val="16"/>
                <w:szCs w:val="16"/>
                <w:b w:val="1"/>
                <w:bCs w:val="1"/>
                <w:color w:val="auto"/>
              </w:rPr>
              <w:t>Other Information</w:t>
            </w:r>
          </w:p>
        </w:tc>
        <w:tc>
          <w:tcPr>
            <w:tcW w:w="180" w:type="dxa"/>
            <w:vAlign w:val="bottom"/>
          </w:tcPr>
          <w:p>
            <w:pPr>
              <w:spacing w:after="0"/>
              <w:rPr>
                <w:sz w:val="17"/>
                <w:szCs w:val="17"/>
                <w:color w:val="auto"/>
              </w:rPr>
            </w:pPr>
          </w:p>
        </w:tc>
        <w:tc>
          <w:tcPr>
            <w:tcW w:w="2780" w:type="dxa"/>
            <w:vAlign w:val="bottom"/>
            <w:gridSpan w:val="5"/>
          </w:tcPr>
          <w:p>
            <w:pPr>
              <w:jc w:val="right"/>
              <w:ind w:right="420"/>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174"/>
        </w:trPr>
        <w:tc>
          <w:tcPr>
            <w:tcW w:w="5000" w:type="dxa"/>
            <w:vAlign w:val="bottom"/>
            <w:gridSpan w:val="2"/>
            <w:vMerge w:val="continue"/>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411"/>
              <w:spacing w:after="0" w:line="174" w:lineRule="exact"/>
              <w:rPr>
                <w:sz w:val="20"/>
                <w:szCs w:val="20"/>
                <w:color w:val="auto"/>
              </w:rPr>
            </w:pPr>
            <w:r>
              <w:rPr>
                <w:rFonts w:ascii="Arial" w:cs="Arial" w:eastAsia="Arial" w:hAnsi="Arial"/>
                <w:sz w:val="16"/>
                <w:szCs w:val="16"/>
                <w:b w:val="1"/>
                <w:bCs w:val="1"/>
                <w:color w:val="auto"/>
              </w:rPr>
              <w:t>2023</w:t>
            </w:r>
          </w:p>
        </w:tc>
        <w:tc>
          <w:tcPr>
            <w:tcW w:w="2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349"/>
              <w:spacing w:after="0" w:line="174" w:lineRule="exact"/>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900" w:type="dxa"/>
            <w:vAlign w:val="bottom"/>
            <w:tcBorders>
              <w:top w:val="single" w:sz="8" w:color="auto"/>
            </w:tcBorders>
          </w:tcPr>
          <w:p>
            <w:pPr>
              <w:spacing w:after="0" w:line="191" w:lineRule="exact"/>
              <w:rPr>
                <w:sz w:val="20"/>
                <w:szCs w:val="20"/>
                <w:color w:val="auto"/>
              </w:rPr>
            </w:pPr>
            <w:r>
              <w:rPr>
                <w:rFonts w:ascii="Arial" w:cs="Arial" w:eastAsia="Arial" w:hAnsi="Arial"/>
                <w:sz w:val="19"/>
                <w:szCs w:val="19"/>
                <w:color w:val="auto"/>
              </w:rPr>
              <w:t>Operating cash flows used for operating leases (in</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000" w:type="dxa"/>
            <w:vAlign w:val="bottom"/>
            <w:gridSpan w:val="2"/>
          </w:tcPr>
          <w:p>
            <w:pPr>
              <w:spacing w:after="0"/>
              <w:rPr>
                <w:sz w:val="20"/>
                <w:szCs w:val="20"/>
                <w:color w:val="auto"/>
              </w:rPr>
            </w:pPr>
            <w:r>
              <w:rPr>
                <w:rFonts w:ascii="Arial" w:cs="Arial" w:eastAsia="Arial" w:hAnsi="Arial"/>
                <w:sz w:val="19"/>
                <w:szCs w:val="19"/>
                <w:color w:val="auto"/>
              </w:rPr>
              <w:t>thousands)</w:t>
            </w:r>
          </w:p>
        </w:tc>
        <w:tc>
          <w:tcPr>
            <w:tcW w:w="18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1200" w:type="dxa"/>
            <w:vAlign w:val="bottom"/>
          </w:tcPr>
          <w:p>
            <w:pPr>
              <w:jc w:val="right"/>
              <w:spacing w:after="0"/>
              <w:rPr>
                <w:sz w:val="20"/>
                <w:szCs w:val="20"/>
                <w:color w:val="auto"/>
              </w:rPr>
            </w:pPr>
            <w:r>
              <w:rPr>
                <w:rFonts w:ascii="Arial" w:cs="Arial" w:eastAsia="Arial" w:hAnsi="Arial"/>
                <w:sz w:val="19"/>
                <w:szCs w:val="19"/>
                <w:color w:val="auto"/>
              </w:rPr>
              <w:t>583</w:t>
            </w:r>
          </w:p>
        </w:tc>
        <w:tc>
          <w:tcPr>
            <w:tcW w:w="200" w:type="dxa"/>
            <w:vAlign w:val="bottom"/>
          </w:tcPr>
          <w:p>
            <w:pPr>
              <w:spacing w:after="0"/>
              <w:rPr>
                <w:sz w:val="18"/>
                <w:szCs w:val="18"/>
                <w:color w:val="auto"/>
              </w:rPr>
            </w:pPr>
          </w:p>
        </w:tc>
        <w:tc>
          <w:tcPr>
            <w:tcW w:w="260" w:type="dxa"/>
            <w:vAlign w:val="bottom"/>
          </w:tcPr>
          <w:p>
            <w:pPr>
              <w:jc w:val="right"/>
              <w:ind w:right="65"/>
              <w:spacing w:after="0"/>
              <w:rPr>
                <w:sz w:val="20"/>
                <w:szCs w:val="20"/>
                <w:color w:val="auto"/>
              </w:rPr>
            </w:pPr>
            <w:r>
              <w:rPr>
                <w:rFonts w:ascii="Arial" w:cs="Arial" w:eastAsia="Arial" w:hAnsi="Arial"/>
                <w:sz w:val="19"/>
                <w:szCs w:val="19"/>
                <w:color w:val="auto"/>
                <w:w w:val="75"/>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567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000" w:type="dxa"/>
            <w:vAlign w:val="bottom"/>
            <w:gridSpan w:val="2"/>
          </w:tcPr>
          <w:p>
            <w:pPr>
              <w:spacing w:after="0"/>
              <w:rPr>
                <w:sz w:val="20"/>
                <w:szCs w:val="20"/>
                <w:color w:val="auto"/>
              </w:rPr>
            </w:pPr>
            <w:r>
              <w:rPr>
                <w:rFonts w:ascii="Arial" w:cs="Arial" w:eastAsia="Arial" w:hAnsi="Arial"/>
                <w:sz w:val="19"/>
                <w:szCs w:val="19"/>
                <w:color w:val="auto"/>
              </w:rPr>
              <w:t>Weighted-average remaining lease term (years)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9"/>
                <w:szCs w:val="19"/>
                <w:color w:val="auto"/>
              </w:rPr>
              <w:t>2.7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3.7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000" w:type="dxa"/>
            <w:vAlign w:val="bottom"/>
            <w:gridSpan w:val="2"/>
          </w:tcPr>
          <w:p>
            <w:pPr>
              <w:spacing w:after="0"/>
              <w:rPr>
                <w:sz w:val="20"/>
                <w:szCs w:val="20"/>
                <w:color w:val="auto"/>
              </w:rPr>
            </w:pPr>
            <w:r>
              <w:rPr>
                <w:rFonts w:ascii="Arial" w:cs="Arial" w:eastAsia="Arial" w:hAnsi="Arial"/>
                <w:sz w:val="19"/>
                <w:szCs w:val="19"/>
                <w:color w:val="auto"/>
              </w:rPr>
              <w:t>Weighted-average incremental borrowing rate</w:t>
            </w:r>
          </w:p>
        </w:tc>
        <w:tc>
          <w:tcPr>
            <w:tcW w:w="180" w:type="dxa"/>
            <w:vAlign w:val="bottom"/>
          </w:tcPr>
          <w:p>
            <w:pPr>
              <w:spacing w:after="0"/>
              <w:rPr>
                <w:sz w:val="22"/>
                <w:szCs w:val="22"/>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9"/>
                <w:szCs w:val="19"/>
                <w:color w:val="auto"/>
              </w:rPr>
              <w:t>7.02%</w:t>
            </w:r>
          </w:p>
        </w:tc>
        <w:tc>
          <w:tcPr>
            <w:tcW w:w="260" w:type="dxa"/>
            <w:vAlign w:val="bottom"/>
          </w:tcPr>
          <w:p>
            <w:pPr>
              <w:spacing w:after="0"/>
              <w:rPr>
                <w:sz w:val="22"/>
                <w:szCs w:val="22"/>
                <w:color w:val="auto"/>
              </w:rPr>
            </w:pPr>
          </w:p>
        </w:tc>
        <w:tc>
          <w:tcPr>
            <w:tcW w:w="1120" w:type="dxa"/>
            <w:vAlign w:val="bottom"/>
            <w:gridSpan w:val="2"/>
          </w:tcPr>
          <w:p>
            <w:pPr>
              <w:jc w:val="right"/>
              <w:spacing w:after="0"/>
              <w:rPr>
                <w:sz w:val="20"/>
                <w:szCs w:val="20"/>
                <w:color w:val="auto"/>
              </w:rPr>
            </w:pPr>
            <w:r>
              <w:rPr>
                <w:rFonts w:ascii="Arial" w:cs="Arial" w:eastAsia="Arial" w:hAnsi="Arial"/>
                <w:sz w:val="19"/>
                <w:szCs w:val="19"/>
                <w:color w:val="auto"/>
              </w:rPr>
              <w:t>7.02%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659765</wp:posOffset>
            </wp:positionH>
            <wp:positionV relativeFrom="paragraph">
              <wp:posOffset>-586105</wp:posOffset>
            </wp:positionV>
            <wp:extent cx="5081905" cy="5867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1">
                      <a:extLst>
                        <a:ext uri="{28A0092B-C50C-407E-A947-70E740481C1C}"/>
                      </a:extLst>
                    </a:blip>
                    <a:srcRect/>
                    <a:stretch>
                      <a:fillRect/>
                    </a:stretch>
                  </pic:blipFill>
                  <pic:spPr bwMode="auto">
                    <a:xfrm>
                      <a:off x="0" y="0"/>
                      <a:ext cx="5081905" cy="58674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color w:val="auto"/>
        </w:rPr>
        <w:t>The future lease payments under non-cancelable leases at December 31, 2023, are as follows (in thousands):</w:t>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F-14</w:t>
      </w:r>
    </w:p>
    <w:p>
      <w:pPr>
        <w:sectPr>
          <w:pgSz w:w="12240" w:h="15840" w:orient="portrait"/>
          <w:cols w:equalWidth="0" w:num="1">
            <w:col w:w="10060"/>
          </w:cols>
          <w:pgMar w:left="1080" w:top="1062" w:right="1100" w:bottom="173" w:gutter="0" w:footer="0" w:header="0"/>
        </w:sectPr>
      </w:pPr>
    </w:p>
    <w:bookmarkStart w:id="137" w:name="page138"/>
    <w:bookmarkEnd w:id="137"/>
    <w:tbl>
      <w:tblPr>
        <w:tblLayout w:type="fixed"/>
        <w:tblInd w:w="20" w:type="dxa"/>
        <w:tblCellMar>
          <w:top w:w="0" w:type="dxa"/>
          <w:left w:w="0" w:type="dxa"/>
          <w:bottom w:w="0" w:type="dxa"/>
          <w:right w:w="0" w:type="dxa"/>
        </w:tblCellMar>
      </w:tblPr>
      <w:tr>
        <w:trPr>
          <w:trHeight w:val="218"/>
        </w:trPr>
        <w:tc>
          <w:tcPr>
            <w:tcW w:w="8280" w:type="dxa"/>
            <w:vAlign w:val="bottom"/>
          </w:tcPr>
          <w:p>
            <w:pPr>
              <w:spacing w:after="0"/>
              <w:rPr>
                <w:sz w:val="20"/>
                <w:szCs w:val="20"/>
                <w:color w:val="auto"/>
              </w:rPr>
            </w:pPr>
            <w:r>
              <w:rPr>
                <w:rFonts w:ascii="Arial" w:cs="Arial" w:eastAsia="Arial" w:hAnsi="Arial"/>
                <w:sz w:val="19"/>
                <w:szCs w:val="19"/>
                <w:color w:val="auto"/>
              </w:rPr>
              <w:t>2024</w:t>
            </w:r>
          </w:p>
        </w:tc>
        <w:tc>
          <w:tcPr>
            <w:tcW w:w="6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598</w:t>
            </w:r>
          </w:p>
        </w:tc>
        <w:tc>
          <w:tcPr>
            <w:tcW w:w="60" w:type="dxa"/>
            <w:vAlign w:val="bottom"/>
          </w:tcPr>
          <w:p>
            <w:pPr>
              <w:spacing w:after="0"/>
              <w:rPr>
                <w:sz w:val="18"/>
                <w:szCs w:val="18"/>
                <w:color w:val="auto"/>
              </w:rPr>
            </w:pPr>
          </w:p>
        </w:tc>
      </w:tr>
      <w:tr>
        <w:trPr>
          <w:trHeight w:val="218"/>
        </w:trPr>
        <w:tc>
          <w:tcPr>
            <w:tcW w:w="8280" w:type="dxa"/>
            <w:vAlign w:val="bottom"/>
          </w:tcPr>
          <w:p>
            <w:pPr>
              <w:spacing w:after="0"/>
              <w:rPr>
                <w:sz w:val="20"/>
                <w:szCs w:val="20"/>
                <w:color w:val="auto"/>
              </w:rPr>
            </w:pPr>
            <w:r>
              <w:rPr>
                <w:rFonts w:ascii="Arial" w:cs="Arial" w:eastAsia="Arial" w:hAnsi="Arial"/>
                <w:sz w:val="19"/>
                <w:szCs w:val="19"/>
                <w:color w:val="auto"/>
              </w:rPr>
              <w:t>2025</w:t>
            </w:r>
          </w:p>
        </w:tc>
        <w:tc>
          <w:tcPr>
            <w:tcW w:w="6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613</w:t>
            </w:r>
          </w:p>
        </w:tc>
        <w:tc>
          <w:tcPr>
            <w:tcW w:w="60" w:type="dxa"/>
            <w:vAlign w:val="bottom"/>
          </w:tcPr>
          <w:p>
            <w:pPr>
              <w:spacing w:after="0"/>
              <w:rPr>
                <w:sz w:val="18"/>
                <w:szCs w:val="18"/>
                <w:color w:val="auto"/>
              </w:rPr>
            </w:pPr>
          </w:p>
        </w:tc>
      </w:tr>
      <w:tr>
        <w:trPr>
          <w:trHeight w:val="236"/>
        </w:trPr>
        <w:tc>
          <w:tcPr>
            <w:tcW w:w="8280" w:type="dxa"/>
            <w:vAlign w:val="bottom"/>
          </w:tcPr>
          <w:p>
            <w:pPr>
              <w:spacing w:after="0"/>
              <w:rPr>
                <w:sz w:val="20"/>
                <w:szCs w:val="20"/>
                <w:color w:val="auto"/>
              </w:rPr>
            </w:pPr>
            <w:r>
              <w:rPr>
                <w:rFonts w:ascii="Arial" w:cs="Arial" w:eastAsia="Arial" w:hAnsi="Arial"/>
                <w:sz w:val="19"/>
                <w:szCs w:val="19"/>
                <w:color w:val="auto"/>
              </w:rPr>
              <w:t>2026</w:t>
            </w:r>
          </w:p>
        </w:tc>
        <w:tc>
          <w:tcPr>
            <w:tcW w:w="6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415</w:t>
            </w:r>
          </w:p>
        </w:tc>
        <w:tc>
          <w:tcPr>
            <w:tcW w:w="60" w:type="dxa"/>
            <w:vAlign w:val="bottom"/>
          </w:tcPr>
          <w:p>
            <w:pPr>
              <w:spacing w:after="0"/>
              <w:rPr>
                <w:sz w:val="20"/>
                <w:szCs w:val="20"/>
                <w:color w:val="auto"/>
              </w:rPr>
            </w:pPr>
          </w:p>
        </w:tc>
      </w:tr>
      <w:tr>
        <w:trPr>
          <w:trHeight w:val="191"/>
        </w:trPr>
        <w:tc>
          <w:tcPr>
            <w:tcW w:w="8280" w:type="dxa"/>
            <w:vAlign w:val="bottom"/>
          </w:tcPr>
          <w:p>
            <w:pPr>
              <w:ind w:left="280"/>
              <w:spacing w:after="0" w:line="191" w:lineRule="exact"/>
              <w:rPr>
                <w:sz w:val="20"/>
                <w:szCs w:val="20"/>
                <w:color w:val="auto"/>
              </w:rPr>
            </w:pPr>
            <w:r>
              <w:rPr>
                <w:rFonts w:ascii="Arial" w:cs="Arial" w:eastAsia="Arial" w:hAnsi="Arial"/>
                <w:sz w:val="19"/>
                <w:szCs w:val="19"/>
                <w:color w:val="auto"/>
              </w:rPr>
              <w:t>Total future lease payments</w:t>
            </w:r>
          </w:p>
        </w:tc>
        <w:tc>
          <w:tcPr>
            <w:tcW w:w="660" w:type="dxa"/>
            <w:vAlign w:val="bottom"/>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Arial" w:cs="Arial" w:eastAsia="Arial" w:hAnsi="Arial"/>
                <w:sz w:val="19"/>
                <w:szCs w:val="19"/>
                <w:color w:val="auto"/>
              </w:rPr>
              <w:t>1,626</w:t>
            </w:r>
          </w:p>
        </w:tc>
        <w:tc>
          <w:tcPr>
            <w:tcW w:w="60" w:type="dxa"/>
            <w:vAlign w:val="bottom"/>
          </w:tcPr>
          <w:p>
            <w:pPr>
              <w:spacing w:after="0"/>
              <w:rPr>
                <w:sz w:val="16"/>
                <w:szCs w:val="16"/>
                <w:color w:val="auto"/>
              </w:rPr>
            </w:pPr>
          </w:p>
        </w:tc>
      </w:tr>
      <w:tr>
        <w:trPr>
          <w:trHeight w:val="236"/>
        </w:trPr>
        <w:tc>
          <w:tcPr>
            <w:tcW w:w="8280" w:type="dxa"/>
            <w:vAlign w:val="bottom"/>
          </w:tcPr>
          <w:p>
            <w:pPr>
              <w:spacing w:after="0"/>
              <w:rPr>
                <w:sz w:val="20"/>
                <w:szCs w:val="20"/>
                <w:color w:val="auto"/>
              </w:rPr>
            </w:pPr>
            <w:r>
              <w:rPr>
                <w:rFonts w:ascii="Arial" w:cs="Arial" w:eastAsia="Arial" w:hAnsi="Arial"/>
                <w:sz w:val="19"/>
                <w:szCs w:val="19"/>
                <w:color w:val="auto"/>
              </w:rPr>
              <w:t>Less: imputed interest</w:t>
            </w:r>
          </w:p>
        </w:tc>
        <w:tc>
          <w:tcPr>
            <w:tcW w:w="66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9"/>
                <w:szCs w:val="19"/>
                <w:color w:val="auto"/>
              </w:rPr>
              <w:t>(140)</w:t>
            </w:r>
          </w:p>
        </w:tc>
      </w:tr>
      <w:tr>
        <w:trPr>
          <w:trHeight w:val="208"/>
        </w:trPr>
        <w:tc>
          <w:tcPr>
            <w:tcW w:w="8280" w:type="dxa"/>
            <w:vAlign w:val="bottom"/>
          </w:tcPr>
          <w:p>
            <w:pPr>
              <w:spacing w:after="0" w:line="209" w:lineRule="exact"/>
              <w:rPr>
                <w:sz w:val="20"/>
                <w:szCs w:val="20"/>
                <w:color w:val="auto"/>
              </w:rPr>
            </w:pPr>
            <w:r>
              <w:rPr>
                <w:rFonts w:ascii="Arial" w:cs="Arial" w:eastAsia="Arial" w:hAnsi="Arial"/>
                <w:sz w:val="19"/>
                <w:szCs w:val="19"/>
                <w:color w:val="auto"/>
              </w:rPr>
              <w:t>Total lease liability</w:t>
            </w:r>
          </w:p>
        </w:tc>
        <w:tc>
          <w:tcPr>
            <w:tcW w:w="660" w:type="dxa"/>
            <w:vAlign w:val="bottom"/>
            <w:tcBorders>
              <w:top w:val="single" w:sz="8" w:color="auto"/>
              <w:bottom w:val="single" w:sz="8" w:color="auto"/>
            </w:tcBorders>
          </w:tcPr>
          <w:p>
            <w:pPr>
              <w:jc w:val="right"/>
              <w:ind w:right="465"/>
              <w:spacing w:after="0" w:line="209" w:lineRule="exact"/>
              <w:rPr>
                <w:sz w:val="20"/>
                <w:szCs w:val="20"/>
                <w:color w:val="auto"/>
              </w:rPr>
            </w:pPr>
            <w:r>
              <w:rPr>
                <w:rFonts w:ascii="Arial" w:cs="Arial" w:eastAsia="Arial" w:hAnsi="Arial"/>
                <w:sz w:val="19"/>
                <w:szCs w:val="19"/>
                <w:color w:val="auto"/>
                <w:w w:val="75"/>
              </w:rPr>
              <w:t>$</w:t>
            </w:r>
          </w:p>
        </w:tc>
        <w:tc>
          <w:tcPr>
            <w:tcW w:w="104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1,486</w:t>
            </w:r>
          </w:p>
        </w:tc>
        <w:tc>
          <w:tcPr>
            <w:tcW w:w="60" w:type="dxa"/>
            <w:vAlign w:val="bottom"/>
          </w:tcPr>
          <w:p>
            <w:pPr>
              <w:spacing w:after="0"/>
              <w:rPr>
                <w:sz w:val="18"/>
                <w:szCs w:val="18"/>
                <w:color w:val="auto"/>
              </w:rPr>
            </w:pPr>
          </w:p>
        </w:tc>
      </w:tr>
      <w:tr>
        <w:trPr>
          <w:trHeight w:val="20"/>
        </w:trPr>
        <w:tc>
          <w:tcPr>
            <w:tcW w:w="8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673100</wp:posOffset>
            </wp:positionH>
            <wp:positionV relativeFrom="page">
              <wp:posOffset>811530</wp:posOffset>
            </wp:positionV>
            <wp:extent cx="6426200" cy="8705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2">
                      <a:extLst>
                        <a:ext uri="{28A0092B-C50C-407E-A947-70E740481C1C}"/>
                      </a:extLst>
                    </a:blip>
                    <a:srcRect/>
                    <a:stretch>
                      <a:fillRect/>
                    </a:stretch>
                  </pic:blipFill>
                  <pic:spPr bwMode="auto">
                    <a:xfrm>
                      <a:off x="0" y="0"/>
                      <a:ext cx="6426200" cy="870585"/>
                    </a:xfrm>
                    <a:prstGeom prst="rect">
                      <a:avLst/>
                    </a:prstGeom>
                    <a:noFill/>
                  </pic:spPr>
                </pic:pic>
              </a:graphicData>
            </a:graphic>
          </wp:anchor>
        </w:drawing>
      </w:r>
    </w:p>
    <w:p>
      <w:pPr>
        <w:ind w:left="20"/>
        <w:spacing w:after="0"/>
        <w:rPr>
          <w:sz w:val="20"/>
          <w:szCs w:val="20"/>
          <w:color w:val="auto"/>
        </w:rPr>
      </w:pPr>
      <w:r>
        <w:rPr>
          <w:rFonts w:ascii="Arial" w:cs="Arial" w:eastAsia="Arial" w:hAnsi="Arial"/>
          <w:sz w:val="19"/>
          <w:szCs w:val="19"/>
          <w:b w:val="1"/>
          <w:bCs w:val="1"/>
          <w:color w:val="auto"/>
        </w:rPr>
        <w:t>9. Common Stock and Preferred Stock</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9"/>
          <w:szCs w:val="19"/>
          <w:b w:val="1"/>
          <w:bCs w:val="1"/>
          <w:i w:val="1"/>
          <w:iCs w:val="1"/>
          <w:color w:val="auto"/>
        </w:rPr>
        <w:t>Preferred Stock</w:t>
      </w:r>
    </w:p>
    <w:p>
      <w:pPr>
        <w:spacing w:after="0" w:line="156" w:lineRule="exact"/>
        <w:rPr>
          <w:sz w:val="20"/>
          <w:szCs w:val="20"/>
          <w:color w:val="auto"/>
        </w:rPr>
      </w:pPr>
    </w:p>
    <w:p>
      <w:pPr>
        <w:ind w:left="20"/>
        <w:spacing w:after="0"/>
        <w:rPr>
          <w:sz w:val="20"/>
          <w:szCs w:val="20"/>
          <w:color w:val="auto"/>
        </w:rPr>
      </w:pPr>
      <w:r>
        <w:rPr>
          <w:rFonts w:ascii="Arial" w:cs="Arial" w:eastAsia="Arial" w:hAnsi="Arial"/>
          <w:sz w:val="19"/>
          <w:szCs w:val="19"/>
          <w:color w:val="auto"/>
        </w:rPr>
        <w:t>The Company has authorized 10,000,000 shares of $0.01 par value preferred stock at December 31, 2023 and 2022.</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9"/>
          <w:szCs w:val="19"/>
          <w:b w:val="1"/>
          <w:bCs w:val="1"/>
          <w:i w:val="1"/>
          <w:iCs w:val="1"/>
          <w:color w:val="auto"/>
        </w:rPr>
        <w:t>Common Stock</w:t>
      </w:r>
    </w:p>
    <w:p>
      <w:pPr>
        <w:spacing w:after="0" w:line="156" w:lineRule="exact"/>
        <w:rPr>
          <w:sz w:val="20"/>
          <w:szCs w:val="20"/>
          <w:color w:val="auto"/>
        </w:rPr>
      </w:pPr>
    </w:p>
    <w:p>
      <w:pPr>
        <w:ind w:left="20" w:right="40"/>
        <w:spacing w:after="0" w:line="253" w:lineRule="auto"/>
        <w:rPr>
          <w:sz w:val="20"/>
          <w:szCs w:val="20"/>
          <w:color w:val="auto"/>
        </w:rPr>
      </w:pPr>
      <w:r>
        <w:rPr>
          <w:rFonts w:ascii="Arial" w:cs="Arial" w:eastAsia="Arial" w:hAnsi="Arial"/>
          <w:sz w:val="19"/>
          <w:szCs w:val="19"/>
          <w:color w:val="auto"/>
        </w:rPr>
        <w:t>The Company has authorized 150,000,000 shares of $0.01 par value common stock at December 31, 2023 and 2022 of which 29,213,627 and 29,042,418 were issued as of December 31, 2023 and 2022, respectively. The Company had 29,091,019 and 28,919,810 outstanding shares as of December 31, 2023 and 2022, respectively. Common shares are voting and dividends may be paid when, as and if declared by the board of directors.</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9"/>
          <w:szCs w:val="19"/>
          <w:b w:val="1"/>
          <w:bCs w:val="1"/>
          <w:i w:val="1"/>
          <w:iCs w:val="1"/>
          <w:color w:val="auto"/>
        </w:rPr>
        <w:t>Common Stock Reserved</w:t>
      </w:r>
    </w:p>
    <w:p>
      <w:pPr>
        <w:spacing w:after="0" w:line="156" w:lineRule="exact"/>
        <w:rPr>
          <w:sz w:val="20"/>
          <w:szCs w:val="20"/>
          <w:color w:val="auto"/>
        </w:rPr>
      </w:pPr>
    </w:p>
    <w:p>
      <w:pPr>
        <w:ind w:left="20"/>
        <w:spacing w:after="0"/>
        <w:rPr>
          <w:sz w:val="20"/>
          <w:szCs w:val="20"/>
          <w:color w:val="auto"/>
        </w:rPr>
      </w:pPr>
      <w:r>
        <w:rPr>
          <w:rFonts w:ascii="Arial" w:cs="Arial" w:eastAsia="Arial" w:hAnsi="Arial"/>
          <w:sz w:val="19"/>
          <w:szCs w:val="19"/>
          <w:color w:val="auto"/>
        </w:rPr>
        <w:t>The Company has reserved the following shares of common stock for future issuance as of:</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92075</wp:posOffset>
                </wp:positionV>
                <wp:extent cx="6437630"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76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7.25pt" to="506.45pt,7.25pt" o:allowincell="f" strokecolor="#000000" strokeweight="0.75pt"/>
            </w:pict>
          </mc:Fallback>
        </mc:AlternateConten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00" w:type="dxa"/>
            <w:vAlign w:val="bottom"/>
          </w:tcPr>
          <w:p>
            <w:pPr>
              <w:spacing w:after="0"/>
              <w:rPr>
                <w:sz w:val="17"/>
                <w:szCs w:val="17"/>
                <w:color w:val="auto"/>
              </w:rPr>
            </w:pPr>
          </w:p>
        </w:tc>
        <w:tc>
          <w:tcPr>
            <w:tcW w:w="2140" w:type="dxa"/>
            <w:vAlign w:val="bottom"/>
            <w:tcBorders>
              <w:bottom w:val="single" w:sz="8" w:color="auto"/>
            </w:tcBorders>
            <w:gridSpan w:val="3"/>
          </w:tcPr>
          <w:p>
            <w:pPr>
              <w:ind w:left="960"/>
              <w:spacing w:after="0"/>
              <w:rPr>
                <w:sz w:val="20"/>
                <w:szCs w:val="20"/>
                <w:color w:val="auto"/>
              </w:rPr>
            </w:pPr>
            <w:r>
              <w:rPr>
                <w:rFonts w:ascii="Arial" w:cs="Arial" w:eastAsia="Arial" w:hAnsi="Arial"/>
                <w:sz w:val="16"/>
                <w:szCs w:val="16"/>
                <w:b w:val="1"/>
                <w:bCs w:val="1"/>
                <w:color w:val="auto"/>
                <w:w w:val="98"/>
              </w:rPr>
              <w:t>DECEMBER 31,</w:t>
            </w:r>
          </w:p>
        </w:tc>
        <w:tc>
          <w:tcPr>
            <w:tcW w:w="9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6900" w:type="dxa"/>
            <w:vAlign w:val="bottom"/>
            <w:vMerge w:val="restart"/>
          </w:tcPr>
          <w:p>
            <w:pPr>
              <w:ind w:left="20"/>
              <w:spacing w:after="0"/>
              <w:rPr>
                <w:sz w:val="20"/>
                <w:szCs w:val="20"/>
                <w:color w:val="auto"/>
              </w:rPr>
            </w:pPr>
            <w:r>
              <w:rPr>
                <w:rFonts w:ascii="Arial" w:cs="Arial" w:eastAsia="Arial" w:hAnsi="Arial"/>
                <w:sz w:val="19"/>
                <w:szCs w:val="19"/>
                <w:color w:val="auto"/>
              </w:rPr>
              <w:t>Stock options outstanding</w:t>
            </w:r>
          </w:p>
        </w:tc>
        <w:tc>
          <w:tcPr>
            <w:tcW w:w="1440" w:type="dxa"/>
            <w:vAlign w:val="bottom"/>
            <w:tcBorders>
              <w:bottom w:val="single" w:sz="8" w:color="auto"/>
            </w:tcBorders>
          </w:tcPr>
          <w:p>
            <w:pPr>
              <w:jc w:val="right"/>
              <w:ind w:right="449"/>
              <w:spacing w:after="0" w:line="174" w:lineRule="exact"/>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48"/>
              <w:spacing w:after="0" w:line="174" w:lineRule="exact"/>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900" w:type="dxa"/>
            <w:vAlign w:val="bottom"/>
            <w:vMerge w:val="continue"/>
          </w:tcPr>
          <w:p>
            <w:pPr>
              <w:spacing w:after="0"/>
              <w:rPr>
                <w:sz w:val="16"/>
                <w:szCs w:val="16"/>
                <w:color w:val="auto"/>
              </w:rPr>
            </w:pPr>
          </w:p>
        </w:tc>
        <w:tc>
          <w:tcPr>
            <w:tcW w:w="1440" w:type="dxa"/>
            <w:vAlign w:val="bottom"/>
          </w:tcPr>
          <w:p>
            <w:pPr>
              <w:jc w:val="right"/>
              <w:spacing w:after="0" w:line="191" w:lineRule="exact"/>
              <w:rPr>
                <w:sz w:val="20"/>
                <w:szCs w:val="20"/>
                <w:color w:val="auto"/>
              </w:rPr>
            </w:pPr>
            <w:r>
              <w:rPr>
                <w:rFonts w:ascii="Arial" w:cs="Arial" w:eastAsia="Arial" w:hAnsi="Arial"/>
                <w:sz w:val="19"/>
                <w:szCs w:val="19"/>
                <w:color w:val="auto"/>
              </w:rPr>
              <w:t>5,666,621</w:t>
            </w: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line="191" w:lineRule="exact"/>
              <w:rPr>
                <w:sz w:val="20"/>
                <w:szCs w:val="20"/>
                <w:color w:val="auto"/>
              </w:rPr>
            </w:pPr>
            <w:r>
              <w:rPr>
                <w:rFonts w:ascii="Arial" w:cs="Arial" w:eastAsia="Arial" w:hAnsi="Arial"/>
                <w:sz w:val="19"/>
                <w:szCs w:val="19"/>
                <w:color w:val="auto"/>
              </w:rPr>
              <w:t>5,645,420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900" w:type="dxa"/>
            <w:vAlign w:val="bottom"/>
          </w:tcPr>
          <w:p>
            <w:pPr>
              <w:ind w:left="20"/>
              <w:spacing w:after="0"/>
              <w:rPr>
                <w:sz w:val="20"/>
                <w:szCs w:val="20"/>
                <w:color w:val="auto"/>
              </w:rPr>
            </w:pPr>
            <w:r>
              <w:rPr>
                <w:rFonts w:ascii="Arial" w:cs="Arial" w:eastAsia="Arial" w:hAnsi="Arial"/>
                <w:sz w:val="19"/>
                <w:szCs w:val="19"/>
                <w:color w:val="auto"/>
              </w:rPr>
              <w:t>Unvested restricted stock</w:t>
            </w:r>
          </w:p>
        </w:tc>
        <w:tc>
          <w:tcPr>
            <w:tcW w:w="1440" w:type="dxa"/>
            <w:vAlign w:val="bottom"/>
          </w:tcPr>
          <w:p>
            <w:pPr>
              <w:jc w:val="right"/>
              <w:spacing w:after="0"/>
              <w:rPr>
                <w:sz w:val="20"/>
                <w:szCs w:val="20"/>
                <w:color w:val="auto"/>
              </w:rPr>
            </w:pPr>
            <w:r>
              <w:rPr>
                <w:rFonts w:ascii="Arial" w:cs="Arial" w:eastAsia="Arial" w:hAnsi="Arial"/>
                <w:sz w:val="19"/>
                <w:szCs w:val="19"/>
                <w:color w:val="auto"/>
              </w:rPr>
              <w:t>2,526,432</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612,366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900" w:type="dxa"/>
            <w:vAlign w:val="bottom"/>
          </w:tcPr>
          <w:p>
            <w:pPr>
              <w:ind w:left="20"/>
              <w:spacing w:after="0"/>
              <w:rPr>
                <w:sz w:val="20"/>
                <w:szCs w:val="20"/>
                <w:color w:val="auto"/>
              </w:rPr>
            </w:pPr>
            <w:r>
              <w:rPr>
                <w:rFonts w:ascii="Arial" w:cs="Arial" w:eastAsia="Arial" w:hAnsi="Arial"/>
                <w:sz w:val="19"/>
                <w:szCs w:val="19"/>
                <w:color w:val="auto"/>
              </w:rPr>
              <w:t>Shares available for future grant under stock option plan</w:t>
            </w:r>
          </w:p>
        </w:tc>
        <w:tc>
          <w:tcPr>
            <w:tcW w:w="1440" w:type="dxa"/>
            <w:vAlign w:val="bottom"/>
          </w:tcPr>
          <w:p>
            <w:pPr>
              <w:jc w:val="right"/>
              <w:spacing w:after="0"/>
              <w:rPr>
                <w:sz w:val="20"/>
                <w:szCs w:val="20"/>
                <w:color w:val="auto"/>
              </w:rPr>
            </w:pPr>
            <w:r>
              <w:rPr>
                <w:rFonts w:ascii="Arial" w:cs="Arial" w:eastAsia="Arial" w:hAnsi="Arial"/>
                <w:sz w:val="19"/>
                <w:szCs w:val="19"/>
                <w:color w:val="auto"/>
              </w:rPr>
              <w:t>252,053</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1,311,915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900" w:type="dxa"/>
            <w:vAlign w:val="bottom"/>
          </w:tcPr>
          <w:p>
            <w:pPr>
              <w:ind w:left="20"/>
              <w:spacing w:after="0"/>
              <w:rPr>
                <w:sz w:val="20"/>
                <w:szCs w:val="20"/>
                <w:color w:val="auto"/>
              </w:rPr>
            </w:pPr>
            <w:r>
              <w:rPr>
                <w:rFonts w:ascii="Arial" w:cs="Arial" w:eastAsia="Arial" w:hAnsi="Arial"/>
                <w:sz w:val="19"/>
                <w:szCs w:val="19"/>
                <w:color w:val="auto"/>
              </w:rPr>
              <w:t>Warrants</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7,507,708</w:t>
            </w:r>
          </w:p>
        </w:tc>
        <w:tc>
          <w:tcPr>
            <w:tcW w:w="2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7,507,708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6900" w:type="dxa"/>
            <w:vAlign w:val="bottom"/>
          </w:tcPr>
          <w:p>
            <w:pPr>
              <w:spacing w:after="0"/>
              <w:rPr>
                <w:sz w:val="18"/>
                <w:szCs w:val="18"/>
                <w:color w:val="auto"/>
              </w:rPr>
            </w:pPr>
          </w:p>
        </w:tc>
        <w:tc>
          <w:tcPr>
            <w:tcW w:w="144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15,952,814</w:t>
            </w:r>
          </w:p>
        </w:tc>
        <w:tc>
          <w:tcPr>
            <w:tcW w:w="2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19"/>
                <w:szCs w:val="19"/>
                <w:color w:val="auto"/>
                <w:w w:val="98"/>
              </w:rPr>
              <w:t>15,077,409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9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-906780</wp:posOffset>
            </wp:positionV>
            <wp:extent cx="6438900" cy="7442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33">
                      <a:extLst>
                        <a:ext uri="{28A0092B-C50C-407E-A947-70E740481C1C}"/>
                      </a:extLst>
                    </a:blip>
                    <a:srcRect/>
                    <a:stretch>
                      <a:fillRect/>
                    </a:stretch>
                  </pic:blipFill>
                  <pic:spPr bwMode="auto">
                    <a:xfrm>
                      <a:off x="0" y="0"/>
                      <a:ext cx="6438900" cy="744220"/>
                    </a:xfrm>
                    <a:prstGeom prst="rect">
                      <a:avLst/>
                    </a:prstGeom>
                    <a:noFill/>
                  </pic:spPr>
                </pic:pic>
              </a:graphicData>
            </a:graphic>
          </wp:anchor>
        </w:drawing>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9"/>
          <w:szCs w:val="19"/>
          <w:b w:val="1"/>
          <w:bCs w:val="1"/>
          <w:i w:val="1"/>
          <w:iCs w:val="1"/>
          <w:color w:val="auto"/>
        </w:rPr>
        <w:t>Shelf Registration and At-the-Market Offerings</w:t>
      </w:r>
    </w:p>
    <w:p>
      <w:pPr>
        <w:spacing w:after="0" w:line="156" w:lineRule="exact"/>
        <w:rPr>
          <w:sz w:val="20"/>
          <w:szCs w:val="20"/>
          <w:color w:val="auto"/>
        </w:rPr>
      </w:pPr>
    </w:p>
    <w:p>
      <w:pPr>
        <w:ind w:left="20" w:right="60"/>
        <w:spacing w:after="0" w:line="244" w:lineRule="auto"/>
        <w:rPr>
          <w:sz w:val="20"/>
          <w:szCs w:val="20"/>
          <w:color w:val="auto"/>
        </w:rPr>
      </w:pPr>
      <w:r>
        <w:rPr>
          <w:rFonts w:ascii="Arial" w:cs="Arial" w:eastAsia="Arial" w:hAnsi="Arial"/>
          <w:sz w:val="19"/>
          <w:szCs w:val="19"/>
          <w:color w:val="auto"/>
        </w:rPr>
        <w:t>On August 5, 2022, the Company filed the Shelf with the SEC, which covers the offering, issuance, and sale by us of up to an aggregate of $200.0 million of our common stock, preferred stock, debt securities, warrants and/or units of any combination thereof. We simultaneously entered into a sales agreement with Jefferies LLC, as sales agent, to provide for the issuance and sale by us of up to $75.0 million of our common stock from time to time in “at-the-market” offerings under the Shelf. The Shelf was declared effective by the SEC on August 12, 2022. Due to the SEC’s “baby shelf rules,” which prohibit companies with a public float of less than $75.0 million from issuing securities under a shelf registration statement in excess of one third of such company’s public float in a 12-month period, the Company is currently only able to issue a limited number of shares which aggregate to no more than one-third of its public float using the Shelf. As of December 31, 2023, no sales had been made pursuant to the ATM Program. Subsequent to December 31, 2023 and through March 21, 2024, we have sold and issued 109,485 shares of common stock under the ATM Program, with total net proceeds of $0.2 million.</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10. Warrants</w:t>
      </w:r>
    </w:p>
    <w:p>
      <w:pPr>
        <w:spacing w:after="0" w:line="164" w:lineRule="exact"/>
        <w:rPr>
          <w:sz w:val="20"/>
          <w:szCs w:val="20"/>
          <w:color w:val="auto"/>
        </w:rPr>
      </w:pPr>
    </w:p>
    <w:p>
      <w:pPr>
        <w:ind w:left="20" w:right="160"/>
        <w:spacing w:after="0" w:line="281" w:lineRule="auto"/>
        <w:rPr>
          <w:sz w:val="20"/>
          <w:szCs w:val="20"/>
          <w:color w:val="auto"/>
        </w:rPr>
      </w:pPr>
      <w:r>
        <w:rPr>
          <w:rFonts w:ascii="Arial" w:cs="Arial" w:eastAsia="Arial" w:hAnsi="Arial"/>
          <w:sz w:val="19"/>
          <w:szCs w:val="19"/>
          <w:color w:val="auto"/>
        </w:rPr>
        <w:t>The Company has the following warrants outstanding for the purchase of common stock as of December 31, 2023 and 2022: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-31115</wp:posOffset>
                </wp:positionV>
                <wp:extent cx="6437630"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76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2.4499pt" to="506.45pt,-2.4499pt" o:allowincell="f" strokecolor="#000000" strokeweight="0.75pt"/>
            </w:pict>
          </mc:Fallback>
        </mc:AlternateConten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7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SHARES OF</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84"/>
        </w:trPr>
        <w:tc>
          <w:tcPr>
            <w:tcW w:w="37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9"/>
              </w:rPr>
              <w:t>COMMON</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EXERCISE</w:t>
            </w:r>
          </w:p>
        </w:tc>
        <w:tc>
          <w:tcPr>
            <w:tcW w:w="1680" w:type="dxa"/>
            <w:vAlign w:val="bottom"/>
          </w:tcPr>
          <w:p>
            <w:pPr>
              <w:spacing w:after="0"/>
              <w:rPr>
                <w:sz w:val="15"/>
                <w:szCs w:val="15"/>
                <w:color w:val="auto"/>
              </w:rPr>
            </w:pPr>
          </w:p>
        </w:tc>
      </w:tr>
      <w:tr>
        <w:trPr>
          <w:trHeight w:val="184"/>
        </w:trPr>
        <w:tc>
          <w:tcPr>
            <w:tcW w:w="37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9"/>
              </w:rPr>
              <w:t>STOCK SUBJECT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PRICE PER</w:t>
            </w:r>
          </w:p>
        </w:tc>
        <w:tc>
          <w:tcPr>
            <w:tcW w:w="1680" w:type="dxa"/>
            <w:vAlign w:val="bottom"/>
          </w:tcPr>
          <w:p>
            <w:pPr>
              <w:spacing w:after="0"/>
              <w:rPr>
                <w:sz w:val="15"/>
                <w:szCs w:val="15"/>
                <w:color w:val="auto"/>
              </w:rPr>
            </w:pPr>
          </w:p>
        </w:tc>
      </w:tr>
      <w:tr>
        <w:trPr>
          <w:trHeight w:val="203"/>
        </w:trPr>
        <w:tc>
          <w:tcPr>
            <w:tcW w:w="3700" w:type="dxa"/>
            <w:vAlign w:val="bottom"/>
          </w:tcPr>
          <w:p>
            <w:pPr>
              <w:spacing w:after="0"/>
              <w:rPr>
                <w:sz w:val="20"/>
                <w:szCs w:val="20"/>
                <w:color w:val="auto"/>
              </w:rPr>
            </w:pPr>
            <w:r>
              <w:rPr>
                <w:rFonts w:ascii="Arial" w:cs="Arial" w:eastAsia="Arial" w:hAnsi="Arial"/>
                <w:sz w:val="16"/>
                <w:szCs w:val="16"/>
                <w:b w:val="1"/>
                <w:bCs w:val="1"/>
                <w:color w:val="auto"/>
              </w:rPr>
              <w:t>WARRANTS</w:t>
            </w: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9"/>
              </w:rPr>
              <w:t>TO WARRANTS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SHARE</w:t>
            </w:r>
          </w:p>
        </w:tc>
        <w:tc>
          <w:tcPr>
            <w:tcW w:w="1680" w:type="dxa"/>
            <w:vAlign w:val="bottom"/>
          </w:tcPr>
          <w:p>
            <w:pPr>
              <w:ind w:left="60"/>
              <w:spacing w:after="0"/>
              <w:rPr>
                <w:sz w:val="20"/>
                <w:szCs w:val="20"/>
                <w:color w:val="auto"/>
              </w:rPr>
            </w:pPr>
            <w:r>
              <w:rPr>
                <w:rFonts w:ascii="Arial" w:cs="Arial" w:eastAsia="Arial" w:hAnsi="Arial"/>
                <w:sz w:val="16"/>
                <w:szCs w:val="16"/>
                <w:b w:val="1"/>
                <w:bCs w:val="1"/>
                <w:color w:val="auto"/>
              </w:rPr>
              <w:t>EXPIRATION DATES</w:t>
            </w:r>
          </w:p>
        </w:tc>
      </w:tr>
      <w:tr>
        <w:trPr>
          <w:trHeight w:val="191"/>
        </w:trPr>
        <w:tc>
          <w:tcPr>
            <w:tcW w:w="3700" w:type="dxa"/>
            <w:vAlign w:val="bottom"/>
            <w:tcBorders>
              <w:top w:val="single" w:sz="8" w:color="auto"/>
            </w:tcBorders>
          </w:tcPr>
          <w:p>
            <w:pPr>
              <w:spacing w:after="0" w:line="191" w:lineRule="exact"/>
              <w:rPr>
                <w:sz w:val="20"/>
                <w:szCs w:val="20"/>
                <w:color w:val="auto"/>
              </w:rPr>
            </w:pPr>
            <w:r>
              <w:rPr>
                <w:rFonts w:ascii="Arial" w:cs="Arial" w:eastAsia="Arial" w:hAnsi="Arial"/>
                <w:sz w:val="19"/>
                <w:szCs w:val="19"/>
                <w:color w:val="auto"/>
              </w:rPr>
              <w:t>Series B Warrants</w:t>
            </w:r>
          </w:p>
        </w:tc>
        <w:tc>
          <w:tcPr>
            <w:tcW w:w="1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9"/>
                <w:szCs w:val="19"/>
                <w:color w:val="auto"/>
              </w:rPr>
              <w:t>3,672,484</w:t>
            </w:r>
          </w:p>
        </w:tc>
        <w:tc>
          <w:tcPr>
            <w:tcW w:w="200" w:type="dxa"/>
            <w:vAlign w:val="bottom"/>
          </w:tcPr>
          <w:p>
            <w:pPr>
              <w:spacing w:after="0"/>
              <w:rPr>
                <w:sz w:val="16"/>
                <w:szCs w:val="16"/>
                <w:color w:val="auto"/>
              </w:rPr>
            </w:pPr>
          </w:p>
        </w:tc>
        <w:tc>
          <w:tcPr>
            <w:tcW w:w="1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9"/>
                <w:szCs w:val="19"/>
                <w:color w:val="auto"/>
                <w:w w:val="75"/>
              </w:rPr>
              <w:t>$</w:t>
            </w:r>
          </w:p>
        </w:tc>
        <w:tc>
          <w:tcPr>
            <w:tcW w:w="10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9"/>
                <w:szCs w:val="19"/>
                <w:color w:val="auto"/>
              </w:rPr>
              <w:t>6.81</w:t>
            </w:r>
          </w:p>
        </w:tc>
        <w:tc>
          <w:tcPr>
            <w:tcW w:w="200" w:type="dxa"/>
            <w:vAlign w:val="bottom"/>
          </w:tcPr>
          <w:p>
            <w:pPr>
              <w:spacing w:after="0"/>
              <w:rPr>
                <w:sz w:val="16"/>
                <w:szCs w:val="16"/>
                <w:color w:val="auto"/>
              </w:rPr>
            </w:pPr>
          </w:p>
        </w:tc>
        <w:tc>
          <w:tcPr>
            <w:tcW w:w="1680" w:type="dxa"/>
            <w:vAlign w:val="bottom"/>
            <w:tcBorders>
              <w:top w:val="single" w:sz="8" w:color="auto"/>
            </w:tcBorders>
          </w:tcPr>
          <w:p>
            <w:pPr>
              <w:spacing w:after="0" w:line="191" w:lineRule="exact"/>
              <w:rPr>
                <w:sz w:val="20"/>
                <w:szCs w:val="20"/>
                <w:color w:val="auto"/>
              </w:rPr>
            </w:pPr>
            <w:r>
              <w:rPr>
                <w:rFonts w:ascii="Arial" w:cs="Arial" w:eastAsia="Arial" w:hAnsi="Arial"/>
                <w:sz w:val="19"/>
                <w:szCs w:val="19"/>
                <w:color w:val="auto"/>
              </w:rPr>
              <w:t>November 2025</w:t>
            </w:r>
          </w:p>
        </w:tc>
      </w:tr>
      <w:tr>
        <w:trPr>
          <w:trHeight w:val="218"/>
        </w:trPr>
        <w:tc>
          <w:tcPr>
            <w:tcW w:w="3700" w:type="dxa"/>
            <w:vAlign w:val="bottom"/>
          </w:tcPr>
          <w:p>
            <w:pPr>
              <w:spacing w:after="0"/>
              <w:rPr>
                <w:sz w:val="20"/>
                <w:szCs w:val="20"/>
                <w:color w:val="auto"/>
              </w:rPr>
            </w:pPr>
            <w:r>
              <w:rPr>
                <w:rFonts w:ascii="Arial" w:cs="Arial" w:eastAsia="Arial" w:hAnsi="Arial"/>
                <w:sz w:val="19"/>
                <w:szCs w:val="19"/>
                <w:color w:val="auto"/>
              </w:rPr>
              <w:t>Conditional Series B Warrants</w:t>
            </w:r>
          </w:p>
        </w:tc>
        <w:tc>
          <w:tcPr>
            <w:tcW w:w="3200" w:type="dxa"/>
            <w:vAlign w:val="bottom"/>
            <w:gridSpan w:val="3"/>
          </w:tcPr>
          <w:p>
            <w:pPr>
              <w:jc w:val="right"/>
              <w:spacing w:after="0"/>
              <w:rPr>
                <w:sz w:val="20"/>
                <w:szCs w:val="20"/>
                <w:color w:val="auto"/>
              </w:rPr>
            </w:pPr>
            <w:r>
              <w:rPr>
                <w:rFonts w:ascii="Arial" w:cs="Arial" w:eastAsia="Arial" w:hAnsi="Arial"/>
                <w:sz w:val="19"/>
                <w:szCs w:val="19"/>
                <w:color w:val="auto"/>
              </w:rPr>
              <w:t>3,672,484</w:t>
            </w:r>
          </w:p>
        </w:tc>
        <w:tc>
          <w:tcPr>
            <w:tcW w:w="3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9"/>
                <w:szCs w:val="19"/>
                <w:color w:val="auto"/>
              </w:rPr>
              <w:t>6.81</w:t>
            </w:r>
          </w:p>
        </w:tc>
        <w:tc>
          <w:tcPr>
            <w:tcW w:w="1680" w:type="dxa"/>
            <w:vAlign w:val="bottom"/>
          </w:tcPr>
          <w:p>
            <w:pPr>
              <w:spacing w:after="0"/>
              <w:rPr>
                <w:sz w:val="20"/>
                <w:szCs w:val="20"/>
                <w:color w:val="auto"/>
              </w:rPr>
            </w:pPr>
            <w:r>
              <w:rPr>
                <w:rFonts w:ascii="Arial" w:cs="Arial" w:eastAsia="Arial" w:hAnsi="Arial"/>
                <w:sz w:val="19"/>
                <w:szCs w:val="19"/>
                <w:color w:val="auto"/>
              </w:rPr>
              <w:t>November 2025</w:t>
            </w:r>
          </w:p>
        </w:tc>
      </w:tr>
      <w:tr>
        <w:trPr>
          <w:trHeight w:val="256"/>
        </w:trPr>
        <w:tc>
          <w:tcPr>
            <w:tcW w:w="3700" w:type="dxa"/>
            <w:vAlign w:val="bottom"/>
          </w:tcPr>
          <w:p>
            <w:pPr>
              <w:spacing w:after="0"/>
              <w:rPr>
                <w:sz w:val="20"/>
                <w:szCs w:val="20"/>
                <w:color w:val="auto"/>
              </w:rPr>
            </w:pPr>
            <w:r>
              <w:rPr>
                <w:rFonts w:ascii="Arial" w:cs="Arial" w:eastAsia="Arial" w:hAnsi="Arial"/>
                <w:sz w:val="19"/>
                <w:szCs w:val="19"/>
                <w:color w:val="auto"/>
              </w:rPr>
              <w:t>NC Ohio Trust</w:t>
            </w:r>
          </w:p>
        </w:tc>
        <w:tc>
          <w:tcPr>
            <w:tcW w:w="3200" w:type="dxa"/>
            <w:vAlign w:val="bottom"/>
            <w:gridSpan w:val="3"/>
          </w:tcPr>
          <w:p>
            <w:pPr>
              <w:jc w:val="right"/>
              <w:spacing w:after="0"/>
              <w:rPr>
                <w:sz w:val="20"/>
                <w:szCs w:val="20"/>
                <w:color w:val="auto"/>
              </w:rPr>
            </w:pPr>
            <w:r>
              <w:rPr>
                <w:rFonts w:ascii="Arial" w:cs="Arial" w:eastAsia="Arial" w:hAnsi="Arial"/>
                <w:sz w:val="19"/>
                <w:szCs w:val="19"/>
                <w:color w:val="auto"/>
              </w:rPr>
              <w:t>162,740</w:t>
            </w:r>
          </w:p>
        </w:tc>
        <w:tc>
          <w:tcPr>
            <w:tcW w:w="3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9"/>
                <w:szCs w:val="19"/>
                <w:color w:val="auto"/>
              </w:rPr>
              <w:t>1.46</w:t>
            </w:r>
          </w:p>
        </w:tc>
        <w:tc>
          <w:tcPr>
            <w:tcW w:w="1680" w:type="dxa"/>
            <w:vAlign w:val="bottom"/>
          </w:tcPr>
          <w:p>
            <w:pPr>
              <w:spacing w:after="0"/>
              <w:rPr>
                <w:sz w:val="20"/>
                <w:szCs w:val="20"/>
                <w:color w:val="auto"/>
              </w:rPr>
            </w:pPr>
            <w:r>
              <w:rPr>
                <w:rFonts w:ascii="Arial" w:cs="Arial" w:eastAsia="Arial" w:hAnsi="Arial"/>
                <w:sz w:val="19"/>
                <w:szCs w:val="19"/>
                <w:color w:val="auto"/>
              </w:rPr>
              <w:t>March 2029</w:t>
            </w:r>
          </w:p>
        </w:tc>
      </w:tr>
      <w:tr>
        <w:trPr>
          <w:trHeight w:val="388"/>
        </w:trPr>
        <w:tc>
          <w:tcPr>
            <w:tcW w:w="3700" w:type="dxa"/>
            <w:vAlign w:val="bottom"/>
          </w:tcPr>
          <w:p>
            <w:pPr>
              <w:spacing w:after="0"/>
              <w:rPr>
                <w:sz w:val="20"/>
                <w:szCs w:val="20"/>
                <w:color w:val="auto"/>
              </w:rPr>
            </w:pPr>
            <w:r>
              <w:rPr>
                <w:rFonts w:ascii="Arial" w:cs="Arial" w:eastAsia="Arial" w:hAnsi="Arial"/>
                <w:sz w:val="19"/>
                <w:szCs w:val="19"/>
                <w:b w:val="1"/>
                <w:bCs w:val="1"/>
                <w:i w:val="1"/>
                <w:iCs w:val="1"/>
                <w:color w:val="auto"/>
              </w:rPr>
              <w:t>Series B Warrants</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892"/>
        </w:trPr>
        <w:tc>
          <w:tcPr>
            <w:tcW w:w="3700" w:type="dxa"/>
            <w:vAlign w:val="bottom"/>
          </w:tcPr>
          <w:p>
            <w:pPr>
              <w:spacing w:after="0"/>
              <w:rPr>
                <w:sz w:val="24"/>
                <w:szCs w:val="24"/>
                <w:color w:val="auto"/>
              </w:rPr>
            </w:pPr>
          </w:p>
        </w:tc>
        <w:tc>
          <w:tcPr>
            <w:tcW w:w="3200" w:type="dxa"/>
            <w:vAlign w:val="bottom"/>
            <w:gridSpan w:val="3"/>
          </w:tcPr>
          <w:p>
            <w:pPr>
              <w:jc w:val="right"/>
              <w:ind w:right="1577"/>
              <w:spacing w:after="0"/>
              <w:rPr>
                <w:sz w:val="20"/>
                <w:szCs w:val="20"/>
                <w:color w:val="auto"/>
              </w:rPr>
            </w:pPr>
            <w:r>
              <w:rPr>
                <w:rFonts w:ascii="Arial" w:cs="Arial" w:eastAsia="Arial" w:hAnsi="Arial"/>
                <w:sz w:val="19"/>
                <w:szCs w:val="19"/>
                <w:color w:val="auto"/>
              </w:rPr>
              <w:t>F-15</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-1266190</wp:posOffset>
            </wp:positionV>
            <wp:extent cx="6438900" cy="4603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4">
                      <a:extLst>
                        <a:ext uri="{28A0092B-C50C-407E-A947-70E740481C1C}"/>
                      </a:extLst>
                    </a:blip>
                    <a:srcRect/>
                    <a:stretch>
                      <a:fillRect/>
                    </a:stretch>
                  </pic:blipFill>
                  <pic:spPr bwMode="auto">
                    <a:xfrm>
                      <a:off x="0" y="0"/>
                      <a:ext cx="6438900" cy="460375"/>
                    </a:xfrm>
                    <a:prstGeom prst="rect">
                      <a:avLst/>
                    </a:prstGeom>
                    <a:noFill/>
                  </pic:spPr>
                </pic:pic>
              </a:graphicData>
            </a:graphic>
          </wp:anchor>
        </w:drawing>
      </w:r>
    </w:p>
    <w:p>
      <w:pPr>
        <w:sectPr>
          <w:pgSz w:w="12240" w:h="15840" w:orient="portrait"/>
          <w:cols w:equalWidth="0" w:num="1">
            <w:col w:w="10120"/>
          </w:cols>
          <w:pgMar w:left="1060" w:top="1280" w:right="1060" w:bottom="136" w:gutter="0" w:footer="0" w:header="0"/>
        </w:sectPr>
      </w:pPr>
    </w:p>
    <w:bookmarkStart w:id="138" w:name="page139"/>
    <w:bookmarkEnd w:id="138"/>
    <w:p>
      <w:pPr>
        <w:spacing w:after="0" w:line="253" w:lineRule="auto"/>
        <w:rPr>
          <w:sz w:val="20"/>
          <w:szCs w:val="20"/>
          <w:color w:val="auto"/>
        </w:rPr>
      </w:pPr>
      <w:r>
        <w:rPr>
          <w:rFonts w:ascii="Arial" w:cs="Arial" w:eastAsia="Arial" w:hAnsi="Arial"/>
          <w:sz w:val="19"/>
          <w:szCs w:val="19"/>
          <w:color w:val="auto"/>
        </w:rPr>
        <w:t>In connection with the November 13, 2018 issuance of Series B convertible preferred stock (the Series B Preferred), the Company issued to the purchaser of the Series B Preferred warrants to purchase 3,672,484 shares of common stock for $6.81 per share (the Series B Warrants), which became fully exercisable upon issuance. The Series B Warrants contain provisions allowing cashless exercise.</w:t>
      </w:r>
    </w:p>
    <w:p>
      <w:pPr>
        <w:spacing w:after="0" w:line="113" w:lineRule="exact"/>
        <w:rPr>
          <w:sz w:val="20"/>
          <w:szCs w:val="20"/>
          <w:color w:val="auto"/>
        </w:rPr>
      </w:pPr>
    </w:p>
    <w:p>
      <w:pPr>
        <w:ind w:right="160"/>
        <w:spacing w:after="0" w:line="253" w:lineRule="auto"/>
        <w:rPr>
          <w:sz w:val="20"/>
          <w:szCs w:val="20"/>
          <w:color w:val="auto"/>
        </w:rPr>
      </w:pPr>
      <w:r>
        <w:rPr>
          <w:rFonts w:ascii="Arial" w:cs="Arial" w:eastAsia="Arial" w:hAnsi="Arial"/>
          <w:sz w:val="19"/>
          <w:szCs w:val="19"/>
          <w:color w:val="auto"/>
        </w:rPr>
        <w:t>In addition, the Company issued to the same stockholder additional five-year warrants for the purchase of 3,672,484 shares of common stock for $6.81 per share (the Conditional Series B Warrants), which become exercisable in the event that the Company completes a future financing that meets certain financial milestones or achieves certain share prices as follows:</w:t>
      </w:r>
    </w:p>
    <w:p>
      <w:pPr>
        <w:spacing w:after="0" w:line="85" w:lineRule="exact"/>
        <w:rPr>
          <w:sz w:val="20"/>
          <w:szCs w:val="20"/>
          <w:color w:val="auto"/>
        </w:rPr>
      </w:pPr>
    </w:p>
    <w:p>
      <w:pPr>
        <w:ind w:left="980" w:right="380" w:hanging="491"/>
        <w:spacing w:after="0" w:line="260" w:lineRule="auto"/>
        <w:tabs>
          <w:tab w:leader="none" w:pos="980" w:val="left"/>
        </w:tabs>
        <w:numPr>
          <w:ilvl w:val="0"/>
          <w:numId w:val="91"/>
        </w:numPr>
        <w:rPr>
          <w:rFonts w:ascii="Arial" w:cs="Arial" w:eastAsia="Arial" w:hAnsi="Arial"/>
          <w:sz w:val="19"/>
          <w:szCs w:val="19"/>
          <w:color w:val="auto"/>
        </w:rPr>
      </w:pPr>
      <w:r>
        <w:rPr>
          <w:rFonts w:ascii="Arial" w:cs="Arial" w:eastAsia="Arial" w:hAnsi="Arial"/>
          <w:sz w:val="19"/>
          <w:szCs w:val="19"/>
          <w:color w:val="auto"/>
        </w:rPr>
        <w:t>918,121 shares vest upon (1) a financing event effected through the sale of our equity securities to third parties resulting in at least $20,000,000 in gross proceeds with a per share price of $12.47, or (2) an average market price (determined over a consecutive 10-day period) of $12.47 per share;</w:t>
      </w:r>
    </w:p>
    <w:p>
      <w:pPr>
        <w:spacing w:after="0" w:line="78" w:lineRule="exact"/>
        <w:rPr>
          <w:rFonts w:ascii="Arial" w:cs="Arial" w:eastAsia="Arial" w:hAnsi="Arial"/>
          <w:sz w:val="19"/>
          <w:szCs w:val="19"/>
          <w:color w:val="auto"/>
        </w:rPr>
      </w:pPr>
    </w:p>
    <w:p>
      <w:pPr>
        <w:ind w:left="980" w:right="460" w:hanging="491"/>
        <w:spacing w:after="0" w:line="281" w:lineRule="auto"/>
        <w:tabs>
          <w:tab w:leader="none" w:pos="980" w:val="left"/>
        </w:tabs>
        <w:numPr>
          <w:ilvl w:val="0"/>
          <w:numId w:val="91"/>
        </w:numPr>
        <w:rPr>
          <w:rFonts w:ascii="Arial" w:cs="Arial" w:eastAsia="Arial" w:hAnsi="Arial"/>
          <w:sz w:val="19"/>
          <w:szCs w:val="19"/>
          <w:color w:val="auto"/>
        </w:rPr>
      </w:pPr>
      <w:r>
        <w:rPr>
          <w:rFonts w:ascii="Arial" w:cs="Arial" w:eastAsia="Arial" w:hAnsi="Arial"/>
          <w:sz w:val="19"/>
          <w:szCs w:val="19"/>
          <w:color w:val="auto"/>
        </w:rPr>
        <w:t>an additional 918,121 shares vest upon (1) a financing event with a price per share of $13.20, or (2) an average market price (determined over a consecutive 10-day period) of, $13.20 per share;</w:t>
      </w:r>
    </w:p>
    <w:p>
      <w:pPr>
        <w:spacing w:after="0" w:line="58" w:lineRule="exact"/>
        <w:rPr>
          <w:rFonts w:ascii="Arial" w:cs="Arial" w:eastAsia="Arial" w:hAnsi="Arial"/>
          <w:sz w:val="19"/>
          <w:szCs w:val="19"/>
          <w:color w:val="auto"/>
        </w:rPr>
      </w:pPr>
    </w:p>
    <w:p>
      <w:pPr>
        <w:ind w:left="980" w:right="460" w:hanging="491"/>
        <w:spacing w:after="0" w:line="281" w:lineRule="auto"/>
        <w:tabs>
          <w:tab w:leader="none" w:pos="980" w:val="left"/>
        </w:tabs>
        <w:numPr>
          <w:ilvl w:val="0"/>
          <w:numId w:val="91"/>
        </w:numPr>
        <w:rPr>
          <w:rFonts w:ascii="Arial" w:cs="Arial" w:eastAsia="Arial" w:hAnsi="Arial"/>
          <w:sz w:val="19"/>
          <w:szCs w:val="19"/>
          <w:color w:val="auto"/>
        </w:rPr>
      </w:pPr>
      <w:r>
        <w:rPr>
          <w:rFonts w:ascii="Arial" w:cs="Arial" w:eastAsia="Arial" w:hAnsi="Arial"/>
          <w:sz w:val="19"/>
          <w:szCs w:val="19"/>
          <w:color w:val="auto"/>
        </w:rPr>
        <w:t>an additional 918,121 shares vest upon (1) a financing event with a per share price of $13.94, or (2) an average market price (determined over a consecutive 10-day period) of, $13.94 per share; and</w:t>
      </w:r>
    </w:p>
    <w:p>
      <w:pPr>
        <w:spacing w:after="0" w:line="58" w:lineRule="exact"/>
        <w:rPr>
          <w:rFonts w:ascii="Arial" w:cs="Arial" w:eastAsia="Arial" w:hAnsi="Arial"/>
          <w:sz w:val="19"/>
          <w:szCs w:val="19"/>
          <w:color w:val="auto"/>
        </w:rPr>
      </w:pPr>
    </w:p>
    <w:p>
      <w:pPr>
        <w:ind w:left="980" w:right="460" w:hanging="491"/>
        <w:spacing w:after="0" w:line="281" w:lineRule="auto"/>
        <w:tabs>
          <w:tab w:leader="none" w:pos="980" w:val="left"/>
        </w:tabs>
        <w:numPr>
          <w:ilvl w:val="0"/>
          <w:numId w:val="91"/>
        </w:numPr>
        <w:rPr>
          <w:rFonts w:ascii="Arial" w:cs="Arial" w:eastAsia="Arial" w:hAnsi="Arial"/>
          <w:sz w:val="19"/>
          <w:szCs w:val="19"/>
          <w:color w:val="auto"/>
        </w:rPr>
      </w:pPr>
      <w:r>
        <w:rPr>
          <w:rFonts w:ascii="Arial" w:cs="Arial" w:eastAsia="Arial" w:hAnsi="Arial"/>
          <w:sz w:val="19"/>
          <w:szCs w:val="19"/>
          <w:color w:val="auto"/>
        </w:rPr>
        <w:t>an additional 918,121 shares vest upon (1) a financing event with a per share price of $14.68, or (2) an average market price (determined over a consecutive 10-day period) of, $14.68 per share.</w:t>
      </w:r>
    </w:p>
    <w:p>
      <w:pPr>
        <w:spacing w:after="0" w:line="85" w:lineRule="exact"/>
        <w:rPr>
          <w:sz w:val="20"/>
          <w:szCs w:val="20"/>
          <w:color w:val="auto"/>
        </w:rPr>
      </w:pPr>
    </w:p>
    <w:p>
      <w:pPr>
        <w:spacing w:after="0" w:line="246" w:lineRule="auto"/>
        <w:rPr>
          <w:sz w:val="20"/>
          <w:szCs w:val="20"/>
          <w:color w:val="auto"/>
        </w:rPr>
      </w:pPr>
      <w:r>
        <w:rPr>
          <w:rFonts w:ascii="Arial" w:cs="Arial" w:eastAsia="Arial" w:hAnsi="Arial"/>
          <w:sz w:val="19"/>
          <w:szCs w:val="19"/>
          <w:color w:val="auto"/>
        </w:rPr>
        <w:t>On June 24, 2021, the Company’s board of directors approved and on July 14, 2021 the stockholders approved, effective upon the closing of the IPO, an amendment to the terms of the Series B Warrants and the Conditional Series B Warrants to extend the expiration date from November 2023 to November 2025. In addition, the exercise period for the Conditional Series B Warrants was amended such that in the event the future financing milestones or certain share price targets described above are achieved, the Conditional Series B Warrants can only be exercised in conjunction with the sale of the Company, on a cash or cashless exercise basis, or otherwise in November 2025 through a cashless exercise.</w:t>
      </w:r>
    </w:p>
    <w:p>
      <w:pPr>
        <w:spacing w:after="0" w:line="122" w:lineRule="exact"/>
        <w:rPr>
          <w:sz w:val="20"/>
          <w:szCs w:val="20"/>
          <w:color w:val="auto"/>
        </w:rPr>
      </w:pPr>
    </w:p>
    <w:p>
      <w:pPr>
        <w:ind w:right="20"/>
        <w:spacing w:after="0" w:line="245" w:lineRule="auto"/>
        <w:rPr>
          <w:sz w:val="20"/>
          <w:szCs w:val="20"/>
          <w:color w:val="auto"/>
        </w:rPr>
      </w:pPr>
      <w:r>
        <w:rPr>
          <w:rFonts w:ascii="Arial" w:cs="Arial" w:eastAsia="Arial" w:hAnsi="Arial"/>
          <w:sz w:val="19"/>
          <w:szCs w:val="19"/>
          <w:color w:val="auto"/>
        </w:rPr>
        <w:t>The Company recorded the Series B Warrants as a component of stockholder’s equity at the time of issuance at their estimated fair value of $2.1 million and recorded the Conditional Series B Warrants as a liability on the consolidated balance sheet as the number of shares used to calculate the settlement is not a fixed number of shares. The Conditional Series B Warrants are remeasured to their fair value at each reporting date with changes in the fair value recognized as a component of other income (expense), net in the consolidated statements of operations. The Company will continue to recognize changes in the fair value of the Conditional Series B Warrants until each Conditional Series B Warrant is exercised, expires or qualifies for equity classification. The warrant liability fair value was $0.9 million and $1.9 million as of December 31, 2023 and 2022,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NC Ohio Trust Warrants</w:t>
      </w:r>
    </w:p>
    <w:p>
      <w:pPr>
        <w:spacing w:after="0" w:line="156" w:lineRule="exact"/>
        <w:rPr>
          <w:sz w:val="20"/>
          <w:szCs w:val="20"/>
          <w:color w:val="auto"/>
        </w:rPr>
      </w:pPr>
    </w:p>
    <w:p>
      <w:pPr>
        <w:spacing w:after="0" w:line="243" w:lineRule="auto"/>
        <w:rPr>
          <w:sz w:val="20"/>
          <w:szCs w:val="20"/>
          <w:color w:val="auto"/>
        </w:rPr>
      </w:pPr>
      <w:r>
        <w:rPr>
          <w:rFonts w:ascii="Arial" w:cs="Arial" w:eastAsia="Arial" w:hAnsi="Arial"/>
          <w:sz w:val="19"/>
          <w:szCs w:val="19"/>
          <w:color w:val="auto"/>
        </w:rPr>
        <w:t>On March 20, 2019, the Company established the NC Incorporated Ohio Trust, an irrevocable trust funded by the Company. The beneficiary in the trust agreement has provided past services to the Company for more than 15 years and is a non-employee. The warrant provides the beneficiary the right to purchase 162,740 shares of the Company’s common stock, $0.01 par value at an exercise price of $1.46 per share, subject to adjustments as specified in the warrant agreement. The Company recognizes the warrants as compensation expense within the consolidated statement of operations when the warrants are granted or at the service inception date if the service inception date precedes the grant date. In the period in which the grant date occurs, cumulative compensation cost shall be adjusted to reflect the cumulative effect of measuring compensation cost based on the fair value at the grant date rather than the fair value previously used at the service inception date or subsequent reporting dates. As of December 31, 2023 and 2022, a grant date was not established as there was not a mutual understanding of key terms. The Company remeasures the fair value of the award at each reporting date, as the service date preceded the grant date. The value of the warrants for 162,740 shares of common stock was $0.2 million as of both December 31, 2023 and 2022, and was recorded as stock compensation expense within research and development expense and a credit to stockholders’ equity in the consolidated financial statements.</w:t>
      </w:r>
    </w:p>
    <w:p>
      <w:pPr>
        <w:spacing w:after="0" w:line="118" w:lineRule="exact"/>
        <w:rPr>
          <w:sz w:val="20"/>
          <w:szCs w:val="20"/>
          <w:color w:val="auto"/>
        </w:rPr>
      </w:pPr>
    </w:p>
    <w:p>
      <w:pPr>
        <w:ind w:right="3880"/>
        <w:spacing w:after="0" w:line="417" w:lineRule="auto"/>
        <w:rPr>
          <w:sz w:val="20"/>
          <w:szCs w:val="20"/>
          <w:color w:val="auto"/>
        </w:rPr>
      </w:pPr>
      <w:r>
        <w:rPr>
          <w:rFonts w:ascii="Arial" w:cs="Arial" w:eastAsia="Arial" w:hAnsi="Arial"/>
          <w:sz w:val="19"/>
          <w:szCs w:val="19"/>
          <w:b w:val="1"/>
          <w:bCs w:val="1"/>
          <w:color w:val="auto"/>
        </w:rPr>
        <w:t xml:space="preserve">11. Stock Options, Restricted Stock and Stock-Based Compensation </w:t>
      </w:r>
      <w:r>
        <w:rPr>
          <w:rFonts w:ascii="Arial" w:cs="Arial" w:eastAsia="Arial" w:hAnsi="Arial"/>
          <w:sz w:val="19"/>
          <w:szCs w:val="19"/>
          <w:b w:val="1"/>
          <w:bCs w:val="1"/>
          <w:i w:val="1"/>
          <w:iCs w:val="1"/>
          <w:color w:val="auto"/>
        </w:rPr>
        <w:t>Equity Incentive Plans</w:t>
      </w:r>
    </w:p>
    <w:p>
      <w:pPr>
        <w:spacing w:after="0" w:line="2" w:lineRule="exact"/>
        <w:rPr>
          <w:sz w:val="20"/>
          <w:szCs w:val="20"/>
          <w:color w:val="auto"/>
        </w:rPr>
      </w:pPr>
    </w:p>
    <w:p>
      <w:pPr>
        <w:ind w:right="120"/>
        <w:spacing w:after="0" w:line="253" w:lineRule="auto"/>
        <w:rPr>
          <w:sz w:val="20"/>
          <w:szCs w:val="20"/>
          <w:color w:val="auto"/>
        </w:rPr>
      </w:pPr>
      <w:r>
        <w:rPr>
          <w:rFonts w:ascii="Arial" w:cs="Arial" w:eastAsia="Arial" w:hAnsi="Arial"/>
          <w:sz w:val="19"/>
          <w:szCs w:val="19"/>
          <w:color w:val="auto"/>
        </w:rPr>
        <w:t>The Company’s 2015 Stock Plan, as amended, (the 2015 Plan) provides for the Company to sell or issue common shares or restricted common stock, or to grant incentive stock options or nonqualified stock options for the purchase of common stock, to employees, members of the board of directors and consultants of the Company. The 2015 Plan is administered by the board of directors and exercise prices, vesting and other restrictions are determined at its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F-16</w:t>
      </w:r>
    </w:p>
    <w:p>
      <w:pPr>
        <w:sectPr>
          <w:pgSz w:w="12240" w:h="15840" w:orient="portrait"/>
          <w:cols w:equalWidth="0" w:num="1">
            <w:col w:w="10060"/>
          </w:cols>
          <w:pgMar w:left="1080" w:top="1062" w:right="1100" w:bottom="173" w:gutter="0" w:footer="0" w:header="0"/>
        </w:sectPr>
      </w:pPr>
    </w:p>
    <w:bookmarkStart w:id="139" w:name="page140"/>
    <w:bookmarkEnd w:id="139"/>
    <w:p>
      <w:pPr>
        <w:ind w:left="20" w:right="140"/>
        <w:spacing w:after="0" w:line="245" w:lineRule="auto"/>
        <w:rPr>
          <w:sz w:val="20"/>
          <w:szCs w:val="20"/>
          <w:color w:val="auto"/>
        </w:rPr>
      </w:pPr>
      <w:r>
        <w:rPr>
          <w:rFonts w:ascii="Arial" w:cs="Arial" w:eastAsia="Arial" w:hAnsi="Arial"/>
          <w:sz w:val="19"/>
          <w:szCs w:val="19"/>
          <w:color w:val="auto"/>
        </w:rPr>
        <w:t>discretion. All stock option grants are non-statutory stock options except option grants to employees intended to qualify as incentive stock options under the Internal Revenue Code of 1986, as amended. Incentive stock options may not be granted at less than the fair market value of the Company’s common stock on the date of grant, as determined in good faith by the board of directors at its sole discretion. Nonqualified stock options may be granted at an exercise price established by the board of directors at its sole discretion and the vesting periods may vary. Vesting periods are generally four years and are determined by the board of directors. Stock options become exercisable as they vest. Options granted under the 2015 Plan expire no more than ten years from the date of grant. As of December 31, 2023, there are no shares available for grants under the 2015 Plan and the 2015 Plan continues to govern the terms and conditions of the outstanding awards under the 2015 Plan.</w:t>
      </w:r>
    </w:p>
    <w:p>
      <w:pPr>
        <w:spacing w:after="0" w:line="119" w:lineRule="exact"/>
        <w:rPr>
          <w:sz w:val="20"/>
          <w:szCs w:val="20"/>
          <w:color w:val="auto"/>
        </w:rPr>
      </w:pPr>
    </w:p>
    <w:p>
      <w:pPr>
        <w:ind w:left="20" w:right="380"/>
        <w:spacing w:after="0" w:line="253" w:lineRule="auto"/>
        <w:rPr>
          <w:sz w:val="20"/>
          <w:szCs w:val="20"/>
          <w:color w:val="auto"/>
        </w:rPr>
      </w:pPr>
      <w:r>
        <w:rPr>
          <w:rFonts w:ascii="Arial" w:cs="Arial" w:eastAsia="Arial" w:hAnsi="Arial"/>
          <w:sz w:val="19"/>
          <w:szCs w:val="19"/>
          <w:color w:val="auto"/>
        </w:rPr>
        <w:t>On July 14, 2021, the Company’s 2021 Equity Incentive Plan (the 2021 Plan) was approved by the Company’s stockholders, and became effective upon completion of the IPO and serves as the successor to the 2015 Plan. 5,321,447 shares of common stock are reserved under the 2021 Plan, of which 252,053 shares remain available for future grants as of December 31, 2023.</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9"/>
          <w:szCs w:val="19"/>
          <w:b w:val="1"/>
          <w:bCs w:val="1"/>
          <w:i w:val="1"/>
          <w:iCs w:val="1"/>
          <w:color w:val="auto"/>
        </w:rPr>
        <w:t>Stock Options</w:t>
      </w:r>
    </w:p>
    <w:p>
      <w:pPr>
        <w:spacing w:after="0" w:line="156" w:lineRule="exact"/>
        <w:rPr>
          <w:sz w:val="20"/>
          <w:szCs w:val="20"/>
          <w:color w:val="auto"/>
        </w:rPr>
      </w:pPr>
    </w:p>
    <w:p>
      <w:pPr>
        <w:ind w:left="20"/>
        <w:spacing w:after="0"/>
        <w:rPr>
          <w:sz w:val="20"/>
          <w:szCs w:val="20"/>
          <w:color w:val="auto"/>
        </w:rPr>
      </w:pPr>
      <w:r>
        <w:rPr>
          <w:rFonts w:ascii="Arial" w:cs="Arial" w:eastAsia="Arial" w:hAnsi="Arial"/>
          <w:sz w:val="19"/>
          <w:szCs w:val="19"/>
          <w:color w:val="auto"/>
        </w:rPr>
        <w:t>Stock option activity is summarized as follows: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157480</wp:posOffset>
                </wp:positionV>
                <wp:extent cx="6437630"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76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12.4pt" to="506.45pt,12.4pt" o:allowincell="f" strokecolor="#000000" strokeweight="0.75pt"/>
            </w:pict>
          </mc:Fallback>
        </mc:AlternateConten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8"/>
              </w:rPr>
              <w:t>WEIGHTED-</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8"/>
              </w:rPr>
              <w:t>AVERAGE</w:t>
            </w:r>
          </w:p>
        </w:tc>
        <w:tc>
          <w:tcPr>
            <w:tcW w:w="200" w:type="dxa"/>
            <w:vAlign w:val="bottom"/>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Arial" w:cs="Arial" w:eastAsia="Arial" w:hAnsi="Arial"/>
                <w:sz w:val="16"/>
                <w:szCs w:val="16"/>
                <w:b w:val="1"/>
                <w:bCs w:val="1"/>
                <w:color w:val="auto"/>
              </w:rPr>
              <w:t>AGGREGATE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8"/>
              </w:rPr>
              <w:t>WEIGHTED-</w:t>
            </w:r>
          </w:p>
        </w:tc>
        <w:tc>
          <w:tcPr>
            <w:tcW w:w="18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8"/>
              </w:rPr>
              <w:t>REMAINING</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right="33"/>
              <w:spacing w:after="0"/>
              <w:rPr>
                <w:sz w:val="20"/>
                <w:szCs w:val="20"/>
                <w:color w:val="auto"/>
              </w:rPr>
            </w:pPr>
            <w:r>
              <w:rPr>
                <w:rFonts w:ascii="Arial" w:cs="Arial" w:eastAsia="Arial" w:hAnsi="Arial"/>
                <w:sz w:val="16"/>
                <w:szCs w:val="16"/>
                <w:b w:val="1"/>
                <w:bCs w:val="1"/>
                <w:color w:val="auto"/>
                <w:w w:val="99"/>
              </w:rPr>
              <w:t>INTRINSIC</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120" w:type="dxa"/>
            <w:vAlign w:val="bottom"/>
          </w:tcPr>
          <w:p>
            <w:pPr>
              <w:spacing w:after="0"/>
              <w:rPr>
                <w:sz w:val="15"/>
                <w:szCs w:val="15"/>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9"/>
              </w:rPr>
              <w:t>NUMBER OF</w:t>
            </w:r>
          </w:p>
        </w:tc>
        <w:tc>
          <w:tcPr>
            <w:tcW w:w="9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8"/>
              </w:rPr>
              <w:t>AVERAGE</w:t>
            </w:r>
          </w:p>
        </w:tc>
        <w:tc>
          <w:tcPr>
            <w:tcW w:w="18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9"/>
              </w:rPr>
              <w:t>CONTRACTUAL</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right="33"/>
              <w:spacing w:after="0"/>
              <w:rPr>
                <w:sz w:val="20"/>
                <w:szCs w:val="20"/>
                <w:color w:val="auto"/>
              </w:rPr>
            </w:pPr>
            <w:r>
              <w:rPr>
                <w:rFonts w:ascii="Arial" w:cs="Arial" w:eastAsia="Arial" w:hAnsi="Arial"/>
                <w:sz w:val="16"/>
                <w:szCs w:val="16"/>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120" w:type="dxa"/>
            <w:vAlign w:val="bottom"/>
          </w:tcPr>
          <w:p>
            <w:pPr>
              <w:spacing w:after="0"/>
              <w:rPr>
                <w:sz w:val="15"/>
                <w:szCs w:val="15"/>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9"/>
              </w:rPr>
              <w:t>STOCK</w:t>
            </w:r>
          </w:p>
        </w:tc>
        <w:tc>
          <w:tcPr>
            <w:tcW w:w="980" w:type="dxa"/>
            <w:vAlign w:val="bottom"/>
            <w:gridSpan w:val="2"/>
          </w:tcPr>
          <w:p>
            <w:pPr>
              <w:jc w:val="center"/>
              <w:spacing w:after="0"/>
              <w:rPr>
                <w:sz w:val="20"/>
                <w:szCs w:val="20"/>
                <w:color w:val="auto"/>
              </w:rPr>
            </w:pPr>
            <w:r>
              <w:rPr>
                <w:rFonts w:ascii="Arial" w:cs="Arial" w:eastAsia="Arial" w:hAnsi="Arial"/>
                <w:sz w:val="16"/>
                <w:szCs w:val="16"/>
                <w:b w:val="1"/>
                <w:bCs w:val="1"/>
                <w:color w:val="auto"/>
              </w:rPr>
              <w:t>EXERCISE</w:t>
            </w:r>
          </w:p>
        </w:tc>
        <w:tc>
          <w:tcPr>
            <w:tcW w:w="18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8"/>
              </w:rPr>
              <w:t>TERM (IN</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right="33"/>
              <w:spacing w:after="0"/>
              <w:rPr>
                <w:sz w:val="20"/>
                <w:szCs w:val="20"/>
                <w:color w:val="auto"/>
              </w:rPr>
            </w:pPr>
            <w:r>
              <w:rPr>
                <w:rFonts w:ascii="Arial" w:cs="Arial" w:eastAsia="Arial" w:hAnsi="Arial"/>
                <w:sz w:val="16"/>
                <w:szCs w:val="16"/>
                <w:b w:val="1"/>
                <w:bCs w:val="1"/>
                <w:color w:val="auto"/>
                <w:w w:val="93"/>
              </w:rPr>
              <w:t>(IN</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20" w:type="dxa"/>
            <w:vAlign w:val="bottom"/>
            <w:vMerge w:val="restart"/>
          </w:tcPr>
          <w:p>
            <w:pPr>
              <w:ind w:left="20"/>
              <w:spacing w:after="0"/>
              <w:rPr>
                <w:sz w:val="20"/>
                <w:szCs w:val="20"/>
                <w:color w:val="auto"/>
              </w:rPr>
            </w:pPr>
            <w:r>
              <w:rPr>
                <w:rFonts w:ascii="Arial" w:cs="Arial" w:eastAsia="Arial" w:hAnsi="Arial"/>
                <w:sz w:val="19"/>
                <w:szCs w:val="19"/>
                <w:color w:val="auto"/>
              </w:rPr>
              <w:t>Outstanding as of December 31, 2022</w:t>
            </w:r>
          </w:p>
        </w:tc>
        <w:tc>
          <w:tcPr>
            <w:tcW w:w="12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9"/>
              </w:rPr>
              <w:t>OPTIONS</w:t>
            </w:r>
          </w:p>
        </w:tc>
        <w:tc>
          <w:tcPr>
            <w:tcW w:w="180" w:type="dxa"/>
            <w:vAlign w:val="bottom"/>
          </w:tcPr>
          <w:p>
            <w:pPr>
              <w:spacing w:after="0"/>
              <w:rPr>
                <w:sz w:val="17"/>
                <w:szCs w:val="17"/>
                <w:color w:val="auto"/>
              </w:rPr>
            </w:pPr>
          </w:p>
        </w:tc>
        <w:tc>
          <w:tcPr>
            <w:tcW w:w="800" w:type="dxa"/>
            <w:vAlign w:val="bottom"/>
          </w:tcPr>
          <w:p>
            <w:pPr>
              <w:jc w:val="center"/>
              <w:ind w:right="87"/>
              <w:spacing w:after="0"/>
              <w:rPr>
                <w:sz w:val="20"/>
                <w:szCs w:val="20"/>
                <w:color w:val="auto"/>
              </w:rPr>
            </w:pPr>
            <w:r>
              <w:rPr>
                <w:rFonts w:ascii="Arial" w:cs="Arial" w:eastAsia="Arial" w:hAnsi="Arial"/>
                <w:sz w:val="16"/>
                <w:szCs w:val="16"/>
                <w:b w:val="1"/>
                <w:bCs w:val="1"/>
                <w:color w:val="auto"/>
              </w:rPr>
              <w:t>PRICE</w:t>
            </w:r>
          </w:p>
        </w:tc>
        <w:tc>
          <w:tcPr>
            <w:tcW w:w="18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rPr>
              <w:t>YEARS)</w:t>
            </w:r>
          </w:p>
        </w:tc>
        <w:tc>
          <w:tcPr>
            <w:tcW w:w="200" w:type="dxa"/>
            <w:vAlign w:val="bottom"/>
          </w:tcPr>
          <w:p>
            <w:pPr>
              <w:spacing w:after="0"/>
              <w:rPr>
                <w:sz w:val="17"/>
                <w:szCs w:val="17"/>
                <w:color w:val="auto"/>
              </w:rPr>
            </w:pPr>
          </w:p>
        </w:tc>
        <w:tc>
          <w:tcPr>
            <w:tcW w:w="1080" w:type="dxa"/>
            <w:vAlign w:val="bottom"/>
            <w:gridSpan w:val="2"/>
          </w:tcPr>
          <w:p>
            <w:pPr>
              <w:spacing w:after="0"/>
              <w:rPr>
                <w:sz w:val="20"/>
                <w:szCs w:val="20"/>
                <w:color w:val="auto"/>
              </w:rPr>
            </w:pPr>
            <w:r>
              <w:rPr>
                <w:rFonts w:ascii="Arial" w:cs="Arial" w:eastAsia="Arial" w:hAnsi="Arial"/>
                <w:sz w:val="16"/>
                <w:szCs w:val="16"/>
                <w:b w:val="1"/>
                <w:bCs w:val="1"/>
                <w:color w:val="auto"/>
                <w:w w:val="99"/>
              </w:rPr>
              <w:t>THOUSANDS)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120" w:type="dxa"/>
            <w:vAlign w:val="bottom"/>
            <w:vMerge w:val="continue"/>
          </w:tcPr>
          <w:p>
            <w:pPr>
              <w:spacing w:after="0"/>
              <w:rPr>
                <w:sz w:val="16"/>
                <w:szCs w:val="16"/>
                <w:color w:val="auto"/>
              </w:rPr>
            </w:pPr>
          </w:p>
        </w:tc>
        <w:tc>
          <w:tcPr>
            <w:tcW w:w="104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9"/>
                <w:szCs w:val="19"/>
                <w:color w:val="auto"/>
              </w:rPr>
              <w:t>5,645,420</w:t>
            </w:r>
          </w:p>
        </w:tc>
        <w:tc>
          <w:tcPr>
            <w:tcW w:w="200" w:type="dxa"/>
            <w:vAlign w:val="bottom"/>
          </w:tcPr>
          <w:p>
            <w:pPr>
              <w:spacing w:after="0"/>
              <w:rPr>
                <w:sz w:val="16"/>
                <w:szCs w:val="16"/>
                <w:color w:val="auto"/>
              </w:rPr>
            </w:pPr>
          </w:p>
        </w:tc>
        <w:tc>
          <w:tcPr>
            <w:tcW w:w="18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9"/>
                <w:szCs w:val="19"/>
                <w:color w:val="auto"/>
                <w:w w:val="75"/>
              </w:rPr>
              <w:t>$</w:t>
            </w:r>
          </w:p>
        </w:tc>
        <w:tc>
          <w:tcPr>
            <w:tcW w:w="8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9"/>
                <w:szCs w:val="19"/>
                <w:color w:val="auto"/>
              </w:rPr>
              <w:t>2.77</w:t>
            </w:r>
          </w:p>
        </w:tc>
        <w:tc>
          <w:tcPr>
            <w:tcW w:w="180" w:type="dxa"/>
            <w:vAlign w:val="bottom"/>
          </w:tcPr>
          <w:p>
            <w:pPr>
              <w:spacing w:after="0"/>
              <w:rPr>
                <w:sz w:val="16"/>
                <w:szCs w:val="16"/>
                <w:color w:val="auto"/>
              </w:rPr>
            </w:pPr>
          </w:p>
        </w:tc>
        <w:tc>
          <w:tcPr>
            <w:tcW w:w="122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9"/>
                <w:szCs w:val="19"/>
                <w:color w:val="auto"/>
              </w:rPr>
              <w:t>7.73</w:t>
            </w: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120" w:type="dxa"/>
            <w:vAlign w:val="bottom"/>
          </w:tcPr>
          <w:p>
            <w:pPr>
              <w:ind w:left="20"/>
              <w:spacing w:after="0"/>
              <w:rPr>
                <w:sz w:val="20"/>
                <w:szCs w:val="20"/>
                <w:color w:val="auto"/>
              </w:rPr>
            </w:pPr>
            <w:r>
              <w:rPr>
                <w:rFonts w:ascii="Arial" w:cs="Arial" w:eastAsia="Arial" w:hAnsi="Arial"/>
                <w:sz w:val="19"/>
                <w:szCs w:val="19"/>
                <w:color w:val="auto"/>
              </w:rPr>
              <w:t>Granted</w:t>
            </w:r>
          </w:p>
        </w:tc>
        <w:tc>
          <w:tcPr>
            <w:tcW w:w="1040" w:type="dxa"/>
            <w:vAlign w:val="bottom"/>
          </w:tcPr>
          <w:p>
            <w:pPr>
              <w:jc w:val="right"/>
              <w:spacing w:after="0"/>
              <w:rPr>
                <w:sz w:val="20"/>
                <w:szCs w:val="20"/>
                <w:color w:val="auto"/>
              </w:rPr>
            </w:pPr>
            <w:r>
              <w:rPr>
                <w:rFonts w:ascii="Arial" w:cs="Arial" w:eastAsia="Arial" w:hAnsi="Arial"/>
                <w:sz w:val="19"/>
                <w:szCs w:val="19"/>
                <w:color w:val="auto"/>
              </w:rPr>
              <w:t>1,313,203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1.30</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120" w:type="dxa"/>
            <w:vAlign w:val="bottom"/>
          </w:tcPr>
          <w:p>
            <w:pPr>
              <w:ind w:left="20"/>
              <w:spacing w:after="0"/>
              <w:rPr>
                <w:sz w:val="20"/>
                <w:szCs w:val="20"/>
                <w:color w:val="auto"/>
              </w:rPr>
            </w:pPr>
            <w:r>
              <w:rPr>
                <w:rFonts w:ascii="Arial" w:cs="Arial" w:eastAsia="Arial" w:hAnsi="Arial"/>
                <w:sz w:val="19"/>
                <w:szCs w:val="19"/>
                <w:color w:val="auto"/>
              </w:rPr>
              <w:t>Exercised</w:t>
            </w:r>
          </w:p>
        </w:tc>
        <w:tc>
          <w:tcPr>
            <w:tcW w:w="1240" w:type="dxa"/>
            <w:vAlign w:val="bottom"/>
            <w:gridSpan w:val="2"/>
          </w:tcPr>
          <w:p>
            <w:pPr>
              <w:jc w:val="right"/>
              <w:ind w:right="200"/>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120" w:type="dxa"/>
            <w:vAlign w:val="bottom"/>
          </w:tcPr>
          <w:p>
            <w:pPr>
              <w:ind w:left="20"/>
              <w:spacing w:after="0"/>
              <w:rPr>
                <w:sz w:val="20"/>
                <w:szCs w:val="20"/>
                <w:color w:val="auto"/>
              </w:rPr>
            </w:pPr>
            <w:r>
              <w:rPr>
                <w:rFonts w:ascii="Arial" w:cs="Arial" w:eastAsia="Arial" w:hAnsi="Arial"/>
                <w:sz w:val="19"/>
                <w:szCs w:val="19"/>
                <w:color w:val="auto"/>
              </w:rPr>
              <w:t>Cancelled, forfeited or expired</w:t>
            </w:r>
          </w:p>
        </w:tc>
        <w:tc>
          <w:tcPr>
            <w:tcW w:w="1240" w:type="dxa"/>
            <w:vAlign w:val="bottom"/>
            <w:gridSpan w:val="2"/>
          </w:tcPr>
          <w:p>
            <w:pPr>
              <w:jc w:val="right"/>
              <w:ind w:right="140"/>
              <w:spacing w:after="0"/>
              <w:rPr>
                <w:sz w:val="20"/>
                <w:szCs w:val="20"/>
                <w:color w:val="auto"/>
              </w:rPr>
            </w:pPr>
            <w:r>
              <w:rPr>
                <w:rFonts w:ascii="Arial" w:cs="Arial" w:eastAsia="Arial" w:hAnsi="Arial"/>
                <w:sz w:val="19"/>
                <w:szCs w:val="19"/>
                <w:color w:val="auto"/>
              </w:rPr>
              <w:t>(1,292,002)</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2.60</w:t>
            </w: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120" w:type="dxa"/>
            <w:vAlign w:val="bottom"/>
          </w:tcPr>
          <w:p>
            <w:pPr>
              <w:ind w:left="20"/>
              <w:spacing w:after="0" w:line="209" w:lineRule="exact"/>
              <w:rPr>
                <w:sz w:val="20"/>
                <w:szCs w:val="20"/>
                <w:color w:val="auto"/>
              </w:rPr>
            </w:pPr>
            <w:r>
              <w:rPr>
                <w:rFonts w:ascii="Arial" w:cs="Arial" w:eastAsia="Arial" w:hAnsi="Arial"/>
                <w:sz w:val="19"/>
                <w:szCs w:val="19"/>
                <w:color w:val="auto"/>
              </w:rPr>
              <w:t>Outstanding as of December 31, 2023</w:t>
            </w:r>
          </w:p>
        </w:tc>
        <w:tc>
          <w:tcPr>
            <w:tcW w:w="104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5,666,621</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19"/>
                <w:szCs w:val="19"/>
                <w:color w:val="auto"/>
                <w:w w:val="75"/>
              </w:rPr>
              <w:t>$</w:t>
            </w:r>
          </w:p>
        </w:tc>
        <w:tc>
          <w:tcPr>
            <w:tcW w:w="80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2.47</w:t>
            </w:r>
          </w:p>
        </w:tc>
        <w:tc>
          <w:tcPr>
            <w:tcW w:w="18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6.61</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line="209" w:lineRule="exact"/>
              <w:rPr>
                <w:sz w:val="20"/>
                <w:szCs w:val="20"/>
                <w:color w:val="auto"/>
              </w:rPr>
            </w:pPr>
            <w:r>
              <w:rPr>
                <w:rFonts w:ascii="Arial" w:cs="Arial" w:eastAsia="Arial" w:hAnsi="Arial"/>
                <w:sz w:val="19"/>
                <w:szCs w:val="19"/>
                <w:color w:val="auto"/>
                <w:w w:val="94"/>
              </w:rPr>
              <w:t>$</w:t>
            </w:r>
          </w:p>
        </w:tc>
        <w:tc>
          <w:tcPr>
            <w:tcW w:w="96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199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ind w:left="20"/>
              <w:spacing w:after="0"/>
              <w:rPr>
                <w:sz w:val="20"/>
                <w:szCs w:val="20"/>
                <w:color w:val="auto"/>
              </w:rPr>
            </w:pPr>
            <w:r>
              <w:rPr>
                <w:rFonts w:ascii="Arial" w:cs="Arial" w:eastAsia="Arial" w:hAnsi="Arial"/>
                <w:sz w:val="19"/>
                <w:szCs w:val="19"/>
                <w:color w:val="auto"/>
              </w:rPr>
              <w:t>Exercisable as of December 31, 2023</w:t>
            </w: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20" w:type="dxa"/>
            <w:vAlign w:val="bottom"/>
            <w:vMerge w:val="continue"/>
          </w:tcPr>
          <w:p>
            <w:pPr>
              <w:spacing w:after="0"/>
              <w:rPr>
                <w:sz w:val="17"/>
                <w:szCs w:val="17"/>
                <w:color w:val="auto"/>
              </w:rPr>
            </w:pPr>
          </w:p>
        </w:tc>
        <w:tc>
          <w:tcPr>
            <w:tcW w:w="104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9"/>
                <w:szCs w:val="19"/>
                <w:color w:val="auto"/>
              </w:rPr>
              <w:t>3,656,582</w:t>
            </w:r>
          </w:p>
        </w:tc>
        <w:tc>
          <w:tcPr>
            <w:tcW w:w="2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9"/>
                <w:szCs w:val="19"/>
                <w:color w:val="auto"/>
                <w:w w:val="75"/>
              </w:rPr>
              <w:t>$</w:t>
            </w:r>
          </w:p>
        </w:tc>
        <w:tc>
          <w:tcPr>
            <w:tcW w:w="80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9"/>
                <w:szCs w:val="19"/>
                <w:color w:val="auto"/>
              </w:rPr>
              <w:t>2.49</w:t>
            </w:r>
          </w:p>
        </w:tc>
        <w:tc>
          <w:tcPr>
            <w:tcW w:w="180" w:type="dxa"/>
            <w:vAlign w:val="bottom"/>
            <w:vMerge w:val="continue"/>
          </w:tcPr>
          <w:p>
            <w:pPr>
              <w:spacing w:after="0"/>
              <w:rPr>
                <w:sz w:val="17"/>
                <w:szCs w:val="17"/>
                <w:color w:val="auto"/>
              </w:rPr>
            </w:pPr>
          </w:p>
        </w:tc>
        <w:tc>
          <w:tcPr>
            <w:tcW w:w="122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9"/>
                <w:szCs w:val="19"/>
                <w:color w:val="auto"/>
              </w:rPr>
              <w:t>5.55</w:t>
            </w:r>
          </w:p>
        </w:tc>
        <w:tc>
          <w:tcPr>
            <w:tcW w:w="20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line="204" w:lineRule="exact"/>
              <w:rPr>
                <w:sz w:val="20"/>
                <w:szCs w:val="20"/>
                <w:color w:val="auto"/>
              </w:rPr>
            </w:pPr>
            <w:r>
              <w:rPr>
                <w:rFonts w:ascii="Arial" w:cs="Arial" w:eastAsia="Arial" w:hAnsi="Arial"/>
                <w:sz w:val="19"/>
                <w:szCs w:val="19"/>
                <w:color w:val="auto"/>
                <w:w w:val="94"/>
              </w:rPr>
              <w:t>$</w:t>
            </w:r>
          </w:p>
        </w:tc>
        <w:tc>
          <w:tcPr>
            <w:tcW w:w="96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9"/>
                <w:szCs w:val="19"/>
                <w:color w:val="auto"/>
              </w:rPr>
              <w:t>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ind w:left="20"/>
              <w:spacing w:after="0"/>
              <w:rPr>
                <w:sz w:val="20"/>
                <w:szCs w:val="20"/>
                <w:color w:val="auto"/>
              </w:rPr>
            </w:pPr>
            <w:r>
              <w:rPr>
                <w:rFonts w:ascii="Arial" w:cs="Arial" w:eastAsia="Arial" w:hAnsi="Arial"/>
                <w:sz w:val="19"/>
                <w:szCs w:val="19"/>
                <w:color w:val="auto"/>
              </w:rPr>
              <w:t>Unvested as of December 31, 2023</w:t>
            </w: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20" w:type="dxa"/>
            <w:vAlign w:val="bottom"/>
            <w:vMerge w:val="continue"/>
          </w:tcPr>
          <w:p>
            <w:pPr>
              <w:spacing w:after="0"/>
              <w:rPr>
                <w:sz w:val="17"/>
                <w:szCs w:val="17"/>
                <w:color w:val="auto"/>
              </w:rPr>
            </w:pPr>
          </w:p>
        </w:tc>
        <w:tc>
          <w:tcPr>
            <w:tcW w:w="104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9"/>
                <w:szCs w:val="19"/>
                <w:color w:val="auto"/>
              </w:rPr>
              <w:t>2,010,039</w:t>
            </w:r>
          </w:p>
        </w:tc>
        <w:tc>
          <w:tcPr>
            <w:tcW w:w="2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9"/>
                <w:szCs w:val="19"/>
                <w:color w:val="auto"/>
                <w:w w:val="75"/>
              </w:rPr>
              <w:t>$</w:t>
            </w:r>
          </w:p>
        </w:tc>
        <w:tc>
          <w:tcPr>
            <w:tcW w:w="80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9"/>
                <w:szCs w:val="19"/>
                <w:color w:val="auto"/>
              </w:rPr>
              <w:t>2.44</w:t>
            </w:r>
          </w:p>
        </w:tc>
        <w:tc>
          <w:tcPr>
            <w:tcW w:w="180" w:type="dxa"/>
            <w:vAlign w:val="bottom"/>
            <w:vMerge w:val="continue"/>
          </w:tcPr>
          <w:p>
            <w:pPr>
              <w:spacing w:after="0"/>
              <w:rPr>
                <w:sz w:val="17"/>
                <w:szCs w:val="17"/>
                <w:color w:val="auto"/>
              </w:rPr>
            </w:pPr>
          </w:p>
        </w:tc>
        <w:tc>
          <w:tcPr>
            <w:tcW w:w="122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9"/>
                <w:szCs w:val="19"/>
                <w:color w:val="auto"/>
              </w:rPr>
              <w:t>8.54</w:t>
            </w:r>
          </w:p>
        </w:tc>
        <w:tc>
          <w:tcPr>
            <w:tcW w:w="20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line="204" w:lineRule="exact"/>
              <w:rPr>
                <w:sz w:val="20"/>
                <w:szCs w:val="20"/>
                <w:color w:val="auto"/>
              </w:rPr>
            </w:pPr>
            <w:r>
              <w:rPr>
                <w:rFonts w:ascii="Arial" w:cs="Arial" w:eastAsia="Arial" w:hAnsi="Arial"/>
                <w:sz w:val="19"/>
                <w:szCs w:val="19"/>
                <w:color w:val="auto"/>
                <w:w w:val="94"/>
              </w:rPr>
              <w:t>$</w:t>
            </w:r>
          </w:p>
        </w:tc>
        <w:tc>
          <w:tcPr>
            <w:tcW w:w="96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9"/>
                <w:szCs w:val="19"/>
                <w:color w:val="auto"/>
              </w:rPr>
              <w:t>173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1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-1176020</wp:posOffset>
            </wp:positionV>
            <wp:extent cx="6438900" cy="10788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35">
                      <a:extLst>
                        <a:ext uri="{28A0092B-C50C-407E-A947-70E740481C1C}"/>
                      </a:extLst>
                    </a:blip>
                    <a:srcRect/>
                    <a:stretch>
                      <a:fillRect/>
                    </a:stretch>
                  </pic:blipFill>
                  <pic:spPr bwMode="auto">
                    <a:xfrm>
                      <a:off x="0" y="0"/>
                      <a:ext cx="6438900" cy="1078865"/>
                    </a:xfrm>
                    <a:prstGeom prst="rect">
                      <a:avLst/>
                    </a:prstGeom>
                    <a:noFill/>
                  </pic:spPr>
                </pic:pic>
              </a:graphicData>
            </a:graphic>
          </wp:anchor>
        </w:drawing>
      </w:r>
    </w:p>
    <w:p>
      <w:pPr>
        <w:spacing w:after="0" w:line="122" w:lineRule="exact"/>
        <w:rPr>
          <w:sz w:val="20"/>
          <w:szCs w:val="20"/>
          <w:color w:val="auto"/>
        </w:rPr>
      </w:pPr>
    </w:p>
    <w:p>
      <w:pPr>
        <w:ind w:left="20" w:right="40"/>
        <w:spacing w:after="0" w:line="248" w:lineRule="auto"/>
        <w:rPr>
          <w:sz w:val="20"/>
          <w:szCs w:val="20"/>
          <w:color w:val="auto"/>
        </w:rPr>
      </w:pPr>
      <w:r>
        <w:rPr>
          <w:rFonts w:ascii="Arial" w:cs="Arial" w:eastAsia="Arial" w:hAnsi="Arial"/>
          <w:sz w:val="19"/>
          <w:szCs w:val="19"/>
          <w:color w:val="auto"/>
        </w:rPr>
        <w:t>The 2015 Plan permits participants to use common stock they previously acquired to pay for the exercise of stock options based upon the fair value on the date of exercise. In connection with the exercise of a stock options to purchase 306,518 shares of our common stock at an exercise price of $1.46, option holders tendered 122,608 shares of our common stock previously acquired in consideration of the full aggregate exercise price in accordance with the terms of the option and the 2015 Plan. The shares tendered are recorded as treasury stock within the Company's consolidated financial statements at December 31, 2023.</w:t>
      </w:r>
    </w:p>
    <w:p>
      <w:pPr>
        <w:spacing w:after="0" w:line="116" w:lineRule="exact"/>
        <w:rPr>
          <w:sz w:val="20"/>
          <w:szCs w:val="20"/>
          <w:color w:val="auto"/>
        </w:rPr>
      </w:pPr>
    </w:p>
    <w:p>
      <w:pPr>
        <w:ind w:left="20" w:right="280"/>
        <w:spacing w:after="0" w:line="281" w:lineRule="auto"/>
        <w:rPr>
          <w:sz w:val="20"/>
          <w:szCs w:val="20"/>
          <w:color w:val="auto"/>
        </w:rPr>
      </w:pPr>
      <w:r>
        <w:rPr>
          <w:rFonts w:ascii="Arial" w:cs="Arial" w:eastAsia="Arial" w:hAnsi="Arial"/>
          <w:sz w:val="19"/>
          <w:szCs w:val="19"/>
          <w:color w:val="auto"/>
        </w:rPr>
        <w:t>The fair value of stock options granted was estimated on the grant date using the Black-Scholes option pricing model based on the following assumptions: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44450</wp:posOffset>
                </wp:positionV>
                <wp:extent cx="6437630"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76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3.5pt" to="506.45pt,3.5pt" o:allowincell="f" strokecolor="#000000" strokeweight="0.75pt"/>
            </w:pict>
          </mc:Fallback>
        </mc:AlternateConten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20" w:type="dxa"/>
            <w:vAlign w:val="bottom"/>
          </w:tcPr>
          <w:p>
            <w:pPr>
              <w:spacing w:after="0"/>
              <w:rPr>
                <w:sz w:val="17"/>
                <w:szCs w:val="17"/>
                <w:color w:val="auto"/>
              </w:rPr>
            </w:pPr>
          </w:p>
        </w:tc>
        <w:tc>
          <w:tcPr>
            <w:tcW w:w="4400" w:type="dxa"/>
            <w:vAlign w:val="bottom"/>
            <w:gridSpan w:val="4"/>
          </w:tcPr>
          <w:p>
            <w:pPr>
              <w:jc w:val="right"/>
              <w:ind w:right="1160"/>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174"/>
        </w:trPr>
        <w:tc>
          <w:tcPr>
            <w:tcW w:w="5720" w:type="dxa"/>
            <w:vAlign w:val="bottom"/>
            <w:vMerge w:val="restart"/>
          </w:tcPr>
          <w:p>
            <w:pPr>
              <w:ind w:left="20"/>
              <w:spacing w:after="0"/>
              <w:rPr>
                <w:sz w:val="20"/>
                <w:szCs w:val="20"/>
                <w:color w:val="auto"/>
              </w:rPr>
            </w:pPr>
            <w:r>
              <w:rPr>
                <w:rFonts w:ascii="Arial" w:cs="Arial" w:eastAsia="Arial" w:hAnsi="Arial"/>
                <w:sz w:val="19"/>
                <w:szCs w:val="19"/>
                <w:color w:val="auto"/>
              </w:rPr>
              <w:t>Expected option life (years)</w:t>
            </w:r>
          </w:p>
        </w:tc>
        <w:tc>
          <w:tcPr>
            <w:tcW w:w="1940" w:type="dxa"/>
            <w:vAlign w:val="bottom"/>
            <w:tcBorders>
              <w:top w:val="single" w:sz="8" w:color="auto"/>
              <w:bottom w:val="single" w:sz="8" w:color="auto"/>
            </w:tcBorders>
          </w:tcPr>
          <w:p>
            <w:pPr>
              <w:jc w:val="right"/>
              <w:ind w:right="710"/>
              <w:spacing w:after="0" w:line="174" w:lineRule="exact"/>
              <w:rPr>
                <w:sz w:val="20"/>
                <w:szCs w:val="20"/>
                <w:color w:val="auto"/>
              </w:rPr>
            </w:pPr>
            <w:r>
              <w:rPr>
                <w:rFonts w:ascii="Arial" w:cs="Arial" w:eastAsia="Arial" w:hAnsi="Arial"/>
                <w:sz w:val="16"/>
                <w:szCs w:val="16"/>
                <w:b w:val="1"/>
                <w:bCs w:val="1"/>
                <w:color w:val="auto"/>
              </w:rPr>
              <w:t>2023</w:t>
            </w:r>
          </w:p>
        </w:tc>
        <w:tc>
          <w:tcPr>
            <w:tcW w:w="320" w:type="dxa"/>
            <w:vAlign w:val="bottom"/>
            <w:tcBorders>
              <w:top w:val="single" w:sz="8" w:color="auto"/>
            </w:tcBorders>
          </w:tcPr>
          <w:p>
            <w:pPr>
              <w:spacing w:after="0"/>
              <w:rPr>
                <w:sz w:val="15"/>
                <w:szCs w:val="15"/>
                <w:color w:val="auto"/>
              </w:rPr>
            </w:pPr>
          </w:p>
        </w:tc>
        <w:tc>
          <w:tcPr>
            <w:tcW w:w="1940" w:type="dxa"/>
            <w:vAlign w:val="bottom"/>
            <w:tcBorders>
              <w:top w:val="single" w:sz="8" w:color="auto"/>
              <w:bottom w:val="single" w:sz="8" w:color="auto"/>
            </w:tcBorders>
          </w:tcPr>
          <w:p>
            <w:pPr>
              <w:jc w:val="right"/>
              <w:ind w:right="708"/>
              <w:spacing w:after="0" w:line="174" w:lineRule="exact"/>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720" w:type="dxa"/>
            <w:vAlign w:val="bottom"/>
            <w:vMerge w:val="continue"/>
          </w:tcPr>
          <w:p>
            <w:pPr>
              <w:spacing w:after="0"/>
              <w:rPr>
                <w:sz w:val="16"/>
                <w:szCs w:val="16"/>
                <w:color w:val="auto"/>
              </w:rPr>
            </w:pPr>
          </w:p>
        </w:tc>
        <w:tc>
          <w:tcPr>
            <w:tcW w:w="1940" w:type="dxa"/>
            <w:vAlign w:val="bottom"/>
          </w:tcPr>
          <w:p>
            <w:pPr>
              <w:jc w:val="right"/>
              <w:spacing w:after="0" w:line="191" w:lineRule="exact"/>
              <w:rPr>
                <w:sz w:val="20"/>
                <w:szCs w:val="20"/>
                <w:color w:val="auto"/>
              </w:rPr>
            </w:pPr>
            <w:r>
              <w:rPr>
                <w:rFonts w:ascii="Arial" w:cs="Arial" w:eastAsia="Arial" w:hAnsi="Arial"/>
                <w:sz w:val="19"/>
                <w:szCs w:val="19"/>
                <w:color w:val="auto"/>
              </w:rPr>
              <w:t>5.48 - 6.08</w:t>
            </w:r>
          </w:p>
        </w:tc>
        <w:tc>
          <w:tcPr>
            <w:tcW w:w="320" w:type="dxa"/>
            <w:vAlign w:val="bottom"/>
          </w:tcPr>
          <w:p>
            <w:pPr>
              <w:spacing w:after="0"/>
              <w:rPr>
                <w:sz w:val="16"/>
                <w:szCs w:val="16"/>
                <w:color w:val="auto"/>
              </w:rPr>
            </w:pPr>
          </w:p>
        </w:tc>
        <w:tc>
          <w:tcPr>
            <w:tcW w:w="1940" w:type="dxa"/>
            <w:vAlign w:val="bottom"/>
          </w:tcPr>
          <w:p>
            <w:pPr>
              <w:jc w:val="right"/>
              <w:spacing w:after="0" w:line="191" w:lineRule="exact"/>
              <w:rPr>
                <w:sz w:val="20"/>
                <w:szCs w:val="20"/>
                <w:color w:val="auto"/>
              </w:rPr>
            </w:pPr>
            <w:r>
              <w:rPr>
                <w:rFonts w:ascii="Arial" w:cs="Arial" w:eastAsia="Arial" w:hAnsi="Arial"/>
                <w:sz w:val="19"/>
                <w:szCs w:val="19"/>
                <w:color w:val="auto"/>
              </w:rPr>
              <w:t>5.33 - 6.08</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720" w:type="dxa"/>
            <w:vAlign w:val="bottom"/>
          </w:tcPr>
          <w:p>
            <w:pPr>
              <w:ind w:left="20"/>
              <w:spacing w:after="0"/>
              <w:rPr>
                <w:sz w:val="20"/>
                <w:szCs w:val="20"/>
                <w:color w:val="auto"/>
              </w:rPr>
            </w:pPr>
            <w:r>
              <w:rPr>
                <w:rFonts w:ascii="Arial" w:cs="Arial" w:eastAsia="Arial" w:hAnsi="Arial"/>
                <w:sz w:val="19"/>
                <w:szCs w:val="19"/>
                <w:color w:val="auto"/>
              </w:rPr>
              <w:t>Risk-free interest rate</w:t>
            </w:r>
          </w:p>
        </w:tc>
        <w:tc>
          <w:tcPr>
            <w:tcW w:w="1940" w:type="dxa"/>
            <w:vAlign w:val="bottom"/>
          </w:tcPr>
          <w:p>
            <w:pPr>
              <w:jc w:val="right"/>
              <w:spacing w:after="0"/>
              <w:rPr>
                <w:sz w:val="20"/>
                <w:szCs w:val="20"/>
                <w:color w:val="auto"/>
              </w:rPr>
            </w:pPr>
            <w:r>
              <w:rPr>
                <w:rFonts w:ascii="Arial" w:cs="Arial" w:eastAsia="Arial" w:hAnsi="Arial"/>
                <w:sz w:val="19"/>
                <w:szCs w:val="19"/>
                <w:color w:val="auto"/>
              </w:rPr>
              <w:t>3.50% - 4.86%</w:t>
            </w: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9"/>
                <w:szCs w:val="19"/>
                <w:color w:val="auto"/>
              </w:rPr>
              <w:t>1.69% - 4.23%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720" w:type="dxa"/>
            <w:vAlign w:val="bottom"/>
          </w:tcPr>
          <w:p>
            <w:pPr>
              <w:ind w:left="20"/>
              <w:spacing w:after="0"/>
              <w:rPr>
                <w:sz w:val="20"/>
                <w:szCs w:val="20"/>
                <w:color w:val="auto"/>
              </w:rPr>
            </w:pPr>
            <w:r>
              <w:rPr>
                <w:rFonts w:ascii="Arial" w:cs="Arial" w:eastAsia="Arial" w:hAnsi="Arial"/>
                <w:sz w:val="19"/>
                <w:szCs w:val="19"/>
                <w:color w:val="auto"/>
              </w:rPr>
              <w:t>Expected volatility</w:t>
            </w:r>
          </w:p>
        </w:tc>
        <w:tc>
          <w:tcPr>
            <w:tcW w:w="1940" w:type="dxa"/>
            <w:vAlign w:val="bottom"/>
          </w:tcPr>
          <w:p>
            <w:pPr>
              <w:jc w:val="right"/>
              <w:spacing w:after="0"/>
              <w:rPr>
                <w:sz w:val="20"/>
                <w:szCs w:val="20"/>
                <w:color w:val="auto"/>
              </w:rPr>
            </w:pPr>
            <w:r>
              <w:rPr>
                <w:rFonts w:ascii="Arial" w:cs="Arial" w:eastAsia="Arial" w:hAnsi="Arial"/>
                <w:sz w:val="19"/>
                <w:szCs w:val="19"/>
                <w:color w:val="auto"/>
              </w:rPr>
              <w:t>91.33% - 94.51%</w:t>
            </w: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9"/>
                <w:szCs w:val="19"/>
                <w:color w:val="auto"/>
              </w:rPr>
              <w:t>85.09% - 87.67%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720" w:type="dxa"/>
            <w:vAlign w:val="bottom"/>
          </w:tcPr>
          <w:p>
            <w:pPr>
              <w:ind w:left="20"/>
              <w:spacing w:after="0"/>
              <w:rPr>
                <w:sz w:val="20"/>
                <w:szCs w:val="20"/>
                <w:color w:val="auto"/>
              </w:rPr>
            </w:pPr>
            <w:r>
              <w:rPr>
                <w:rFonts w:ascii="Arial" w:cs="Arial" w:eastAsia="Arial" w:hAnsi="Arial"/>
                <w:sz w:val="19"/>
                <w:szCs w:val="19"/>
                <w:color w:val="auto"/>
              </w:rPr>
              <w:t>Expected dividend yield</w:t>
            </w:r>
          </w:p>
        </w:tc>
        <w:tc>
          <w:tcPr>
            <w:tcW w:w="2260" w:type="dxa"/>
            <w:vAlign w:val="bottom"/>
            <w:gridSpan w:val="2"/>
          </w:tcPr>
          <w:p>
            <w:pPr>
              <w:jc w:val="right"/>
              <w:ind w:right="160"/>
              <w:spacing w:after="0"/>
              <w:rPr>
                <w:sz w:val="20"/>
                <w:szCs w:val="20"/>
                <w:color w:val="auto"/>
              </w:rPr>
            </w:pPr>
            <w:r>
              <w:rPr>
                <w:rFonts w:ascii="Arial" w:cs="Arial" w:eastAsia="Arial" w:hAnsi="Arial"/>
                <w:sz w:val="19"/>
                <w:szCs w:val="19"/>
                <w:color w:val="auto"/>
              </w:rPr>
              <w:t>0%</w:t>
            </w:r>
          </w:p>
        </w:tc>
        <w:tc>
          <w:tcPr>
            <w:tcW w:w="2140" w:type="dxa"/>
            <w:vAlign w:val="bottom"/>
            <w:gridSpan w:val="2"/>
          </w:tcPr>
          <w:p>
            <w:pPr>
              <w:jc w:val="right"/>
              <w:ind w:right="4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04"/>
        </w:trPr>
        <w:tc>
          <w:tcPr>
            <w:tcW w:w="5720" w:type="dxa"/>
            <w:vAlign w:val="bottom"/>
            <w:tcBorders>
              <w:bottom w:val="single" w:sz="8" w:color="auto"/>
            </w:tcBorders>
          </w:tcPr>
          <w:p>
            <w:pPr>
              <w:spacing w:after="0"/>
              <w:rPr>
                <w:sz w:val="9"/>
                <w:szCs w:val="9"/>
                <w:color w:val="auto"/>
              </w:rPr>
            </w:pPr>
          </w:p>
        </w:tc>
        <w:tc>
          <w:tcPr>
            <w:tcW w:w="19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9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-667385</wp:posOffset>
            </wp:positionV>
            <wp:extent cx="6438900" cy="5994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36">
                      <a:extLst>
                        <a:ext uri="{28A0092B-C50C-407E-A947-70E740481C1C}"/>
                      </a:extLst>
                    </a:blip>
                    <a:srcRect/>
                    <a:stretch>
                      <a:fillRect/>
                    </a:stretch>
                  </pic:blipFill>
                  <pic:spPr bwMode="auto">
                    <a:xfrm>
                      <a:off x="0" y="0"/>
                      <a:ext cx="6438900" cy="599440"/>
                    </a:xfrm>
                    <a:prstGeom prst="rect">
                      <a:avLst/>
                    </a:prstGeom>
                    <a:noFill/>
                  </pic:spPr>
                </pic:pic>
              </a:graphicData>
            </a:graphic>
          </wp:anchor>
        </w:drawing>
      </w:r>
    </w:p>
    <w:p>
      <w:pPr>
        <w:spacing w:after="0" w:line="122" w:lineRule="exact"/>
        <w:rPr>
          <w:sz w:val="20"/>
          <w:szCs w:val="20"/>
          <w:color w:val="auto"/>
        </w:rPr>
      </w:pPr>
    </w:p>
    <w:p>
      <w:pPr>
        <w:ind w:left="20" w:right="60"/>
        <w:spacing w:after="0" w:line="415" w:lineRule="auto"/>
        <w:rPr>
          <w:sz w:val="20"/>
          <w:szCs w:val="20"/>
          <w:color w:val="auto"/>
        </w:rPr>
      </w:pPr>
      <w:r>
        <w:rPr>
          <w:rFonts w:ascii="Arial" w:cs="Arial" w:eastAsia="Arial" w:hAnsi="Arial"/>
          <w:sz w:val="19"/>
          <w:szCs w:val="19"/>
          <w:color w:val="auto"/>
        </w:rPr>
        <w:t xml:space="preserve">The total intrinsic value of stock options vested during each of the years ended December 31, 2023 and 2022 was zero. </w:t>
      </w:r>
      <w:r>
        <w:rPr>
          <w:rFonts w:ascii="Arial" w:cs="Arial" w:eastAsia="Arial" w:hAnsi="Arial"/>
          <w:sz w:val="19"/>
          <w:szCs w:val="19"/>
          <w:b w:val="1"/>
          <w:bCs w:val="1"/>
          <w:i w:val="1"/>
          <w:iCs w:val="1"/>
          <w:color w:val="auto"/>
        </w:rPr>
        <w:t>Restricted Stock Units</w:t>
      </w:r>
    </w:p>
    <w:p>
      <w:pPr>
        <w:spacing w:after="0" w:line="1" w:lineRule="exact"/>
        <w:rPr>
          <w:sz w:val="20"/>
          <w:szCs w:val="20"/>
          <w:color w:val="auto"/>
        </w:rPr>
      </w:pPr>
    </w:p>
    <w:p>
      <w:pPr>
        <w:ind w:left="20" w:right="80"/>
        <w:spacing w:after="0" w:line="260" w:lineRule="auto"/>
        <w:rPr>
          <w:sz w:val="20"/>
          <w:szCs w:val="20"/>
          <w:color w:val="auto"/>
        </w:rPr>
      </w:pPr>
      <w:r>
        <w:rPr>
          <w:rFonts w:ascii="Arial" w:cs="Arial" w:eastAsia="Arial" w:hAnsi="Arial"/>
          <w:sz w:val="19"/>
          <w:szCs w:val="19"/>
          <w:color w:val="auto"/>
        </w:rPr>
        <w:t>Under the terms of the restricted stock unit agreements covering the common stock, shares of common stock related to restricted stock units are subject to time-based vesting. The restricted stock units will immediately be forfeited to the Company if the relationship between the recipient and the Company ceases.</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9"/>
          <w:szCs w:val="19"/>
          <w:color w:val="auto"/>
        </w:rPr>
        <w:t>Restricted stock activity is summarized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F-17</w:t>
      </w:r>
    </w:p>
    <w:p>
      <w:pPr>
        <w:sectPr>
          <w:pgSz w:w="12240" w:h="15840" w:orient="portrait"/>
          <w:cols w:equalWidth="0" w:num="1">
            <w:col w:w="10120"/>
          </w:cols>
          <w:pgMar w:left="1060" w:top="1062" w:right="1060" w:bottom="173" w:gutter="0" w:footer="0" w:header="0"/>
        </w:sectPr>
      </w:pPr>
    </w:p>
    <w:bookmarkStart w:id="140" w:name="page141"/>
    <w:bookmarkEnd w:id="140"/>
    <w:tbl>
      <w:tblPr>
        <w:tblLayout w:type="fixed"/>
        <w:tblInd w:w="20" w:type="dxa"/>
        <w:tblCellMar>
          <w:top w:w="0" w:type="dxa"/>
          <w:left w:w="0" w:type="dxa"/>
          <w:bottom w:w="0" w:type="dxa"/>
          <w:right w:w="0" w:type="dxa"/>
        </w:tblCellMar>
      </w:tblPr>
      <w:tr>
        <w:trPr>
          <w:trHeight w:val="184"/>
        </w:trPr>
        <w:tc>
          <w:tcPr>
            <w:tcW w:w="5720" w:type="dxa"/>
            <w:vAlign w:val="bottom"/>
          </w:tcPr>
          <w:p>
            <w:pPr>
              <w:spacing w:after="0"/>
              <w:rPr>
                <w:sz w:val="16"/>
                <w:szCs w:val="16"/>
                <w:color w:val="auto"/>
              </w:rPr>
            </w:pPr>
          </w:p>
        </w:tc>
        <w:tc>
          <w:tcPr>
            <w:tcW w:w="25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9"/>
              </w:rPr>
              <w:t>NUMBER OF</w:t>
            </w:r>
          </w:p>
        </w:tc>
        <w:tc>
          <w:tcPr>
            <w:tcW w:w="120" w:type="dxa"/>
            <w:vAlign w:val="bottom"/>
          </w:tcPr>
          <w:p>
            <w:pPr>
              <w:spacing w:after="0"/>
              <w:rPr>
                <w:sz w:val="16"/>
                <w:szCs w:val="16"/>
                <w:color w:val="auto"/>
              </w:rPr>
            </w:pPr>
          </w:p>
        </w:tc>
        <w:tc>
          <w:tcPr>
            <w:tcW w:w="1580" w:type="dxa"/>
            <w:vAlign w:val="bottom"/>
          </w:tcPr>
          <w:p>
            <w:pPr>
              <w:jc w:val="center"/>
              <w:ind w:right="31"/>
              <w:spacing w:after="0"/>
              <w:rPr>
                <w:sz w:val="20"/>
                <w:szCs w:val="20"/>
                <w:color w:val="auto"/>
              </w:rPr>
            </w:pPr>
            <w:r>
              <w:rPr>
                <w:rFonts w:ascii="Arial" w:cs="Arial" w:eastAsia="Arial" w:hAnsi="Arial"/>
                <w:sz w:val="16"/>
                <w:szCs w:val="16"/>
                <w:b w:val="1"/>
                <w:bCs w:val="1"/>
                <w:color w:val="auto"/>
                <w:w w:val="98"/>
              </w:rPr>
              <w:t>WEIGHTED-</w:t>
            </w:r>
          </w:p>
        </w:tc>
        <w:tc>
          <w:tcPr>
            <w:tcW w:w="0" w:type="dxa"/>
            <w:vAlign w:val="bottom"/>
          </w:tcPr>
          <w:p>
            <w:pPr>
              <w:spacing w:after="0"/>
              <w:rPr>
                <w:sz w:val="1"/>
                <w:szCs w:val="1"/>
                <w:color w:val="auto"/>
              </w:rPr>
            </w:pPr>
          </w:p>
        </w:tc>
      </w:tr>
      <w:tr>
        <w:trPr>
          <w:trHeight w:val="184"/>
        </w:trPr>
        <w:tc>
          <w:tcPr>
            <w:tcW w:w="5720" w:type="dxa"/>
            <w:vAlign w:val="bottom"/>
          </w:tcPr>
          <w:p>
            <w:pPr>
              <w:spacing w:after="0"/>
              <w:rPr>
                <w:sz w:val="15"/>
                <w:szCs w:val="15"/>
                <w:color w:val="auto"/>
              </w:rPr>
            </w:pPr>
          </w:p>
        </w:tc>
        <w:tc>
          <w:tcPr>
            <w:tcW w:w="256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8"/>
              </w:rPr>
              <w:t>SHARES</w:t>
            </w:r>
          </w:p>
        </w:tc>
        <w:tc>
          <w:tcPr>
            <w:tcW w:w="120" w:type="dxa"/>
            <w:vAlign w:val="bottom"/>
          </w:tcPr>
          <w:p>
            <w:pPr>
              <w:spacing w:after="0"/>
              <w:rPr>
                <w:sz w:val="15"/>
                <w:szCs w:val="15"/>
                <w:color w:val="auto"/>
              </w:rPr>
            </w:pPr>
          </w:p>
        </w:tc>
        <w:tc>
          <w:tcPr>
            <w:tcW w:w="1580" w:type="dxa"/>
            <w:vAlign w:val="bottom"/>
          </w:tcPr>
          <w:p>
            <w:pPr>
              <w:jc w:val="center"/>
              <w:ind w:right="31"/>
              <w:spacing w:after="0"/>
              <w:rPr>
                <w:sz w:val="20"/>
                <w:szCs w:val="20"/>
                <w:color w:val="auto"/>
              </w:rPr>
            </w:pPr>
            <w:r>
              <w:rPr>
                <w:rFonts w:ascii="Arial" w:cs="Arial" w:eastAsia="Arial" w:hAnsi="Arial"/>
                <w:sz w:val="16"/>
                <w:szCs w:val="16"/>
                <w:b w:val="1"/>
                <w:bCs w:val="1"/>
                <w:color w:val="auto"/>
              </w:rPr>
              <w:t>AVERAGE GRANT</w:t>
            </w:r>
          </w:p>
        </w:tc>
        <w:tc>
          <w:tcPr>
            <w:tcW w:w="0" w:type="dxa"/>
            <w:vAlign w:val="bottom"/>
          </w:tcPr>
          <w:p>
            <w:pPr>
              <w:spacing w:after="0"/>
              <w:rPr>
                <w:sz w:val="1"/>
                <w:szCs w:val="1"/>
                <w:color w:val="auto"/>
              </w:rPr>
            </w:pPr>
          </w:p>
        </w:tc>
      </w:tr>
      <w:tr>
        <w:trPr>
          <w:trHeight w:val="203"/>
        </w:trPr>
        <w:tc>
          <w:tcPr>
            <w:tcW w:w="5720" w:type="dxa"/>
            <w:vAlign w:val="bottom"/>
            <w:vMerge w:val="restart"/>
          </w:tcPr>
          <w:p>
            <w:pPr>
              <w:spacing w:after="0"/>
              <w:rPr>
                <w:sz w:val="20"/>
                <w:szCs w:val="20"/>
                <w:color w:val="auto"/>
              </w:rPr>
            </w:pPr>
            <w:r>
              <w:rPr>
                <w:rFonts w:ascii="Arial" w:cs="Arial" w:eastAsia="Arial" w:hAnsi="Arial"/>
                <w:sz w:val="19"/>
                <w:szCs w:val="19"/>
                <w:color w:val="auto"/>
              </w:rPr>
              <w:t>Unvested at December 31, 2022</w:t>
            </w:r>
          </w:p>
        </w:tc>
        <w:tc>
          <w:tcPr>
            <w:tcW w:w="25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9"/>
              </w:rPr>
              <w:t>OPTIONS</w:t>
            </w:r>
          </w:p>
        </w:tc>
        <w:tc>
          <w:tcPr>
            <w:tcW w:w="120" w:type="dxa"/>
            <w:vAlign w:val="bottom"/>
          </w:tcPr>
          <w:p>
            <w:pPr>
              <w:spacing w:after="0"/>
              <w:rPr>
                <w:sz w:val="17"/>
                <w:szCs w:val="17"/>
                <w:color w:val="auto"/>
              </w:rPr>
            </w:pPr>
          </w:p>
        </w:tc>
        <w:tc>
          <w:tcPr>
            <w:tcW w:w="1580" w:type="dxa"/>
            <w:vAlign w:val="bottom"/>
          </w:tcPr>
          <w:p>
            <w:pPr>
              <w:jc w:val="center"/>
              <w:ind w:right="11"/>
              <w:spacing w:after="0"/>
              <w:rPr>
                <w:sz w:val="20"/>
                <w:szCs w:val="20"/>
                <w:color w:val="auto"/>
              </w:rPr>
            </w:pPr>
            <w:r>
              <w:rPr>
                <w:rFonts w:ascii="Arial" w:cs="Arial" w:eastAsia="Arial" w:hAnsi="Arial"/>
                <w:sz w:val="16"/>
                <w:szCs w:val="16"/>
                <w:b w:val="1"/>
                <w:bCs w:val="1"/>
                <w:color w:val="auto"/>
                <w:w w:val="99"/>
              </w:rPr>
              <w:t>DATE FAIR VALUE</w:t>
            </w:r>
          </w:p>
        </w:tc>
        <w:tc>
          <w:tcPr>
            <w:tcW w:w="0" w:type="dxa"/>
            <w:vAlign w:val="bottom"/>
          </w:tcPr>
          <w:p>
            <w:pPr>
              <w:spacing w:after="0"/>
              <w:rPr>
                <w:sz w:val="1"/>
                <w:szCs w:val="1"/>
                <w:color w:val="auto"/>
              </w:rPr>
            </w:pPr>
          </w:p>
        </w:tc>
      </w:tr>
      <w:tr>
        <w:trPr>
          <w:trHeight w:val="191"/>
        </w:trPr>
        <w:tc>
          <w:tcPr>
            <w:tcW w:w="5720" w:type="dxa"/>
            <w:vAlign w:val="bottom"/>
            <w:vMerge w:val="continue"/>
          </w:tcPr>
          <w:p>
            <w:pPr>
              <w:spacing w:after="0"/>
              <w:rPr>
                <w:sz w:val="16"/>
                <w:szCs w:val="16"/>
                <w:color w:val="auto"/>
              </w:rPr>
            </w:pPr>
          </w:p>
        </w:tc>
        <w:tc>
          <w:tcPr>
            <w:tcW w:w="212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9"/>
                <w:szCs w:val="19"/>
                <w:color w:val="auto"/>
              </w:rPr>
              <w:t>612,366</w:t>
            </w:r>
          </w:p>
        </w:tc>
        <w:tc>
          <w:tcPr>
            <w:tcW w:w="440" w:type="dxa"/>
            <w:vAlign w:val="bottom"/>
          </w:tcPr>
          <w:p>
            <w:pPr>
              <w:spacing w:after="0"/>
              <w:rPr>
                <w:sz w:val="16"/>
                <w:szCs w:val="16"/>
                <w:color w:val="auto"/>
              </w:rPr>
            </w:pPr>
          </w:p>
        </w:tc>
        <w:tc>
          <w:tcPr>
            <w:tcW w:w="12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9"/>
                <w:szCs w:val="19"/>
                <w:color w:val="auto"/>
                <w:w w:val="75"/>
              </w:rPr>
              <w:t>$</w:t>
            </w:r>
          </w:p>
        </w:tc>
        <w:tc>
          <w:tcPr>
            <w:tcW w:w="158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9"/>
                <w:szCs w:val="19"/>
                <w:color w:val="auto"/>
              </w:rPr>
              <w:t>1.71</w:t>
            </w:r>
          </w:p>
        </w:tc>
        <w:tc>
          <w:tcPr>
            <w:tcW w:w="0" w:type="dxa"/>
            <w:vAlign w:val="bottom"/>
          </w:tcPr>
          <w:p>
            <w:pPr>
              <w:spacing w:after="0"/>
              <w:rPr>
                <w:sz w:val="1"/>
                <w:szCs w:val="1"/>
                <w:color w:val="auto"/>
              </w:rPr>
            </w:pPr>
          </w:p>
        </w:tc>
      </w:tr>
      <w:tr>
        <w:trPr>
          <w:trHeight w:val="218"/>
        </w:trPr>
        <w:tc>
          <w:tcPr>
            <w:tcW w:w="5720" w:type="dxa"/>
            <w:vAlign w:val="bottom"/>
          </w:tcPr>
          <w:p>
            <w:pPr>
              <w:spacing w:after="0"/>
              <w:rPr>
                <w:sz w:val="20"/>
                <w:szCs w:val="20"/>
                <w:color w:val="auto"/>
              </w:rPr>
            </w:pPr>
            <w:r>
              <w:rPr>
                <w:rFonts w:ascii="Arial" w:cs="Arial" w:eastAsia="Arial" w:hAnsi="Arial"/>
                <w:sz w:val="19"/>
                <w:szCs w:val="19"/>
                <w:color w:val="auto"/>
              </w:rPr>
              <w:t>Granted</w:t>
            </w:r>
          </w:p>
        </w:tc>
        <w:tc>
          <w:tcPr>
            <w:tcW w:w="2120" w:type="dxa"/>
            <w:vAlign w:val="bottom"/>
          </w:tcPr>
          <w:p>
            <w:pPr>
              <w:jc w:val="right"/>
              <w:spacing w:after="0"/>
              <w:rPr>
                <w:sz w:val="20"/>
                <w:szCs w:val="20"/>
                <w:color w:val="auto"/>
              </w:rPr>
            </w:pPr>
            <w:r>
              <w:rPr>
                <w:rFonts w:ascii="Arial" w:cs="Arial" w:eastAsia="Arial" w:hAnsi="Arial"/>
                <w:sz w:val="19"/>
                <w:szCs w:val="19"/>
                <w:color w:val="auto"/>
              </w:rPr>
              <w:t>2,242,509</w:t>
            </w:r>
          </w:p>
        </w:tc>
        <w:tc>
          <w:tcPr>
            <w:tcW w:w="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580" w:type="dxa"/>
            <w:vAlign w:val="bottom"/>
          </w:tcPr>
          <w:p>
            <w:pPr>
              <w:jc w:val="right"/>
              <w:spacing w:after="0"/>
              <w:rPr>
                <w:sz w:val="20"/>
                <w:szCs w:val="20"/>
                <w:color w:val="auto"/>
              </w:rPr>
            </w:pPr>
            <w:r>
              <w:rPr>
                <w:rFonts w:ascii="Arial" w:cs="Arial" w:eastAsia="Arial" w:hAnsi="Arial"/>
                <w:sz w:val="19"/>
                <w:szCs w:val="19"/>
                <w:color w:val="auto"/>
              </w:rPr>
              <w:t>0.98</w:t>
            </w:r>
          </w:p>
        </w:tc>
        <w:tc>
          <w:tcPr>
            <w:tcW w:w="0" w:type="dxa"/>
            <w:vAlign w:val="bottom"/>
          </w:tcPr>
          <w:p>
            <w:pPr>
              <w:spacing w:after="0"/>
              <w:rPr>
                <w:sz w:val="1"/>
                <w:szCs w:val="1"/>
                <w:color w:val="auto"/>
              </w:rPr>
            </w:pPr>
          </w:p>
        </w:tc>
      </w:tr>
      <w:tr>
        <w:trPr>
          <w:trHeight w:val="218"/>
        </w:trPr>
        <w:tc>
          <w:tcPr>
            <w:tcW w:w="5720" w:type="dxa"/>
            <w:vAlign w:val="bottom"/>
          </w:tcPr>
          <w:p>
            <w:pPr>
              <w:spacing w:after="0"/>
              <w:rPr>
                <w:sz w:val="20"/>
                <w:szCs w:val="20"/>
                <w:color w:val="auto"/>
              </w:rPr>
            </w:pPr>
            <w:r>
              <w:rPr>
                <w:rFonts w:ascii="Arial" w:cs="Arial" w:eastAsia="Arial" w:hAnsi="Arial"/>
                <w:sz w:val="19"/>
                <w:szCs w:val="19"/>
                <w:color w:val="auto"/>
              </w:rPr>
              <w:t>Vested</w:t>
            </w:r>
          </w:p>
        </w:tc>
        <w:tc>
          <w:tcPr>
            <w:tcW w:w="2560" w:type="dxa"/>
            <w:vAlign w:val="bottom"/>
            <w:gridSpan w:val="2"/>
          </w:tcPr>
          <w:p>
            <w:pPr>
              <w:jc w:val="right"/>
              <w:ind w:right="380"/>
              <w:spacing w:after="0"/>
              <w:rPr>
                <w:sz w:val="20"/>
                <w:szCs w:val="20"/>
                <w:color w:val="auto"/>
              </w:rPr>
            </w:pPr>
            <w:r>
              <w:rPr>
                <w:rFonts w:ascii="Arial" w:cs="Arial" w:eastAsia="Arial" w:hAnsi="Arial"/>
                <w:sz w:val="19"/>
                <w:szCs w:val="19"/>
                <w:color w:val="auto"/>
              </w:rPr>
              <w:t>(306,185)</w:t>
            </w: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580" w:type="dxa"/>
            <w:vAlign w:val="bottom"/>
          </w:tcPr>
          <w:p>
            <w:pPr>
              <w:jc w:val="right"/>
              <w:spacing w:after="0"/>
              <w:rPr>
                <w:sz w:val="20"/>
                <w:szCs w:val="20"/>
                <w:color w:val="auto"/>
              </w:rPr>
            </w:pPr>
            <w:r>
              <w:rPr>
                <w:rFonts w:ascii="Arial" w:cs="Arial" w:eastAsia="Arial" w:hAnsi="Arial"/>
                <w:sz w:val="19"/>
                <w:szCs w:val="19"/>
                <w:color w:val="auto"/>
              </w:rPr>
              <w:t>1.71</w:t>
            </w:r>
          </w:p>
        </w:tc>
        <w:tc>
          <w:tcPr>
            <w:tcW w:w="0" w:type="dxa"/>
            <w:vAlign w:val="bottom"/>
          </w:tcPr>
          <w:p>
            <w:pPr>
              <w:spacing w:after="0"/>
              <w:rPr>
                <w:sz w:val="1"/>
                <w:szCs w:val="1"/>
                <w:color w:val="auto"/>
              </w:rPr>
            </w:pPr>
          </w:p>
        </w:tc>
      </w:tr>
      <w:tr>
        <w:trPr>
          <w:trHeight w:val="236"/>
        </w:trPr>
        <w:tc>
          <w:tcPr>
            <w:tcW w:w="5720" w:type="dxa"/>
            <w:vAlign w:val="bottom"/>
          </w:tcPr>
          <w:p>
            <w:pPr>
              <w:spacing w:after="0"/>
              <w:rPr>
                <w:sz w:val="20"/>
                <w:szCs w:val="20"/>
                <w:color w:val="auto"/>
              </w:rPr>
            </w:pPr>
            <w:r>
              <w:rPr>
                <w:rFonts w:ascii="Arial" w:cs="Arial" w:eastAsia="Arial" w:hAnsi="Arial"/>
                <w:sz w:val="19"/>
                <w:szCs w:val="19"/>
                <w:color w:val="auto"/>
              </w:rPr>
              <w:t>Forfeited</w:t>
            </w:r>
          </w:p>
        </w:tc>
        <w:tc>
          <w:tcPr>
            <w:tcW w:w="2560" w:type="dxa"/>
            <w:vAlign w:val="bottom"/>
            <w:gridSpan w:val="2"/>
          </w:tcPr>
          <w:p>
            <w:pPr>
              <w:jc w:val="right"/>
              <w:ind w:right="380"/>
              <w:spacing w:after="0"/>
              <w:rPr>
                <w:sz w:val="20"/>
                <w:szCs w:val="20"/>
                <w:color w:val="auto"/>
              </w:rPr>
            </w:pPr>
            <w:r>
              <w:rPr>
                <w:rFonts w:ascii="Arial" w:cs="Arial" w:eastAsia="Arial" w:hAnsi="Arial"/>
                <w:sz w:val="19"/>
                <w:szCs w:val="19"/>
                <w:color w:val="auto"/>
              </w:rPr>
              <w:t>(22,258)</w:t>
            </w: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580" w:type="dxa"/>
            <w:vAlign w:val="bottom"/>
          </w:tcPr>
          <w:p>
            <w:pPr>
              <w:jc w:val="right"/>
              <w:spacing w:after="0"/>
              <w:rPr>
                <w:sz w:val="20"/>
                <w:szCs w:val="20"/>
                <w:color w:val="auto"/>
              </w:rPr>
            </w:pPr>
            <w:r>
              <w:rPr>
                <w:rFonts w:ascii="Arial" w:cs="Arial" w:eastAsia="Arial" w:hAnsi="Arial"/>
                <w:sz w:val="19"/>
                <w:szCs w:val="19"/>
                <w:color w:val="auto"/>
              </w:rPr>
              <w:t>1.71</w:t>
            </w:r>
          </w:p>
        </w:tc>
        <w:tc>
          <w:tcPr>
            <w:tcW w:w="0" w:type="dxa"/>
            <w:vAlign w:val="bottom"/>
          </w:tcPr>
          <w:p>
            <w:pPr>
              <w:spacing w:after="0"/>
              <w:rPr>
                <w:sz w:val="1"/>
                <w:szCs w:val="1"/>
                <w:color w:val="auto"/>
              </w:rPr>
            </w:pPr>
          </w:p>
        </w:tc>
      </w:tr>
      <w:tr>
        <w:trPr>
          <w:trHeight w:val="208"/>
        </w:trPr>
        <w:tc>
          <w:tcPr>
            <w:tcW w:w="5720" w:type="dxa"/>
            <w:vAlign w:val="bottom"/>
          </w:tcPr>
          <w:p>
            <w:pPr>
              <w:spacing w:after="0" w:line="209" w:lineRule="exact"/>
              <w:rPr>
                <w:sz w:val="20"/>
                <w:szCs w:val="20"/>
                <w:color w:val="auto"/>
              </w:rPr>
            </w:pPr>
            <w:r>
              <w:rPr>
                <w:rFonts w:ascii="Arial" w:cs="Arial" w:eastAsia="Arial" w:hAnsi="Arial"/>
                <w:sz w:val="19"/>
                <w:szCs w:val="19"/>
                <w:color w:val="auto"/>
              </w:rPr>
              <w:t>Unvested at December 31, 2023</w:t>
            </w:r>
          </w:p>
        </w:tc>
        <w:tc>
          <w:tcPr>
            <w:tcW w:w="212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2,526,432</w:t>
            </w:r>
          </w:p>
        </w:tc>
        <w:tc>
          <w:tcPr>
            <w:tcW w:w="440" w:type="dxa"/>
            <w:vAlign w:val="bottom"/>
          </w:tcPr>
          <w:p>
            <w:pPr>
              <w:spacing w:after="0"/>
              <w:rPr>
                <w:sz w:val="18"/>
                <w:szCs w:val="18"/>
                <w:color w:val="auto"/>
              </w:rPr>
            </w:pPr>
          </w:p>
        </w:tc>
        <w:tc>
          <w:tcPr>
            <w:tcW w:w="120" w:type="dxa"/>
            <w:vAlign w:val="bottom"/>
          </w:tcPr>
          <w:p>
            <w:pPr>
              <w:jc w:val="right"/>
              <w:spacing w:after="0" w:line="209" w:lineRule="exact"/>
              <w:rPr>
                <w:sz w:val="20"/>
                <w:szCs w:val="20"/>
                <w:color w:val="auto"/>
              </w:rPr>
            </w:pPr>
            <w:r>
              <w:rPr>
                <w:rFonts w:ascii="Arial" w:cs="Arial" w:eastAsia="Arial" w:hAnsi="Arial"/>
                <w:sz w:val="19"/>
                <w:szCs w:val="19"/>
                <w:color w:val="auto"/>
                <w:w w:val="75"/>
              </w:rPr>
              <w:t>$</w:t>
            </w:r>
          </w:p>
        </w:tc>
        <w:tc>
          <w:tcPr>
            <w:tcW w:w="1580" w:type="dxa"/>
            <w:vAlign w:val="bottom"/>
          </w:tcPr>
          <w:p>
            <w:pPr>
              <w:jc w:val="right"/>
              <w:spacing w:after="0" w:line="209" w:lineRule="exact"/>
              <w:rPr>
                <w:sz w:val="20"/>
                <w:szCs w:val="20"/>
                <w:color w:val="auto"/>
              </w:rPr>
            </w:pPr>
            <w:r>
              <w:rPr>
                <w:rFonts w:ascii="Arial" w:cs="Arial" w:eastAsia="Arial" w:hAnsi="Arial"/>
                <w:sz w:val="19"/>
                <w:szCs w:val="19"/>
                <w:color w:val="auto"/>
              </w:rPr>
              <w:t>1.06</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-746760</wp:posOffset>
            </wp:positionV>
            <wp:extent cx="6426200" cy="7315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7">
                      <a:extLst>
                        <a:ext uri="{28A0092B-C50C-407E-A947-70E740481C1C}"/>
                      </a:extLst>
                    </a:blip>
                    <a:srcRect/>
                    <a:stretch>
                      <a:fillRect/>
                    </a:stretch>
                  </pic:blipFill>
                  <pic:spPr bwMode="auto">
                    <a:xfrm>
                      <a:off x="0" y="0"/>
                      <a:ext cx="6426200" cy="731520"/>
                    </a:xfrm>
                    <a:prstGeom prst="rect">
                      <a:avLst/>
                    </a:prstGeom>
                    <a:noFill/>
                  </pic:spPr>
                </pic:pic>
              </a:graphicData>
            </a:graphic>
          </wp:anchor>
        </w:drawing>
      </w:r>
    </w:p>
    <w:p>
      <w:pPr>
        <w:spacing w:after="0" w:line="146" w:lineRule="exact"/>
        <w:rPr>
          <w:sz w:val="20"/>
          <w:szCs w:val="20"/>
          <w:color w:val="auto"/>
        </w:rPr>
      </w:pPr>
    </w:p>
    <w:p>
      <w:pPr>
        <w:ind w:left="20" w:right="300"/>
        <w:spacing w:after="0" w:line="281" w:lineRule="auto"/>
        <w:rPr>
          <w:sz w:val="20"/>
          <w:szCs w:val="20"/>
          <w:color w:val="auto"/>
        </w:rPr>
      </w:pPr>
      <w:r>
        <w:rPr>
          <w:rFonts w:ascii="Arial" w:cs="Arial" w:eastAsia="Arial" w:hAnsi="Arial"/>
          <w:sz w:val="19"/>
          <w:szCs w:val="19"/>
          <w:color w:val="auto"/>
        </w:rPr>
        <w:t>The aggregate fair value of restricted stock units that vested during each of the years ended December 31, 2023 and 2022 was $0.5 million and zero, respectively.</w:t>
      </w:r>
    </w:p>
    <w:p>
      <w:pPr>
        <w:spacing w:after="0" w:line="89" w:lineRule="exact"/>
        <w:rPr>
          <w:sz w:val="20"/>
          <w:szCs w:val="20"/>
          <w:color w:val="auto"/>
        </w:rPr>
      </w:pPr>
    </w:p>
    <w:p>
      <w:pPr>
        <w:ind w:left="20"/>
        <w:spacing w:after="0"/>
        <w:rPr>
          <w:sz w:val="20"/>
          <w:szCs w:val="20"/>
          <w:color w:val="auto"/>
        </w:rPr>
      </w:pPr>
      <w:r>
        <w:rPr>
          <w:rFonts w:ascii="Arial" w:cs="Arial" w:eastAsia="Arial" w:hAnsi="Arial"/>
          <w:sz w:val="19"/>
          <w:szCs w:val="19"/>
          <w:b w:val="1"/>
          <w:bCs w:val="1"/>
          <w:i w:val="1"/>
          <w:iCs w:val="1"/>
          <w:color w:val="auto"/>
        </w:rPr>
        <w:t>Stock-Based Compensation</w:t>
      </w:r>
    </w:p>
    <w:p>
      <w:pPr>
        <w:spacing w:after="0" w:line="156" w:lineRule="exact"/>
        <w:rPr>
          <w:sz w:val="20"/>
          <w:szCs w:val="20"/>
          <w:color w:val="auto"/>
        </w:rPr>
      </w:pPr>
    </w:p>
    <w:p>
      <w:pPr>
        <w:ind w:left="20" w:right="1040"/>
        <w:spacing w:after="0" w:line="281" w:lineRule="auto"/>
        <w:rPr>
          <w:sz w:val="20"/>
          <w:szCs w:val="20"/>
          <w:color w:val="auto"/>
        </w:rPr>
      </w:pPr>
      <w:r>
        <w:rPr>
          <w:rFonts w:ascii="Arial" w:cs="Arial" w:eastAsia="Arial" w:hAnsi="Arial"/>
          <w:sz w:val="19"/>
          <w:szCs w:val="19"/>
          <w:color w:val="auto"/>
        </w:rPr>
        <w:t>Stock-based compensation expense for the years ended December 31, 2023 and 2022 was classified in the consolidated statements of operations as follows (in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44450</wp:posOffset>
                </wp:positionV>
                <wp:extent cx="6437630"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76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3.5pt" to="506.45pt,3.5pt" o:allowincell="f" strokecolor="#000000" strokeweight="0.75pt"/>
            </w:pict>
          </mc:Fallback>
        </mc:AlternateConten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40" w:type="dxa"/>
            <w:vAlign w:val="bottom"/>
          </w:tcPr>
          <w:p>
            <w:pPr>
              <w:spacing w:after="0"/>
              <w:rPr>
                <w:sz w:val="17"/>
                <w:szCs w:val="17"/>
                <w:color w:val="auto"/>
              </w:rPr>
            </w:pPr>
          </w:p>
        </w:tc>
        <w:tc>
          <w:tcPr>
            <w:tcW w:w="3060" w:type="dxa"/>
            <w:vAlign w:val="bottom"/>
            <w:tcBorders>
              <w:bottom w:val="single" w:sz="8" w:color="auto"/>
            </w:tcBorders>
            <w:gridSpan w:val="5"/>
          </w:tcPr>
          <w:p>
            <w:pPr>
              <w:jc w:val="right"/>
              <w:ind w:right="309"/>
              <w:spacing w:after="0"/>
              <w:rPr>
                <w:sz w:val="20"/>
                <w:szCs w:val="20"/>
                <w:color w:val="auto"/>
              </w:rPr>
            </w:pPr>
            <w:r>
              <w:rPr>
                <w:rFonts w:ascii="Arial" w:cs="Arial" w:eastAsia="Arial" w:hAnsi="Arial"/>
                <w:sz w:val="16"/>
                <w:szCs w:val="16"/>
                <w:b w:val="1"/>
                <w:bCs w:val="1"/>
                <w:color w:val="auto"/>
              </w:rPr>
              <w:t>YEAR ENDED DECEMBER 31,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6940" w:type="dxa"/>
            <w:vAlign w:val="bottom"/>
            <w:vMerge w:val="restart"/>
          </w:tcPr>
          <w:p>
            <w:pPr>
              <w:ind w:left="20"/>
              <w:spacing w:after="0"/>
              <w:rPr>
                <w:sz w:val="20"/>
                <w:szCs w:val="20"/>
                <w:color w:val="auto"/>
              </w:rPr>
            </w:pPr>
            <w:r>
              <w:rPr>
                <w:rFonts w:ascii="Arial" w:cs="Arial" w:eastAsia="Arial" w:hAnsi="Arial"/>
                <w:sz w:val="19"/>
                <w:szCs w:val="19"/>
                <w:color w:val="auto"/>
              </w:rPr>
              <w:t>Research and development</w:t>
            </w:r>
          </w:p>
        </w:tc>
        <w:tc>
          <w:tcPr>
            <w:tcW w:w="900" w:type="dxa"/>
            <w:vAlign w:val="bottom"/>
            <w:tcBorders>
              <w:bottom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2023</w:t>
            </w:r>
          </w:p>
        </w:tc>
        <w:tc>
          <w:tcPr>
            <w:tcW w:w="5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29"/>
              <w:spacing w:after="0" w:line="174" w:lineRule="exact"/>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940" w:type="dxa"/>
            <w:vAlign w:val="bottom"/>
            <w:vMerge w:val="continue"/>
          </w:tcPr>
          <w:p>
            <w:pPr>
              <w:spacing w:after="0"/>
              <w:rPr>
                <w:sz w:val="16"/>
                <w:szCs w:val="16"/>
                <w:color w:val="auto"/>
              </w:rPr>
            </w:pPr>
          </w:p>
        </w:tc>
        <w:tc>
          <w:tcPr>
            <w:tcW w:w="900" w:type="dxa"/>
            <w:vAlign w:val="bottom"/>
          </w:tcPr>
          <w:p>
            <w:pPr>
              <w:jc w:val="right"/>
              <w:ind w:right="713"/>
              <w:spacing w:after="0" w:line="191" w:lineRule="exact"/>
              <w:rPr>
                <w:sz w:val="20"/>
                <w:szCs w:val="20"/>
                <w:color w:val="auto"/>
              </w:rPr>
            </w:pPr>
            <w:r>
              <w:rPr>
                <w:rFonts w:ascii="Arial" w:cs="Arial" w:eastAsia="Arial" w:hAnsi="Arial"/>
                <w:sz w:val="19"/>
                <w:szCs w:val="19"/>
                <w:color w:val="auto"/>
                <w:w w:val="75"/>
              </w:rPr>
              <w:t>$</w:t>
            </w:r>
          </w:p>
        </w:tc>
        <w:tc>
          <w:tcPr>
            <w:tcW w:w="500" w:type="dxa"/>
            <w:vAlign w:val="bottom"/>
          </w:tcPr>
          <w:p>
            <w:pPr>
              <w:jc w:val="right"/>
              <w:spacing w:after="0" w:line="191" w:lineRule="exact"/>
              <w:rPr>
                <w:sz w:val="20"/>
                <w:szCs w:val="20"/>
                <w:color w:val="auto"/>
              </w:rPr>
            </w:pPr>
            <w:r>
              <w:rPr>
                <w:rFonts w:ascii="Arial" w:cs="Arial" w:eastAsia="Arial" w:hAnsi="Arial"/>
                <w:sz w:val="19"/>
                <w:szCs w:val="19"/>
                <w:color w:val="auto"/>
              </w:rPr>
              <w:t>1,347</w:t>
            </w:r>
          </w:p>
        </w:tc>
        <w:tc>
          <w:tcPr>
            <w:tcW w:w="260" w:type="dxa"/>
            <w:vAlign w:val="bottom"/>
          </w:tcPr>
          <w:p>
            <w:pPr>
              <w:spacing w:after="0"/>
              <w:rPr>
                <w:sz w:val="16"/>
                <w:szCs w:val="16"/>
                <w:color w:val="auto"/>
              </w:rPr>
            </w:pPr>
          </w:p>
        </w:tc>
        <w:tc>
          <w:tcPr>
            <w:tcW w:w="320" w:type="dxa"/>
            <w:vAlign w:val="bottom"/>
          </w:tcPr>
          <w:p>
            <w:pPr>
              <w:jc w:val="right"/>
              <w:ind w:right="125"/>
              <w:spacing w:after="0" w:line="191" w:lineRule="exact"/>
              <w:rPr>
                <w:sz w:val="20"/>
                <w:szCs w:val="20"/>
                <w:color w:val="auto"/>
              </w:rPr>
            </w:pPr>
            <w:r>
              <w:rPr>
                <w:rFonts w:ascii="Arial" w:cs="Arial" w:eastAsia="Arial" w:hAnsi="Arial"/>
                <w:sz w:val="19"/>
                <w:szCs w:val="19"/>
                <w:color w:val="auto"/>
                <w:w w:val="75"/>
              </w:rPr>
              <w:t>$</w:t>
            </w:r>
          </w:p>
        </w:tc>
        <w:tc>
          <w:tcPr>
            <w:tcW w:w="1080" w:type="dxa"/>
            <w:vAlign w:val="bottom"/>
          </w:tcPr>
          <w:p>
            <w:pPr>
              <w:jc w:val="right"/>
              <w:spacing w:after="0" w:line="191" w:lineRule="exact"/>
              <w:rPr>
                <w:sz w:val="20"/>
                <w:szCs w:val="20"/>
                <w:color w:val="auto"/>
              </w:rPr>
            </w:pPr>
            <w:r>
              <w:rPr>
                <w:rFonts w:ascii="Arial" w:cs="Arial" w:eastAsia="Arial" w:hAnsi="Arial"/>
                <w:sz w:val="19"/>
                <w:szCs w:val="19"/>
                <w:color w:val="auto"/>
              </w:rPr>
              <w:t>774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940" w:type="dxa"/>
            <w:vAlign w:val="bottom"/>
          </w:tcPr>
          <w:p>
            <w:pPr>
              <w:ind w:left="20"/>
              <w:spacing w:after="0"/>
              <w:rPr>
                <w:sz w:val="20"/>
                <w:szCs w:val="20"/>
                <w:color w:val="auto"/>
              </w:rPr>
            </w:pPr>
            <w:r>
              <w:rPr>
                <w:rFonts w:ascii="Arial" w:cs="Arial" w:eastAsia="Arial" w:hAnsi="Arial"/>
                <w:sz w:val="19"/>
                <w:szCs w:val="19"/>
                <w:color w:val="auto"/>
              </w:rPr>
              <w:t>General and administrative</w:t>
            </w:r>
          </w:p>
        </w:tc>
        <w:tc>
          <w:tcPr>
            <w:tcW w:w="9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1,744</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1,533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6940" w:type="dxa"/>
            <w:vAlign w:val="bottom"/>
          </w:tcPr>
          <w:p>
            <w:pPr>
              <w:ind w:left="20"/>
              <w:spacing w:after="0" w:line="209" w:lineRule="exact"/>
              <w:rPr>
                <w:sz w:val="20"/>
                <w:szCs w:val="20"/>
                <w:color w:val="auto"/>
              </w:rPr>
            </w:pPr>
            <w:r>
              <w:rPr>
                <w:rFonts w:ascii="Arial" w:cs="Arial" w:eastAsia="Arial" w:hAnsi="Arial"/>
                <w:sz w:val="19"/>
                <w:szCs w:val="19"/>
                <w:color w:val="auto"/>
              </w:rPr>
              <w:t>Total stock based compensation expense</w:t>
            </w:r>
          </w:p>
        </w:tc>
        <w:tc>
          <w:tcPr>
            <w:tcW w:w="900" w:type="dxa"/>
            <w:vAlign w:val="bottom"/>
            <w:tcBorders>
              <w:bottom w:val="single" w:sz="8" w:color="auto"/>
            </w:tcBorders>
          </w:tcPr>
          <w:p>
            <w:pPr>
              <w:jc w:val="right"/>
              <w:ind w:right="713"/>
              <w:spacing w:after="0" w:line="209" w:lineRule="exact"/>
              <w:rPr>
                <w:sz w:val="20"/>
                <w:szCs w:val="20"/>
                <w:color w:val="auto"/>
              </w:rPr>
            </w:pPr>
            <w:r>
              <w:rPr>
                <w:rFonts w:ascii="Arial" w:cs="Arial" w:eastAsia="Arial" w:hAnsi="Arial"/>
                <w:sz w:val="19"/>
                <w:szCs w:val="19"/>
                <w:color w:val="auto"/>
                <w:w w:val="75"/>
              </w:rPr>
              <w:t>$</w:t>
            </w:r>
          </w:p>
        </w:tc>
        <w:tc>
          <w:tcPr>
            <w:tcW w:w="50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3,091</w:t>
            </w:r>
          </w:p>
        </w:tc>
        <w:tc>
          <w:tcPr>
            <w:tcW w:w="260" w:type="dxa"/>
            <w:vAlign w:val="bottom"/>
          </w:tcPr>
          <w:p>
            <w:pPr>
              <w:spacing w:after="0"/>
              <w:rPr>
                <w:sz w:val="18"/>
                <w:szCs w:val="18"/>
                <w:color w:val="auto"/>
              </w:rPr>
            </w:pPr>
          </w:p>
        </w:tc>
        <w:tc>
          <w:tcPr>
            <w:tcW w:w="320" w:type="dxa"/>
            <w:vAlign w:val="bottom"/>
            <w:tcBorders>
              <w:bottom w:val="single" w:sz="8" w:color="auto"/>
            </w:tcBorders>
          </w:tcPr>
          <w:p>
            <w:pPr>
              <w:jc w:val="right"/>
              <w:ind w:right="125"/>
              <w:spacing w:after="0" w:line="209" w:lineRule="exact"/>
              <w:rPr>
                <w:sz w:val="20"/>
                <w:szCs w:val="20"/>
                <w:color w:val="auto"/>
              </w:rPr>
            </w:pPr>
            <w:r>
              <w:rPr>
                <w:rFonts w:ascii="Arial" w:cs="Arial" w:eastAsia="Arial" w:hAnsi="Arial"/>
                <w:sz w:val="19"/>
                <w:szCs w:val="19"/>
                <w:color w:val="auto"/>
                <w:w w:val="75"/>
              </w:rPr>
              <w:t>$</w:t>
            </w:r>
          </w:p>
        </w:tc>
        <w:tc>
          <w:tcPr>
            <w:tcW w:w="108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2,307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69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-563880</wp:posOffset>
            </wp:positionV>
            <wp:extent cx="6438900" cy="4667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38">
                      <a:extLst>
                        <a:ext uri="{28A0092B-C50C-407E-A947-70E740481C1C}"/>
                      </a:extLst>
                    </a:blip>
                    <a:srcRect/>
                    <a:stretch>
                      <a:fillRect/>
                    </a:stretch>
                  </pic:blipFill>
                  <pic:spPr bwMode="auto">
                    <a:xfrm>
                      <a:off x="0" y="0"/>
                      <a:ext cx="6438900" cy="466725"/>
                    </a:xfrm>
                    <a:prstGeom prst="rect">
                      <a:avLst/>
                    </a:prstGeom>
                    <a:noFill/>
                  </pic:spPr>
                </pic:pic>
              </a:graphicData>
            </a:graphic>
          </wp:anchor>
        </w:drawing>
      </w:r>
    </w:p>
    <w:p>
      <w:pPr>
        <w:spacing w:after="0" w:line="122" w:lineRule="exact"/>
        <w:rPr>
          <w:sz w:val="20"/>
          <w:szCs w:val="20"/>
          <w:color w:val="auto"/>
        </w:rPr>
      </w:pPr>
    </w:p>
    <w:p>
      <w:pPr>
        <w:jc w:val="both"/>
        <w:ind w:left="20" w:right="80"/>
        <w:spacing w:after="0" w:line="260" w:lineRule="auto"/>
        <w:rPr>
          <w:sz w:val="20"/>
          <w:szCs w:val="20"/>
          <w:color w:val="auto"/>
        </w:rPr>
      </w:pPr>
      <w:r>
        <w:rPr>
          <w:rFonts w:ascii="Arial" w:cs="Arial" w:eastAsia="Arial" w:hAnsi="Arial"/>
          <w:sz w:val="19"/>
          <w:szCs w:val="19"/>
          <w:color w:val="auto"/>
        </w:rPr>
        <w:t>As of December 31, 2023 and 2022, total unrecognized compensation cost related to the unvested stock-based awards was $6.1 million and $7.6 million, respectively. As of December 31, 2023 and 2022, these amounts are expected to be recognized over a weighted average period of 2.40 and 2.42 years, respectively.</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12. Income Taxes</w:t>
      </w:r>
    </w:p>
    <w:p>
      <w:pPr>
        <w:spacing w:after="0" w:line="164" w:lineRule="exact"/>
        <w:rPr>
          <w:sz w:val="20"/>
          <w:szCs w:val="20"/>
          <w:color w:val="auto"/>
        </w:rPr>
      </w:pPr>
    </w:p>
    <w:p>
      <w:pPr>
        <w:ind w:left="20" w:right="560"/>
        <w:spacing w:after="0" w:line="260" w:lineRule="auto"/>
        <w:rPr>
          <w:sz w:val="20"/>
          <w:szCs w:val="20"/>
          <w:color w:val="auto"/>
        </w:rPr>
      </w:pPr>
      <w:r>
        <w:rPr>
          <w:rFonts w:ascii="Arial" w:cs="Arial" w:eastAsia="Arial" w:hAnsi="Arial"/>
          <w:sz w:val="19"/>
          <w:szCs w:val="19"/>
          <w:color w:val="auto"/>
        </w:rPr>
        <w:t>Due to the Company's net losses for 2023 and 2022, as well as the full valuation allowance on its net deferred tax assets as discussed below, the Company did not record any income tax expense or benefit for the years ended December 31, 2023 and 2022 .</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9"/>
          <w:szCs w:val="19"/>
          <w:color w:val="auto"/>
        </w:rPr>
        <w:t>A reconciliation of the Company's statutory income tax rate to the Company’s effective income tax rate is as follows: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157480</wp:posOffset>
                </wp:positionV>
                <wp:extent cx="6437630"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76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12.4pt" to="506.45pt,12.4pt" o:allowincell="f" strokecolor="#000000" strokeweight="0.75pt"/>
            </w:pict>
          </mc:Fallback>
        </mc:AlternateConten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00" w:type="dxa"/>
            <w:vAlign w:val="bottom"/>
          </w:tcPr>
          <w:p>
            <w:pPr>
              <w:spacing w:after="0"/>
              <w:rPr>
                <w:sz w:val="16"/>
                <w:szCs w:val="16"/>
                <w:color w:val="auto"/>
              </w:rPr>
            </w:pPr>
          </w:p>
        </w:tc>
        <w:tc>
          <w:tcPr>
            <w:tcW w:w="2100" w:type="dxa"/>
            <w:vAlign w:val="bottom"/>
            <w:gridSpan w:val="3"/>
          </w:tcPr>
          <w:p>
            <w:pPr>
              <w:jc w:val="center"/>
              <w:ind w:left="750"/>
              <w:spacing w:after="0"/>
              <w:rPr>
                <w:sz w:val="20"/>
                <w:szCs w:val="20"/>
                <w:color w:val="auto"/>
              </w:rPr>
            </w:pPr>
            <w:r>
              <w:rPr>
                <w:rFonts w:ascii="Arial" w:cs="Arial" w:eastAsia="Arial" w:hAnsi="Arial"/>
                <w:sz w:val="16"/>
                <w:szCs w:val="16"/>
                <w:b w:val="1"/>
                <w:bCs w:val="1"/>
                <w:color w:val="auto"/>
              </w:rPr>
              <w:t>YEAR ENDED</w:t>
            </w: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900" w:type="dxa"/>
            <w:vAlign w:val="bottom"/>
          </w:tcPr>
          <w:p>
            <w:pPr>
              <w:spacing w:after="0"/>
              <w:rPr>
                <w:sz w:val="17"/>
                <w:szCs w:val="17"/>
                <w:color w:val="auto"/>
              </w:rPr>
            </w:pPr>
          </w:p>
        </w:tc>
        <w:tc>
          <w:tcPr>
            <w:tcW w:w="210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6"/>
                <w:szCs w:val="16"/>
                <w:b w:val="1"/>
                <w:bCs w:val="1"/>
                <w:color w:val="auto"/>
                <w:w w:val="99"/>
              </w:rPr>
              <w:t>DECEMBER 31,</w:t>
            </w:r>
          </w:p>
        </w:tc>
        <w:tc>
          <w:tcPr>
            <w:tcW w:w="8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6900" w:type="dxa"/>
            <w:vAlign w:val="bottom"/>
            <w:vMerge w:val="restart"/>
          </w:tcPr>
          <w:p>
            <w:pPr>
              <w:ind w:left="20"/>
              <w:spacing w:after="0"/>
              <w:rPr>
                <w:sz w:val="20"/>
                <w:szCs w:val="20"/>
                <w:color w:val="auto"/>
              </w:rPr>
            </w:pPr>
            <w:r>
              <w:rPr>
                <w:rFonts w:ascii="Arial" w:cs="Arial" w:eastAsia="Arial" w:hAnsi="Arial"/>
                <w:sz w:val="19"/>
                <w:szCs w:val="19"/>
                <w:color w:val="auto"/>
              </w:rPr>
              <w:t>Income at US statutory rate</w:t>
            </w:r>
          </w:p>
        </w:tc>
        <w:tc>
          <w:tcPr>
            <w:tcW w:w="1280" w:type="dxa"/>
            <w:vAlign w:val="bottom"/>
            <w:tcBorders>
              <w:bottom w:val="single" w:sz="8" w:color="auto"/>
            </w:tcBorders>
          </w:tcPr>
          <w:p>
            <w:pPr>
              <w:jc w:val="right"/>
              <w:ind w:right="370"/>
              <w:spacing w:after="0" w:line="174" w:lineRule="exact"/>
              <w:rPr>
                <w:sz w:val="20"/>
                <w:szCs w:val="20"/>
                <w:color w:val="auto"/>
              </w:rPr>
            </w:pPr>
            <w:r>
              <w:rPr>
                <w:rFonts w:ascii="Arial" w:cs="Arial" w:eastAsia="Arial" w:hAnsi="Arial"/>
                <w:sz w:val="16"/>
                <w:szCs w:val="16"/>
                <w:b w:val="1"/>
                <w:bCs w:val="1"/>
                <w:color w:val="auto"/>
              </w:rPr>
              <w:t>2023</w:t>
            </w:r>
          </w:p>
        </w:tc>
        <w:tc>
          <w:tcPr>
            <w:tcW w:w="3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87"/>
              <w:spacing w:after="0" w:line="174" w:lineRule="exact"/>
              <w:rPr>
                <w:sz w:val="20"/>
                <w:szCs w:val="20"/>
                <w:color w:val="auto"/>
              </w:rPr>
            </w:pPr>
            <w:r>
              <w:rPr>
                <w:rFonts w:ascii="Arial" w:cs="Arial" w:eastAsia="Arial" w:hAnsi="Arial"/>
                <w:sz w:val="16"/>
                <w:szCs w:val="16"/>
                <w:b w:val="1"/>
                <w:bCs w:val="1"/>
                <w:color w:val="auto"/>
              </w:rPr>
              <w:t>2022</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900" w:type="dxa"/>
            <w:vAlign w:val="bottom"/>
            <w:vMerge w:val="continue"/>
          </w:tcPr>
          <w:p>
            <w:pPr>
              <w:spacing w:after="0"/>
              <w:rPr>
                <w:sz w:val="16"/>
                <w:szCs w:val="16"/>
                <w:color w:val="auto"/>
              </w:rPr>
            </w:pPr>
          </w:p>
        </w:tc>
        <w:tc>
          <w:tcPr>
            <w:tcW w:w="1660" w:type="dxa"/>
            <w:vAlign w:val="bottom"/>
            <w:gridSpan w:val="2"/>
          </w:tcPr>
          <w:p>
            <w:pPr>
              <w:jc w:val="right"/>
              <w:ind w:right="200"/>
              <w:spacing w:after="0" w:line="191" w:lineRule="exact"/>
              <w:rPr>
                <w:sz w:val="20"/>
                <w:szCs w:val="20"/>
                <w:color w:val="auto"/>
              </w:rPr>
            </w:pPr>
            <w:r>
              <w:rPr>
                <w:rFonts w:ascii="Arial" w:cs="Arial" w:eastAsia="Arial" w:hAnsi="Arial"/>
                <w:sz w:val="19"/>
                <w:szCs w:val="19"/>
                <w:color w:val="auto"/>
              </w:rPr>
              <w:t>21.0%</w:t>
            </w:r>
          </w:p>
        </w:tc>
        <w:tc>
          <w:tcPr>
            <w:tcW w:w="440" w:type="dxa"/>
            <w:vAlign w:val="bottom"/>
          </w:tcPr>
          <w:p>
            <w:pPr>
              <w:spacing w:after="0"/>
              <w:rPr>
                <w:sz w:val="16"/>
                <w:szCs w:val="16"/>
                <w:color w:val="auto"/>
              </w:rPr>
            </w:pPr>
          </w:p>
        </w:tc>
        <w:tc>
          <w:tcPr>
            <w:tcW w:w="1120" w:type="dxa"/>
            <w:vAlign w:val="bottom"/>
            <w:gridSpan w:val="2"/>
          </w:tcPr>
          <w:p>
            <w:pPr>
              <w:jc w:val="right"/>
              <w:ind w:right="100"/>
              <w:spacing w:after="0" w:line="191" w:lineRule="exact"/>
              <w:rPr>
                <w:sz w:val="20"/>
                <w:szCs w:val="20"/>
                <w:color w:val="auto"/>
              </w:rPr>
            </w:pPr>
            <w:r>
              <w:rPr>
                <w:rFonts w:ascii="Arial" w:cs="Arial" w:eastAsia="Arial" w:hAnsi="Arial"/>
                <w:sz w:val="19"/>
                <w:szCs w:val="19"/>
                <w:color w:val="auto"/>
              </w:rPr>
              <w:t>21.0%</w:t>
            </w:r>
          </w:p>
        </w:tc>
        <w:tc>
          <w:tcPr>
            <w:tcW w:w="0" w:type="dxa"/>
            <w:vAlign w:val="bottom"/>
          </w:tcPr>
          <w:p>
            <w:pPr>
              <w:spacing w:after="0"/>
              <w:rPr>
                <w:sz w:val="1"/>
                <w:szCs w:val="1"/>
                <w:color w:val="auto"/>
              </w:rPr>
            </w:pPr>
          </w:p>
        </w:tc>
      </w:tr>
      <w:tr>
        <w:trPr>
          <w:trHeight w:val="218"/>
        </w:trPr>
        <w:tc>
          <w:tcPr>
            <w:tcW w:w="6900" w:type="dxa"/>
            <w:vAlign w:val="bottom"/>
          </w:tcPr>
          <w:p>
            <w:pPr>
              <w:ind w:left="20"/>
              <w:spacing w:after="0"/>
              <w:rPr>
                <w:sz w:val="20"/>
                <w:szCs w:val="20"/>
                <w:color w:val="auto"/>
              </w:rPr>
            </w:pPr>
            <w:r>
              <w:rPr>
                <w:rFonts w:ascii="Arial" w:cs="Arial" w:eastAsia="Arial" w:hAnsi="Arial"/>
                <w:sz w:val="19"/>
                <w:szCs w:val="19"/>
                <w:color w:val="auto"/>
              </w:rPr>
              <w:t>Permanent adjustments</w:t>
            </w:r>
          </w:p>
        </w:tc>
        <w:tc>
          <w:tcPr>
            <w:tcW w:w="1660" w:type="dxa"/>
            <w:vAlign w:val="bottom"/>
            <w:gridSpan w:val="2"/>
          </w:tcPr>
          <w:p>
            <w:pPr>
              <w:jc w:val="right"/>
              <w:ind w:right="140"/>
              <w:spacing w:after="0"/>
              <w:rPr>
                <w:sz w:val="20"/>
                <w:szCs w:val="20"/>
                <w:color w:val="auto"/>
              </w:rPr>
            </w:pPr>
            <w:r>
              <w:rPr>
                <w:rFonts w:ascii="Arial" w:cs="Arial" w:eastAsia="Arial" w:hAnsi="Arial"/>
                <w:sz w:val="19"/>
                <w:szCs w:val="19"/>
                <w:color w:val="auto"/>
              </w:rPr>
              <w:t>(1.3)%</w:t>
            </w:r>
          </w:p>
        </w:tc>
        <w:tc>
          <w:tcPr>
            <w:tcW w:w="4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9"/>
                <w:szCs w:val="19"/>
                <w:color w:val="auto"/>
              </w:rPr>
              <w:t>(2.8)%</w:t>
            </w:r>
          </w:p>
        </w:tc>
        <w:tc>
          <w:tcPr>
            <w:tcW w:w="0" w:type="dxa"/>
            <w:vAlign w:val="bottom"/>
          </w:tcPr>
          <w:p>
            <w:pPr>
              <w:spacing w:after="0"/>
              <w:rPr>
                <w:sz w:val="1"/>
                <w:szCs w:val="1"/>
                <w:color w:val="auto"/>
              </w:rPr>
            </w:pPr>
          </w:p>
        </w:tc>
      </w:tr>
      <w:tr>
        <w:trPr>
          <w:trHeight w:val="218"/>
        </w:trPr>
        <w:tc>
          <w:tcPr>
            <w:tcW w:w="6900" w:type="dxa"/>
            <w:vAlign w:val="bottom"/>
          </w:tcPr>
          <w:p>
            <w:pPr>
              <w:ind w:left="20"/>
              <w:spacing w:after="0"/>
              <w:rPr>
                <w:sz w:val="20"/>
                <w:szCs w:val="20"/>
                <w:color w:val="auto"/>
              </w:rPr>
            </w:pPr>
            <w:r>
              <w:rPr>
                <w:rFonts w:ascii="Arial" w:cs="Arial" w:eastAsia="Arial" w:hAnsi="Arial"/>
                <w:sz w:val="19"/>
                <w:szCs w:val="19"/>
                <w:color w:val="auto"/>
              </w:rPr>
              <w:t>Mark to market</w:t>
            </w:r>
          </w:p>
        </w:tc>
        <w:tc>
          <w:tcPr>
            <w:tcW w:w="1660" w:type="dxa"/>
            <w:vAlign w:val="bottom"/>
            <w:gridSpan w:val="2"/>
          </w:tcPr>
          <w:p>
            <w:pPr>
              <w:jc w:val="right"/>
              <w:ind w:right="200"/>
              <w:spacing w:after="0"/>
              <w:rPr>
                <w:sz w:val="20"/>
                <w:szCs w:val="20"/>
                <w:color w:val="auto"/>
              </w:rPr>
            </w:pPr>
            <w:r>
              <w:rPr>
                <w:rFonts w:ascii="Arial" w:cs="Arial" w:eastAsia="Arial" w:hAnsi="Arial"/>
                <w:sz w:val="19"/>
                <w:szCs w:val="19"/>
                <w:color w:val="auto"/>
              </w:rPr>
              <w:t>0.5%</w:t>
            </w:r>
          </w:p>
        </w:tc>
        <w:tc>
          <w:tcPr>
            <w:tcW w:w="4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9"/>
                <w:szCs w:val="19"/>
                <w:color w:val="auto"/>
              </w:rPr>
              <w:t>18.3%</w:t>
            </w:r>
          </w:p>
        </w:tc>
        <w:tc>
          <w:tcPr>
            <w:tcW w:w="0" w:type="dxa"/>
            <w:vAlign w:val="bottom"/>
          </w:tcPr>
          <w:p>
            <w:pPr>
              <w:spacing w:after="0"/>
              <w:rPr>
                <w:sz w:val="1"/>
                <w:szCs w:val="1"/>
                <w:color w:val="auto"/>
              </w:rPr>
            </w:pPr>
          </w:p>
        </w:tc>
      </w:tr>
      <w:tr>
        <w:trPr>
          <w:trHeight w:val="218"/>
        </w:trPr>
        <w:tc>
          <w:tcPr>
            <w:tcW w:w="6900" w:type="dxa"/>
            <w:vAlign w:val="bottom"/>
          </w:tcPr>
          <w:p>
            <w:pPr>
              <w:ind w:left="20"/>
              <w:spacing w:after="0"/>
              <w:rPr>
                <w:sz w:val="20"/>
                <w:szCs w:val="20"/>
                <w:color w:val="auto"/>
              </w:rPr>
            </w:pPr>
            <w:r>
              <w:rPr>
                <w:rFonts w:ascii="Arial" w:cs="Arial" w:eastAsia="Arial" w:hAnsi="Arial"/>
                <w:sz w:val="19"/>
                <w:szCs w:val="19"/>
                <w:color w:val="auto"/>
              </w:rPr>
              <w:t>State taxes, net of federal benefit</w:t>
            </w:r>
          </w:p>
        </w:tc>
        <w:tc>
          <w:tcPr>
            <w:tcW w:w="1660" w:type="dxa"/>
            <w:vAlign w:val="bottom"/>
            <w:gridSpan w:val="2"/>
          </w:tcPr>
          <w:p>
            <w:pPr>
              <w:jc w:val="right"/>
              <w:ind w:right="200"/>
              <w:spacing w:after="0"/>
              <w:rPr>
                <w:sz w:val="20"/>
                <w:szCs w:val="20"/>
                <w:color w:val="auto"/>
              </w:rPr>
            </w:pPr>
            <w:r>
              <w:rPr>
                <w:rFonts w:ascii="Arial" w:cs="Arial" w:eastAsia="Arial" w:hAnsi="Arial"/>
                <w:sz w:val="19"/>
                <w:szCs w:val="19"/>
                <w:color w:val="auto"/>
              </w:rPr>
              <w:t>6.9%</w:t>
            </w:r>
          </w:p>
        </w:tc>
        <w:tc>
          <w:tcPr>
            <w:tcW w:w="4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9"/>
                <w:szCs w:val="19"/>
                <w:color w:val="auto"/>
              </w:rPr>
              <w:t>12.8%</w:t>
            </w:r>
          </w:p>
        </w:tc>
        <w:tc>
          <w:tcPr>
            <w:tcW w:w="0" w:type="dxa"/>
            <w:vAlign w:val="bottom"/>
          </w:tcPr>
          <w:p>
            <w:pPr>
              <w:spacing w:after="0"/>
              <w:rPr>
                <w:sz w:val="1"/>
                <w:szCs w:val="1"/>
                <w:color w:val="auto"/>
              </w:rPr>
            </w:pPr>
          </w:p>
        </w:tc>
      </w:tr>
      <w:tr>
        <w:trPr>
          <w:trHeight w:val="218"/>
        </w:trPr>
        <w:tc>
          <w:tcPr>
            <w:tcW w:w="6900" w:type="dxa"/>
            <w:vAlign w:val="bottom"/>
          </w:tcPr>
          <w:p>
            <w:pPr>
              <w:ind w:left="20"/>
              <w:spacing w:after="0"/>
              <w:rPr>
                <w:sz w:val="20"/>
                <w:szCs w:val="20"/>
                <w:color w:val="auto"/>
              </w:rPr>
            </w:pPr>
            <w:r>
              <w:rPr>
                <w:rFonts w:ascii="Arial" w:cs="Arial" w:eastAsia="Arial" w:hAnsi="Arial"/>
                <w:sz w:val="19"/>
                <w:szCs w:val="19"/>
                <w:color w:val="auto"/>
              </w:rPr>
              <w:t>Valuation allowance</w:t>
            </w:r>
          </w:p>
        </w:tc>
        <w:tc>
          <w:tcPr>
            <w:tcW w:w="1660" w:type="dxa"/>
            <w:vAlign w:val="bottom"/>
            <w:gridSpan w:val="2"/>
          </w:tcPr>
          <w:p>
            <w:pPr>
              <w:jc w:val="right"/>
              <w:ind w:right="140"/>
              <w:spacing w:after="0"/>
              <w:rPr>
                <w:sz w:val="20"/>
                <w:szCs w:val="20"/>
                <w:color w:val="auto"/>
              </w:rPr>
            </w:pPr>
            <w:r>
              <w:rPr>
                <w:rFonts w:ascii="Arial" w:cs="Arial" w:eastAsia="Arial" w:hAnsi="Arial"/>
                <w:sz w:val="19"/>
                <w:szCs w:val="19"/>
                <w:color w:val="auto"/>
              </w:rPr>
              <w:t>(30.0)%</w:t>
            </w:r>
          </w:p>
        </w:tc>
        <w:tc>
          <w:tcPr>
            <w:tcW w:w="4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9"/>
                <w:szCs w:val="19"/>
                <w:color w:val="auto"/>
              </w:rPr>
              <w:t>(56.9)%</w:t>
            </w:r>
          </w:p>
        </w:tc>
        <w:tc>
          <w:tcPr>
            <w:tcW w:w="0" w:type="dxa"/>
            <w:vAlign w:val="bottom"/>
          </w:tcPr>
          <w:p>
            <w:pPr>
              <w:spacing w:after="0"/>
              <w:rPr>
                <w:sz w:val="1"/>
                <w:szCs w:val="1"/>
                <w:color w:val="auto"/>
              </w:rPr>
            </w:pPr>
          </w:p>
        </w:tc>
      </w:tr>
      <w:tr>
        <w:trPr>
          <w:trHeight w:val="236"/>
        </w:trPr>
        <w:tc>
          <w:tcPr>
            <w:tcW w:w="6900" w:type="dxa"/>
            <w:vAlign w:val="bottom"/>
          </w:tcPr>
          <w:p>
            <w:pPr>
              <w:ind w:left="20"/>
              <w:spacing w:after="0"/>
              <w:rPr>
                <w:sz w:val="20"/>
                <w:szCs w:val="20"/>
                <w:color w:val="auto"/>
              </w:rPr>
            </w:pPr>
            <w:r>
              <w:rPr>
                <w:rFonts w:ascii="Arial" w:cs="Arial" w:eastAsia="Arial" w:hAnsi="Arial"/>
                <w:sz w:val="19"/>
                <w:szCs w:val="19"/>
                <w:color w:val="auto"/>
              </w:rPr>
              <w:t>Tax credits</w:t>
            </w:r>
          </w:p>
        </w:tc>
        <w:tc>
          <w:tcPr>
            <w:tcW w:w="1660" w:type="dxa"/>
            <w:vAlign w:val="bottom"/>
            <w:gridSpan w:val="2"/>
          </w:tcPr>
          <w:p>
            <w:pPr>
              <w:jc w:val="right"/>
              <w:ind w:right="200"/>
              <w:spacing w:after="0"/>
              <w:rPr>
                <w:sz w:val="20"/>
                <w:szCs w:val="20"/>
                <w:color w:val="auto"/>
              </w:rPr>
            </w:pPr>
            <w:r>
              <w:rPr>
                <w:rFonts w:ascii="Arial" w:cs="Arial" w:eastAsia="Arial" w:hAnsi="Arial"/>
                <w:sz w:val="19"/>
                <w:szCs w:val="19"/>
                <w:color w:val="auto"/>
              </w:rPr>
              <w:t>2.9%</w:t>
            </w:r>
          </w:p>
        </w:tc>
        <w:tc>
          <w:tcPr>
            <w:tcW w:w="4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9"/>
                <w:szCs w:val="19"/>
                <w:color w:val="auto"/>
              </w:rPr>
              <w:t>7.6%</w:t>
            </w:r>
          </w:p>
        </w:tc>
        <w:tc>
          <w:tcPr>
            <w:tcW w:w="0" w:type="dxa"/>
            <w:vAlign w:val="bottom"/>
          </w:tcPr>
          <w:p>
            <w:pPr>
              <w:spacing w:after="0"/>
              <w:rPr>
                <w:sz w:val="1"/>
                <w:szCs w:val="1"/>
                <w:color w:val="auto"/>
              </w:rPr>
            </w:pPr>
          </w:p>
        </w:tc>
      </w:tr>
      <w:tr>
        <w:trPr>
          <w:trHeight w:val="208"/>
        </w:trPr>
        <w:tc>
          <w:tcPr>
            <w:tcW w:w="690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w:t>
            </w:r>
          </w:p>
        </w:tc>
        <w:tc>
          <w:tcPr>
            <w:tcW w:w="38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90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-1118870</wp:posOffset>
            </wp:positionV>
            <wp:extent cx="6438900" cy="1021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9">
                      <a:extLst>
                        <a:ext uri="{28A0092B-C50C-407E-A947-70E740481C1C}"/>
                      </a:extLst>
                    </a:blip>
                    <a:srcRect/>
                    <a:stretch>
                      <a:fillRect/>
                    </a:stretch>
                  </pic:blipFill>
                  <pic:spPr bwMode="auto">
                    <a:xfrm>
                      <a:off x="0" y="0"/>
                      <a:ext cx="6438900" cy="1021715"/>
                    </a:xfrm>
                    <a:prstGeom prst="rect">
                      <a:avLst/>
                    </a:prstGeom>
                    <a:noFill/>
                  </pic:spPr>
                </pic:pic>
              </a:graphicData>
            </a:graphic>
          </wp:anchor>
        </w:drawing>
      </w:r>
    </w:p>
    <w:p>
      <w:pPr>
        <w:spacing w:after="0" w:line="66" w:lineRule="exact"/>
        <w:rPr>
          <w:sz w:val="20"/>
          <w:szCs w:val="20"/>
          <w:color w:val="auto"/>
        </w:rPr>
      </w:pPr>
    </w:p>
    <w:p>
      <w:pPr>
        <w:ind w:left="20" w:right="200"/>
        <w:spacing w:after="0" w:line="253" w:lineRule="auto"/>
        <w:rPr>
          <w:sz w:val="20"/>
          <w:szCs w:val="20"/>
          <w:color w:val="auto"/>
        </w:rPr>
      </w:pPr>
      <w:r>
        <w:rPr>
          <w:rFonts w:ascii="Arial" w:cs="Arial" w:eastAsia="Arial" w:hAnsi="Arial"/>
          <w:sz w:val="19"/>
          <w:szCs w:val="19"/>
          <w:color w:val="auto"/>
        </w:rPr>
        <w:t>On October 4, 2023, the Governor of Massachusetts signed into law a bill that included the adoption of a single sales apportionment factor effective on January 1, 2025. As required under ASC 740, the Company has accounted for the deferred tax impacts of this tax law change in the period the tax law was enacted, which has the impact of reducing its state deferred tax assets. The impact of the tax law change is offset by a change in valuation allowance.</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9"/>
          <w:szCs w:val="19"/>
          <w:color w:val="auto"/>
        </w:rPr>
        <w:t>Net deferred tax assets as of December 31, 2023 and 2022 consist of the following (in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81280</wp:posOffset>
                </wp:positionV>
                <wp:extent cx="6437630"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76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6.4pt" to="506.45pt,6.4pt" o:allowincell="f" strokecolor="#000000" strokeweight="0.7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F-18</w:t>
      </w:r>
    </w:p>
    <w:p>
      <w:pPr>
        <w:sectPr>
          <w:pgSz w:w="12240" w:h="15840" w:orient="portrait"/>
          <w:cols w:equalWidth="0" w:num="1">
            <w:col w:w="10120"/>
          </w:cols>
          <w:pgMar w:left="1060" w:top="1061" w:right="1060" w:bottom="173"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184"/>
        </w:trPr>
        <w:tc>
          <w:tcPr>
            <w:tcW w:w="6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40" w:type="dxa"/>
            <w:vAlign w:val="bottom"/>
            <w:gridSpan w:val="3"/>
          </w:tcPr>
          <w:p>
            <w:pPr>
              <w:jc w:val="right"/>
              <w:ind w:right="5"/>
              <w:spacing w:after="0"/>
              <w:rPr>
                <w:sz w:val="20"/>
                <w:szCs w:val="20"/>
                <w:color w:val="auto"/>
              </w:rPr>
            </w:pPr>
            <w:r>
              <w:rPr>
                <w:rFonts w:ascii="Arial" w:cs="Arial" w:eastAsia="Arial" w:hAnsi="Arial"/>
                <w:sz w:val="16"/>
                <w:szCs w:val="16"/>
                <w:b w:val="1"/>
                <w:bCs w:val="1"/>
                <w:color w:val="auto"/>
              </w:rPr>
              <w:t>YEAR ENDED</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4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940" w:type="dxa"/>
            <w:vAlign w:val="bottom"/>
            <w:vMerge w:val="restart"/>
          </w:tcPr>
          <w:p>
            <w:pPr>
              <w:ind w:left="20"/>
              <w:spacing w:after="0"/>
              <w:rPr>
                <w:sz w:val="20"/>
                <w:szCs w:val="20"/>
                <w:color w:val="auto"/>
              </w:rPr>
            </w:pPr>
            <w:r>
              <w:rPr>
                <w:rFonts w:ascii="Arial" w:cs="Arial" w:eastAsia="Arial" w:hAnsi="Arial"/>
                <w:sz w:val="19"/>
                <w:szCs w:val="19"/>
                <w:color w:val="auto"/>
              </w:rPr>
              <w:t>Deferred tax assets: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28"/>
              <w:spacing w:after="0"/>
              <w:rPr>
                <w:sz w:val="20"/>
                <w:szCs w:val="20"/>
                <w:color w:val="auto"/>
              </w:rPr>
            </w:pPr>
            <w:r>
              <w:rPr>
                <w:rFonts w:ascii="Arial" w:cs="Arial" w:eastAsia="Arial" w:hAnsi="Arial"/>
                <w:sz w:val="16"/>
                <w:szCs w:val="16"/>
                <w:b w:val="1"/>
                <w:bCs w:val="1"/>
                <w:color w:val="auto"/>
              </w:rPr>
              <w:t>2023</w:t>
            </w:r>
          </w:p>
        </w:tc>
        <w:tc>
          <w:tcPr>
            <w:tcW w:w="2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26"/>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69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940" w:type="dxa"/>
            <w:vAlign w:val="bottom"/>
          </w:tcPr>
          <w:p>
            <w:pPr>
              <w:ind w:left="120"/>
              <w:spacing w:after="0"/>
              <w:rPr>
                <w:sz w:val="20"/>
                <w:szCs w:val="20"/>
                <w:color w:val="auto"/>
              </w:rPr>
            </w:pPr>
            <w:r>
              <w:rPr>
                <w:rFonts w:ascii="Arial" w:cs="Arial" w:eastAsia="Arial" w:hAnsi="Arial"/>
                <w:sz w:val="19"/>
                <w:szCs w:val="19"/>
                <w:color w:val="auto"/>
              </w:rPr>
              <w:t>Net operating losses</w:t>
            </w:r>
          </w:p>
        </w:tc>
        <w:tc>
          <w:tcPr>
            <w:tcW w:w="320" w:type="dxa"/>
            <w:vAlign w:val="bottom"/>
          </w:tcPr>
          <w:p>
            <w:pPr>
              <w:jc w:val="right"/>
              <w:ind w:right="125"/>
              <w:spacing w:after="0"/>
              <w:rPr>
                <w:sz w:val="20"/>
                <w:szCs w:val="20"/>
                <w:color w:val="auto"/>
              </w:rPr>
            </w:pPr>
            <w:r>
              <w:rPr>
                <w:rFonts w:ascii="Arial" w:cs="Arial" w:eastAsia="Arial" w:hAnsi="Arial"/>
                <w:sz w:val="19"/>
                <w:szCs w:val="19"/>
                <w:color w:val="auto"/>
                <w:w w:val="75"/>
              </w:rPr>
              <w:t>$</w:t>
            </w:r>
          </w:p>
        </w:tc>
        <w:tc>
          <w:tcPr>
            <w:tcW w:w="1080" w:type="dxa"/>
            <w:vAlign w:val="bottom"/>
          </w:tcPr>
          <w:p>
            <w:pPr>
              <w:jc w:val="right"/>
              <w:spacing w:after="0"/>
              <w:rPr>
                <w:sz w:val="20"/>
                <w:szCs w:val="20"/>
                <w:color w:val="auto"/>
              </w:rPr>
            </w:pPr>
            <w:r>
              <w:rPr>
                <w:rFonts w:ascii="Arial" w:cs="Arial" w:eastAsia="Arial" w:hAnsi="Arial"/>
                <w:sz w:val="19"/>
                <w:szCs w:val="19"/>
                <w:color w:val="auto"/>
              </w:rPr>
              <w:t>23,136</w:t>
            </w:r>
          </w:p>
        </w:tc>
        <w:tc>
          <w:tcPr>
            <w:tcW w:w="260" w:type="dxa"/>
            <w:vAlign w:val="bottom"/>
          </w:tcPr>
          <w:p>
            <w:pPr>
              <w:spacing w:after="0"/>
              <w:rPr>
                <w:sz w:val="18"/>
                <w:szCs w:val="18"/>
                <w:color w:val="auto"/>
              </w:rPr>
            </w:pPr>
          </w:p>
        </w:tc>
        <w:tc>
          <w:tcPr>
            <w:tcW w:w="500" w:type="dxa"/>
            <w:vAlign w:val="bottom"/>
          </w:tcPr>
          <w:p>
            <w:pPr>
              <w:jc w:val="right"/>
              <w:ind w:right="305"/>
              <w:spacing w:after="0"/>
              <w:rPr>
                <w:sz w:val="20"/>
                <w:szCs w:val="20"/>
                <w:color w:val="auto"/>
              </w:rPr>
            </w:pPr>
            <w:r>
              <w:rPr>
                <w:rFonts w:ascii="Arial" w:cs="Arial" w:eastAsia="Arial" w:hAnsi="Arial"/>
                <w:sz w:val="19"/>
                <w:szCs w:val="19"/>
                <w:color w:val="auto"/>
                <w:w w:val="75"/>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17,748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940" w:type="dxa"/>
            <w:vAlign w:val="bottom"/>
          </w:tcPr>
          <w:p>
            <w:pPr>
              <w:ind w:left="120"/>
              <w:spacing w:after="0"/>
              <w:rPr>
                <w:sz w:val="20"/>
                <w:szCs w:val="20"/>
                <w:color w:val="auto"/>
              </w:rPr>
            </w:pPr>
            <w:r>
              <w:rPr>
                <w:rFonts w:ascii="Arial" w:cs="Arial" w:eastAsia="Arial" w:hAnsi="Arial"/>
                <w:sz w:val="19"/>
                <w:szCs w:val="19"/>
                <w:color w:val="auto"/>
              </w:rPr>
              <w:t>Intangibles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506</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572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940" w:type="dxa"/>
            <w:vAlign w:val="bottom"/>
          </w:tcPr>
          <w:p>
            <w:pPr>
              <w:ind w:left="120"/>
              <w:spacing w:after="0"/>
              <w:rPr>
                <w:sz w:val="20"/>
                <w:szCs w:val="20"/>
                <w:color w:val="auto"/>
              </w:rPr>
            </w:pPr>
            <w:r>
              <w:rPr>
                <w:rFonts w:ascii="Arial" w:cs="Arial" w:eastAsia="Arial" w:hAnsi="Arial"/>
                <w:sz w:val="19"/>
                <w:szCs w:val="19"/>
                <w:color w:val="auto"/>
              </w:rPr>
              <w:t>Accrued expenses and other</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434</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601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940" w:type="dxa"/>
            <w:vAlign w:val="bottom"/>
          </w:tcPr>
          <w:p>
            <w:pPr>
              <w:ind w:left="120"/>
              <w:spacing w:after="0"/>
              <w:rPr>
                <w:sz w:val="20"/>
                <w:szCs w:val="20"/>
                <w:color w:val="auto"/>
              </w:rPr>
            </w:pPr>
            <w:r>
              <w:rPr>
                <w:rFonts w:ascii="Arial" w:cs="Arial" w:eastAsia="Arial" w:hAnsi="Arial"/>
                <w:sz w:val="19"/>
                <w:szCs w:val="19"/>
                <w:color w:val="auto"/>
              </w:rPr>
              <w:t>Deferred revenue</w:t>
            </w:r>
          </w:p>
        </w:tc>
        <w:tc>
          <w:tcPr>
            <w:tcW w:w="32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9"/>
                <w:szCs w:val="19"/>
                <w:color w:val="auto"/>
              </w:rPr>
              <w:t>—</w:t>
            </w:r>
          </w:p>
        </w:tc>
        <w:tc>
          <w:tcPr>
            <w:tcW w:w="5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8"/>
        </w:trPr>
        <w:tc>
          <w:tcPr>
            <w:tcW w:w="6940" w:type="dxa"/>
            <w:vAlign w:val="bottom"/>
          </w:tcPr>
          <w:p>
            <w:pPr>
              <w:ind w:left="120"/>
              <w:spacing w:after="0"/>
              <w:rPr>
                <w:sz w:val="20"/>
                <w:szCs w:val="20"/>
                <w:color w:val="auto"/>
              </w:rPr>
            </w:pPr>
            <w:r>
              <w:rPr>
                <w:rFonts w:ascii="Arial" w:cs="Arial" w:eastAsia="Arial" w:hAnsi="Arial"/>
                <w:sz w:val="19"/>
                <w:szCs w:val="19"/>
                <w:color w:val="auto"/>
              </w:rPr>
              <w:t>Lease liability</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406</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524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940" w:type="dxa"/>
            <w:vAlign w:val="bottom"/>
          </w:tcPr>
          <w:p>
            <w:pPr>
              <w:ind w:left="120"/>
              <w:spacing w:after="0"/>
              <w:rPr>
                <w:sz w:val="20"/>
                <w:szCs w:val="20"/>
                <w:color w:val="auto"/>
              </w:rPr>
            </w:pPr>
            <w:r>
              <w:rPr>
                <w:rFonts w:ascii="Arial" w:cs="Arial" w:eastAsia="Arial" w:hAnsi="Arial"/>
                <w:sz w:val="19"/>
                <w:szCs w:val="19"/>
                <w:color w:val="auto"/>
              </w:rPr>
              <w:t>Stock compensation</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1,168</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863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940" w:type="dxa"/>
            <w:vAlign w:val="bottom"/>
          </w:tcPr>
          <w:p>
            <w:pPr>
              <w:ind w:left="120"/>
              <w:spacing w:after="0"/>
              <w:rPr>
                <w:sz w:val="20"/>
                <w:szCs w:val="20"/>
                <w:color w:val="auto"/>
              </w:rPr>
            </w:pPr>
            <w:r>
              <w:rPr>
                <w:rFonts w:ascii="Arial" w:cs="Arial" w:eastAsia="Arial" w:hAnsi="Arial"/>
                <w:sz w:val="19"/>
                <w:szCs w:val="19"/>
                <w:color w:val="auto"/>
              </w:rPr>
              <w:t>Capitalized R&amp;D expenditures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9,200</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4,931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940" w:type="dxa"/>
            <w:vAlign w:val="bottom"/>
          </w:tcPr>
          <w:p>
            <w:pPr>
              <w:ind w:left="120"/>
              <w:spacing w:after="0"/>
              <w:rPr>
                <w:sz w:val="20"/>
                <w:szCs w:val="20"/>
                <w:color w:val="auto"/>
              </w:rPr>
            </w:pPr>
            <w:r>
              <w:rPr>
                <w:rFonts w:ascii="Arial" w:cs="Arial" w:eastAsia="Arial" w:hAnsi="Arial"/>
                <w:sz w:val="19"/>
                <w:szCs w:val="19"/>
                <w:color w:val="auto"/>
              </w:rPr>
              <w:t>Credits</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6,199</w:t>
            </w:r>
          </w:p>
        </w:tc>
        <w:tc>
          <w:tcPr>
            <w:tcW w:w="2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4,755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940" w:type="dxa"/>
            <w:vAlign w:val="bottom"/>
          </w:tcPr>
          <w:p>
            <w:pPr>
              <w:ind w:left="300"/>
              <w:spacing w:after="0" w:line="191" w:lineRule="exact"/>
              <w:rPr>
                <w:sz w:val="20"/>
                <w:szCs w:val="20"/>
                <w:color w:val="auto"/>
              </w:rPr>
            </w:pPr>
            <w:r>
              <w:rPr>
                <w:rFonts w:ascii="Arial" w:cs="Arial" w:eastAsia="Arial" w:hAnsi="Arial"/>
                <w:sz w:val="19"/>
                <w:szCs w:val="19"/>
                <w:color w:val="auto"/>
              </w:rPr>
              <w:t>Total deferred tax assets</w:t>
            </w:r>
          </w:p>
        </w:tc>
        <w:tc>
          <w:tcPr>
            <w:tcW w:w="320" w:type="dxa"/>
            <w:vAlign w:val="bottom"/>
          </w:tcPr>
          <w:p>
            <w:pPr>
              <w:spacing w:after="0"/>
              <w:rPr>
                <w:sz w:val="16"/>
                <w:szCs w:val="16"/>
                <w:color w:val="auto"/>
              </w:rPr>
            </w:pPr>
          </w:p>
        </w:tc>
        <w:tc>
          <w:tcPr>
            <w:tcW w:w="1080" w:type="dxa"/>
            <w:vAlign w:val="bottom"/>
          </w:tcPr>
          <w:p>
            <w:pPr>
              <w:jc w:val="right"/>
              <w:spacing w:after="0" w:line="191" w:lineRule="exact"/>
              <w:rPr>
                <w:sz w:val="20"/>
                <w:szCs w:val="20"/>
                <w:color w:val="auto"/>
              </w:rPr>
            </w:pPr>
            <w:r>
              <w:rPr>
                <w:rFonts w:ascii="Arial" w:cs="Arial" w:eastAsia="Arial" w:hAnsi="Arial"/>
                <w:sz w:val="19"/>
                <w:szCs w:val="19"/>
                <w:color w:val="auto"/>
              </w:rPr>
              <w:t>41,049</w:t>
            </w: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Arial" w:cs="Arial" w:eastAsia="Arial" w:hAnsi="Arial"/>
                <w:sz w:val="19"/>
                <w:szCs w:val="19"/>
                <w:color w:val="auto"/>
              </w:rPr>
              <w:t>29,994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940" w:type="dxa"/>
            <w:vAlign w:val="bottom"/>
          </w:tcPr>
          <w:p>
            <w:pPr>
              <w:ind w:left="20"/>
              <w:spacing w:after="0"/>
              <w:rPr>
                <w:sz w:val="20"/>
                <w:szCs w:val="20"/>
                <w:color w:val="auto"/>
              </w:rPr>
            </w:pPr>
            <w:r>
              <w:rPr>
                <w:rFonts w:ascii="Arial" w:cs="Arial" w:eastAsia="Arial" w:hAnsi="Arial"/>
                <w:sz w:val="19"/>
                <w:szCs w:val="19"/>
                <w:color w:val="auto"/>
              </w:rPr>
              <w:t>Valuation allowance</w:t>
            </w:r>
          </w:p>
        </w:tc>
        <w:tc>
          <w:tcPr>
            <w:tcW w:w="3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9"/>
                <w:szCs w:val="19"/>
                <w:color w:val="auto"/>
              </w:rPr>
              <w:t>(40,548)</w:t>
            </w:r>
          </w:p>
        </w:tc>
        <w:tc>
          <w:tcPr>
            <w:tcW w:w="5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9"/>
                <w:szCs w:val="19"/>
                <w:color w:val="auto"/>
              </w:rPr>
              <w:t>(29,166)</w:t>
            </w:r>
          </w:p>
        </w:tc>
        <w:tc>
          <w:tcPr>
            <w:tcW w:w="0" w:type="dxa"/>
            <w:vAlign w:val="bottom"/>
          </w:tcPr>
          <w:p>
            <w:pPr>
              <w:spacing w:after="0"/>
              <w:rPr>
                <w:sz w:val="1"/>
                <w:szCs w:val="1"/>
                <w:color w:val="auto"/>
              </w:rPr>
            </w:pPr>
          </w:p>
        </w:tc>
      </w:tr>
      <w:tr>
        <w:trPr>
          <w:trHeight w:val="208"/>
        </w:trPr>
        <w:tc>
          <w:tcPr>
            <w:tcW w:w="6940" w:type="dxa"/>
            <w:vAlign w:val="bottom"/>
          </w:tcPr>
          <w:p>
            <w:pPr>
              <w:ind w:left="340"/>
              <w:spacing w:after="0" w:line="209" w:lineRule="exact"/>
              <w:rPr>
                <w:sz w:val="20"/>
                <w:szCs w:val="20"/>
                <w:color w:val="auto"/>
              </w:rPr>
            </w:pPr>
            <w:r>
              <w:rPr>
                <w:rFonts w:ascii="Arial" w:cs="Arial" w:eastAsia="Arial" w:hAnsi="Arial"/>
                <w:sz w:val="19"/>
                <w:szCs w:val="19"/>
                <w:color w:val="auto"/>
              </w:rPr>
              <w:t>Net deferred tax assets</w:t>
            </w: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501</w:t>
            </w:r>
          </w:p>
        </w:tc>
        <w:tc>
          <w:tcPr>
            <w:tcW w:w="260" w:type="dxa"/>
            <w:vAlign w:val="bottom"/>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828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940" w:type="dxa"/>
            <w:vAlign w:val="bottom"/>
          </w:tcPr>
          <w:p>
            <w:pPr>
              <w:ind w:left="20"/>
              <w:spacing w:after="0" w:line="191" w:lineRule="exact"/>
              <w:rPr>
                <w:sz w:val="20"/>
                <w:szCs w:val="20"/>
                <w:color w:val="auto"/>
              </w:rPr>
            </w:pPr>
            <w:r>
              <w:rPr>
                <w:rFonts w:ascii="Arial" w:cs="Arial" w:eastAsia="Arial" w:hAnsi="Arial"/>
                <w:sz w:val="19"/>
                <w:szCs w:val="19"/>
                <w:color w:val="auto"/>
              </w:rPr>
              <w:t>Deferred tax liabilities:</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940" w:type="dxa"/>
            <w:vAlign w:val="bottom"/>
          </w:tcPr>
          <w:p>
            <w:pPr>
              <w:ind w:left="120"/>
              <w:spacing w:after="0"/>
              <w:rPr>
                <w:sz w:val="20"/>
                <w:szCs w:val="20"/>
                <w:color w:val="auto"/>
              </w:rPr>
            </w:pPr>
            <w:r>
              <w:rPr>
                <w:rFonts w:ascii="Arial" w:cs="Arial" w:eastAsia="Arial" w:hAnsi="Arial"/>
                <w:sz w:val="19"/>
                <w:szCs w:val="19"/>
                <w:color w:val="auto"/>
              </w:rPr>
              <w:t>Right of use asset</w:t>
            </w: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9"/>
                <w:szCs w:val="19"/>
                <w:color w:val="auto"/>
              </w:rPr>
              <w:t>(223)</w:t>
            </w:r>
          </w:p>
        </w:tc>
        <w:tc>
          <w:tcPr>
            <w:tcW w:w="5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9"/>
                <w:szCs w:val="19"/>
                <w:color w:val="auto"/>
              </w:rPr>
              <w:t>(284)</w:t>
            </w:r>
          </w:p>
        </w:tc>
        <w:tc>
          <w:tcPr>
            <w:tcW w:w="0" w:type="dxa"/>
            <w:vAlign w:val="bottom"/>
          </w:tcPr>
          <w:p>
            <w:pPr>
              <w:spacing w:after="0"/>
              <w:rPr>
                <w:sz w:val="1"/>
                <w:szCs w:val="1"/>
                <w:color w:val="auto"/>
              </w:rPr>
            </w:pPr>
          </w:p>
        </w:tc>
      </w:tr>
      <w:tr>
        <w:trPr>
          <w:trHeight w:val="236"/>
        </w:trPr>
        <w:tc>
          <w:tcPr>
            <w:tcW w:w="6940" w:type="dxa"/>
            <w:vAlign w:val="bottom"/>
          </w:tcPr>
          <w:p>
            <w:pPr>
              <w:ind w:left="120"/>
              <w:spacing w:after="0"/>
              <w:rPr>
                <w:sz w:val="20"/>
                <w:szCs w:val="20"/>
                <w:color w:val="auto"/>
              </w:rPr>
            </w:pPr>
            <w:r>
              <w:rPr>
                <w:rFonts w:ascii="Arial" w:cs="Arial" w:eastAsia="Arial" w:hAnsi="Arial"/>
                <w:sz w:val="19"/>
                <w:szCs w:val="19"/>
                <w:color w:val="auto"/>
              </w:rPr>
              <w:t>Other</w:t>
            </w:r>
          </w:p>
        </w:tc>
        <w:tc>
          <w:tcPr>
            <w:tcW w:w="3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9"/>
                <w:szCs w:val="19"/>
                <w:color w:val="auto"/>
              </w:rPr>
              <w:t>(278)</w:t>
            </w:r>
          </w:p>
        </w:tc>
        <w:tc>
          <w:tcPr>
            <w:tcW w:w="5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9"/>
                <w:szCs w:val="19"/>
                <w:color w:val="auto"/>
              </w:rPr>
              <w:t>(544)</w:t>
            </w:r>
          </w:p>
        </w:tc>
        <w:tc>
          <w:tcPr>
            <w:tcW w:w="0" w:type="dxa"/>
            <w:vAlign w:val="bottom"/>
          </w:tcPr>
          <w:p>
            <w:pPr>
              <w:spacing w:after="0"/>
              <w:rPr>
                <w:sz w:val="1"/>
                <w:szCs w:val="1"/>
                <w:color w:val="auto"/>
              </w:rPr>
            </w:pPr>
          </w:p>
        </w:tc>
      </w:tr>
      <w:tr>
        <w:trPr>
          <w:trHeight w:val="208"/>
        </w:trPr>
        <w:tc>
          <w:tcPr>
            <w:tcW w:w="6940" w:type="dxa"/>
            <w:vAlign w:val="bottom"/>
          </w:tcPr>
          <w:p>
            <w:pPr>
              <w:ind w:left="300"/>
              <w:spacing w:after="0" w:line="209" w:lineRule="exact"/>
              <w:rPr>
                <w:sz w:val="20"/>
                <w:szCs w:val="20"/>
                <w:color w:val="auto"/>
              </w:rPr>
            </w:pPr>
            <w:r>
              <w:rPr>
                <w:rFonts w:ascii="Arial" w:cs="Arial" w:eastAsia="Arial" w:hAnsi="Arial"/>
                <w:sz w:val="19"/>
                <w:szCs w:val="19"/>
                <w:color w:val="auto"/>
              </w:rPr>
              <w:t>Total deferred tax liabilities</w:t>
            </w: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(501)</w:t>
            </w:r>
          </w:p>
        </w:tc>
        <w:tc>
          <w:tcPr>
            <w:tcW w:w="260" w:type="dxa"/>
            <w:vAlign w:val="bottom"/>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(828)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940" w:type="dxa"/>
            <w:vAlign w:val="bottom"/>
          </w:tcPr>
          <w:p>
            <w:pPr>
              <w:ind w:left="300"/>
              <w:spacing w:after="0" w:line="209" w:lineRule="exact"/>
              <w:rPr>
                <w:sz w:val="20"/>
                <w:szCs w:val="20"/>
                <w:color w:val="auto"/>
              </w:rPr>
            </w:pPr>
            <w:r>
              <w:rPr>
                <w:rFonts w:ascii="Arial" w:cs="Arial" w:eastAsia="Arial" w:hAnsi="Arial"/>
                <w:sz w:val="19"/>
                <w:szCs w:val="19"/>
                <w:color w:val="auto"/>
              </w:rPr>
              <w:t>Net deferred tax assets (liabilities)</w:t>
            </w:r>
          </w:p>
        </w:tc>
        <w:tc>
          <w:tcPr>
            <w:tcW w:w="320" w:type="dxa"/>
            <w:vAlign w:val="bottom"/>
            <w:tcBorders>
              <w:bottom w:val="single" w:sz="8" w:color="auto"/>
            </w:tcBorders>
          </w:tcPr>
          <w:p>
            <w:pPr>
              <w:jc w:val="right"/>
              <w:ind w:right="125"/>
              <w:spacing w:after="0" w:line="209" w:lineRule="exact"/>
              <w:rPr>
                <w:sz w:val="20"/>
                <w:szCs w:val="20"/>
                <w:color w:val="auto"/>
              </w:rPr>
            </w:pPr>
            <w:r>
              <w:rPr>
                <w:rFonts w:ascii="Arial" w:cs="Arial" w:eastAsia="Arial" w:hAnsi="Arial"/>
                <w:sz w:val="19"/>
                <w:szCs w:val="19"/>
                <w:color w:val="auto"/>
                <w:w w:val="75"/>
              </w:rPr>
              <w:t>$</w:t>
            </w:r>
          </w:p>
        </w:tc>
        <w:tc>
          <w:tcPr>
            <w:tcW w:w="108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w:t>
            </w:r>
          </w:p>
        </w:tc>
        <w:tc>
          <w:tcPr>
            <w:tcW w:w="260" w:type="dxa"/>
            <w:vAlign w:val="bottom"/>
          </w:tcPr>
          <w:p>
            <w:pPr>
              <w:spacing w:after="0"/>
              <w:rPr>
                <w:sz w:val="18"/>
                <w:szCs w:val="18"/>
                <w:color w:val="auto"/>
              </w:rPr>
            </w:pPr>
          </w:p>
        </w:tc>
        <w:tc>
          <w:tcPr>
            <w:tcW w:w="500" w:type="dxa"/>
            <w:vAlign w:val="bottom"/>
            <w:tcBorders>
              <w:bottom w:val="single" w:sz="8" w:color="auto"/>
            </w:tcBorders>
          </w:tcPr>
          <w:p>
            <w:pPr>
              <w:jc w:val="right"/>
              <w:ind w:right="305"/>
              <w:spacing w:after="0" w:line="209" w:lineRule="exact"/>
              <w:rPr>
                <w:sz w:val="20"/>
                <w:szCs w:val="20"/>
                <w:color w:val="auto"/>
              </w:rPr>
            </w:pPr>
            <w:r>
              <w:rPr>
                <w:rFonts w:ascii="Arial" w:cs="Arial" w:eastAsia="Arial" w:hAnsi="Arial"/>
                <w:sz w:val="19"/>
                <w:szCs w:val="19"/>
                <w:color w:val="auto"/>
                <w:w w:val="75"/>
              </w:rPr>
              <w:t>$</w:t>
            </w:r>
          </w:p>
        </w:tc>
        <w:tc>
          <w:tcPr>
            <w:tcW w:w="90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9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-2379980</wp:posOffset>
            </wp:positionV>
            <wp:extent cx="6426200" cy="22771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0">
                      <a:extLst>
                        <a:ext uri="{28A0092B-C50C-407E-A947-70E740481C1C}"/>
                      </a:extLst>
                    </a:blip>
                    <a:srcRect/>
                    <a:stretch>
                      <a:fillRect/>
                    </a:stretch>
                  </pic:blipFill>
                  <pic:spPr bwMode="auto">
                    <a:xfrm>
                      <a:off x="0" y="0"/>
                      <a:ext cx="6426200" cy="2277110"/>
                    </a:xfrm>
                    <a:prstGeom prst="rect">
                      <a:avLst/>
                    </a:prstGeom>
                    <a:noFill/>
                  </pic:spPr>
                </pic:pic>
              </a:graphicData>
            </a:graphic>
          </wp:anchor>
        </w:drawing>
      </w:r>
    </w:p>
    <w:p>
      <w:pPr>
        <w:spacing w:after="0" w:line="226" w:lineRule="exact"/>
        <w:rPr>
          <w:sz w:val="20"/>
          <w:szCs w:val="20"/>
          <w:color w:val="auto"/>
        </w:rPr>
      </w:pPr>
    </w:p>
    <w:p>
      <w:pPr>
        <w:ind w:left="20" w:right="160"/>
        <w:spacing w:after="0" w:line="260" w:lineRule="auto"/>
        <w:rPr>
          <w:sz w:val="20"/>
          <w:szCs w:val="20"/>
          <w:color w:val="auto"/>
        </w:rPr>
      </w:pPr>
      <w:r>
        <w:rPr>
          <w:rFonts w:ascii="Arial" w:cs="Arial" w:eastAsia="Arial" w:hAnsi="Arial"/>
          <w:sz w:val="19"/>
          <w:szCs w:val="19"/>
          <w:color w:val="auto"/>
        </w:rPr>
        <w:t>As of December 31, 2023, the Company has gross federal and state net operating loss carryforwards of approximately $86.2 million and $79.6 million which begin to expire in 2027 and 2032, respectively. Additionally, the Company has $77.4 million of the federal net operating loss carryforwards that can be carried forward indefinitely.</w:t>
      </w:r>
    </w:p>
    <w:p>
      <w:pPr>
        <w:spacing w:after="0" w:line="105" w:lineRule="exact"/>
        <w:rPr>
          <w:sz w:val="20"/>
          <w:szCs w:val="20"/>
          <w:color w:val="auto"/>
        </w:rPr>
      </w:pPr>
    </w:p>
    <w:p>
      <w:pPr>
        <w:ind w:left="20" w:right="460"/>
        <w:spacing w:after="0" w:line="281" w:lineRule="auto"/>
        <w:rPr>
          <w:sz w:val="20"/>
          <w:szCs w:val="20"/>
          <w:color w:val="auto"/>
        </w:rPr>
      </w:pPr>
      <w:r>
        <w:rPr>
          <w:rFonts w:ascii="Arial" w:cs="Arial" w:eastAsia="Arial" w:hAnsi="Arial"/>
          <w:sz w:val="19"/>
          <w:szCs w:val="19"/>
          <w:color w:val="auto"/>
        </w:rPr>
        <w:t>As of December 31, 2023, the Company has gross federal and state tax credit carryforwards of approximately $4.5 million and $2.2 million, respectively, which begin to expire in 2036 and 2030, respectively.</w:t>
      </w:r>
    </w:p>
    <w:p>
      <w:pPr>
        <w:spacing w:after="0" w:line="85" w:lineRule="exact"/>
        <w:rPr>
          <w:sz w:val="20"/>
          <w:szCs w:val="20"/>
          <w:color w:val="auto"/>
        </w:rPr>
      </w:pPr>
    </w:p>
    <w:p>
      <w:pPr>
        <w:ind w:left="20" w:right="400"/>
        <w:spacing w:after="0" w:line="248" w:lineRule="auto"/>
        <w:rPr>
          <w:sz w:val="20"/>
          <w:szCs w:val="20"/>
          <w:color w:val="auto"/>
        </w:rPr>
      </w:pPr>
      <w:r>
        <w:rPr>
          <w:rFonts w:ascii="Arial" w:cs="Arial" w:eastAsia="Arial" w:hAnsi="Arial"/>
          <w:sz w:val="19"/>
          <w:szCs w:val="19"/>
          <w:color w:val="auto"/>
        </w:rPr>
        <w:t>Management of the Company has evaluated the positive and negative evidence bearing upon the realizability of its deferred tax assets, which are comprised principally of net operating loss carryforwards and certain tax credits. Management has considered the Company’s history of cumulative net losses incurred since inception, as well as its lack of product revenue since inception, and has determined that it is more likely than not that the Company will not realize the benefits of its deferred tax assets. As a result, a full valuation allowance has been established at December 31, 2023 and 2022.</w:t>
      </w:r>
    </w:p>
    <w:p>
      <w:pPr>
        <w:spacing w:after="0" w:line="116" w:lineRule="exact"/>
        <w:rPr>
          <w:sz w:val="20"/>
          <w:szCs w:val="20"/>
          <w:color w:val="auto"/>
        </w:rPr>
      </w:pPr>
    </w:p>
    <w:p>
      <w:pPr>
        <w:ind w:left="20" w:right="40"/>
        <w:spacing w:after="0" w:line="245" w:lineRule="auto"/>
        <w:rPr>
          <w:sz w:val="20"/>
          <w:szCs w:val="20"/>
          <w:color w:val="auto"/>
        </w:rPr>
      </w:pPr>
      <w:r>
        <w:rPr>
          <w:rFonts w:ascii="Arial" w:cs="Arial" w:eastAsia="Arial" w:hAnsi="Arial"/>
          <w:sz w:val="19"/>
          <w:szCs w:val="19"/>
          <w:color w:val="auto"/>
        </w:rPr>
        <w:t>Section 382 of the Internal Revenue Code of 1986, as amended (Section 382), contains rules that limit the ability of a company that undergoes in ownership change to utilize its net operating losses (NOLs) and tax credits existing as of the date of such ownership change. Under the rules, such an ownership change is generally any change in ownership of more than 50% of a company’s stock within a rolling three-year period. The rules generally operate by focusing on changes in ownership of all stock considered by the rules as owning, directly or indirectly, 5% or more of the stock of a company and any change in ownership arising from new issuances of stock by the company. The Company has not yet determined if such a limitation would be placed against its available net operating losses. The Company will make such a determination prior to the utilization of any future net operating losses.</w:t>
      </w:r>
    </w:p>
    <w:p>
      <w:pPr>
        <w:spacing w:after="0" w:line="124" w:lineRule="exact"/>
        <w:rPr>
          <w:sz w:val="20"/>
          <w:szCs w:val="20"/>
          <w:color w:val="auto"/>
        </w:rPr>
      </w:pPr>
    </w:p>
    <w:p>
      <w:pPr>
        <w:ind w:left="20" w:right="260"/>
        <w:spacing w:after="0" w:line="281" w:lineRule="auto"/>
        <w:rPr>
          <w:sz w:val="20"/>
          <w:szCs w:val="20"/>
          <w:color w:val="auto"/>
        </w:rPr>
      </w:pPr>
      <w:r>
        <w:rPr>
          <w:rFonts w:ascii="Arial" w:cs="Arial" w:eastAsia="Arial" w:hAnsi="Arial"/>
          <w:sz w:val="19"/>
          <w:szCs w:val="19"/>
          <w:color w:val="auto"/>
        </w:rPr>
        <w:t>A summary of changes in the valuation allowance for deferred tax assets during the years ended December 31, 2023 and 2022 were as follows (in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44450</wp:posOffset>
                </wp:positionV>
                <wp:extent cx="6437630"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76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3.5pt" to="506.45pt,3.5pt" o:allowincell="f" strokecolor="#000000" strokeweight="0.75pt"/>
            </w:pict>
          </mc:Fallback>
        </mc:AlternateConten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40" w:type="dxa"/>
            <w:vAlign w:val="bottom"/>
            <w:gridSpan w:val="3"/>
          </w:tcPr>
          <w:p>
            <w:pPr>
              <w:jc w:val="right"/>
              <w:ind w:right="5"/>
              <w:spacing w:after="0"/>
              <w:rPr>
                <w:sz w:val="20"/>
                <w:szCs w:val="20"/>
                <w:color w:val="auto"/>
              </w:rPr>
            </w:pPr>
            <w:r>
              <w:rPr>
                <w:rFonts w:ascii="Arial" w:cs="Arial" w:eastAsia="Arial" w:hAnsi="Arial"/>
                <w:sz w:val="16"/>
                <w:szCs w:val="16"/>
                <w:b w:val="1"/>
                <w:bCs w:val="1"/>
                <w:color w:val="auto"/>
              </w:rPr>
              <w:t>YEAR ENDED</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9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6940" w:type="dxa"/>
            <w:vAlign w:val="bottom"/>
            <w:vMerge w:val="restart"/>
          </w:tcPr>
          <w:p>
            <w:pPr>
              <w:ind w:left="20"/>
              <w:spacing w:after="0"/>
              <w:rPr>
                <w:sz w:val="20"/>
                <w:szCs w:val="20"/>
                <w:color w:val="auto"/>
              </w:rPr>
            </w:pPr>
            <w:r>
              <w:rPr>
                <w:rFonts w:ascii="Arial" w:cs="Arial" w:eastAsia="Arial" w:hAnsi="Arial"/>
                <w:sz w:val="19"/>
                <w:szCs w:val="19"/>
                <w:color w:val="auto"/>
              </w:rPr>
              <w:t>Valuation allowance</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31"/>
              <w:spacing w:after="0" w:line="174" w:lineRule="exact"/>
              <w:rPr>
                <w:sz w:val="20"/>
                <w:szCs w:val="20"/>
                <w:color w:val="auto"/>
              </w:rPr>
            </w:pPr>
            <w:r>
              <w:rPr>
                <w:rFonts w:ascii="Arial" w:cs="Arial" w:eastAsia="Arial" w:hAnsi="Arial"/>
                <w:sz w:val="16"/>
                <w:szCs w:val="16"/>
                <w:b w:val="1"/>
                <w:bCs w:val="1"/>
                <w:color w:val="auto"/>
              </w:rPr>
              <w:t>2023</w:t>
            </w:r>
          </w:p>
        </w:tc>
        <w:tc>
          <w:tcPr>
            <w:tcW w:w="26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28"/>
              <w:spacing w:after="0" w:line="174" w:lineRule="exact"/>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940" w:type="dxa"/>
            <w:vAlign w:val="bottom"/>
            <w:vMerge w:val="continue"/>
          </w:tcPr>
          <w:p>
            <w:pPr>
              <w:spacing w:after="0"/>
              <w:rPr>
                <w:sz w:val="16"/>
                <w:szCs w:val="16"/>
                <w:color w:val="auto"/>
              </w:rPr>
            </w:pPr>
          </w:p>
        </w:tc>
        <w:tc>
          <w:tcPr>
            <w:tcW w:w="320" w:type="dxa"/>
            <w:vAlign w:val="bottom"/>
          </w:tcPr>
          <w:p>
            <w:pPr>
              <w:jc w:val="right"/>
              <w:ind w:right="125"/>
              <w:spacing w:after="0" w:line="191" w:lineRule="exact"/>
              <w:rPr>
                <w:sz w:val="20"/>
                <w:szCs w:val="20"/>
                <w:color w:val="auto"/>
              </w:rPr>
            </w:pPr>
            <w:r>
              <w:rPr>
                <w:rFonts w:ascii="Arial" w:cs="Arial" w:eastAsia="Arial" w:hAnsi="Arial"/>
                <w:sz w:val="19"/>
                <w:szCs w:val="19"/>
                <w:color w:val="auto"/>
                <w:w w:val="75"/>
              </w:rPr>
              <w:t>$</w:t>
            </w:r>
          </w:p>
        </w:tc>
        <w:tc>
          <w:tcPr>
            <w:tcW w:w="1080" w:type="dxa"/>
            <w:vAlign w:val="bottom"/>
          </w:tcPr>
          <w:p>
            <w:pPr>
              <w:jc w:val="right"/>
              <w:spacing w:after="0" w:line="191" w:lineRule="exact"/>
              <w:rPr>
                <w:sz w:val="20"/>
                <w:szCs w:val="20"/>
                <w:color w:val="auto"/>
              </w:rPr>
            </w:pPr>
            <w:r>
              <w:rPr>
                <w:rFonts w:ascii="Arial" w:cs="Arial" w:eastAsia="Arial" w:hAnsi="Arial"/>
                <w:sz w:val="19"/>
                <w:szCs w:val="19"/>
                <w:color w:val="auto"/>
              </w:rPr>
              <w:t>29,166</w:t>
            </w:r>
          </w:p>
        </w:tc>
        <w:tc>
          <w:tcPr>
            <w:tcW w:w="260" w:type="dxa"/>
            <w:vAlign w:val="bottom"/>
          </w:tcPr>
          <w:p>
            <w:pPr>
              <w:spacing w:after="0"/>
              <w:rPr>
                <w:sz w:val="16"/>
                <w:szCs w:val="16"/>
                <w:color w:val="auto"/>
              </w:rPr>
            </w:pPr>
          </w:p>
        </w:tc>
        <w:tc>
          <w:tcPr>
            <w:tcW w:w="500" w:type="dxa"/>
            <w:vAlign w:val="bottom"/>
          </w:tcPr>
          <w:p>
            <w:pPr>
              <w:jc w:val="right"/>
              <w:ind w:right="305"/>
              <w:spacing w:after="0" w:line="191" w:lineRule="exact"/>
              <w:rPr>
                <w:sz w:val="20"/>
                <w:szCs w:val="20"/>
                <w:color w:val="auto"/>
              </w:rPr>
            </w:pPr>
            <w:r>
              <w:rPr>
                <w:rFonts w:ascii="Arial" w:cs="Arial" w:eastAsia="Arial" w:hAnsi="Arial"/>
                <w:sz w:val="19"/>
                <w:szCs w:val="19"/>
                <w:color w:val="auto"/>
                <w:w w:val="75"/>
              </w:rPr>
              <w:t>$</w:t>
            </w:r>
          </w:p>
        </w:tc>
        <w:tc>
          <w:tcPr>
            <w:tcW w:w="900" w:type="dxa"/>
            <w:vAlign w:val="bottom"/>
          </w:tcPr>
          <w:p>
            <w:pPr>
              <w:jc w:val="right"/>
              <w:spacing w:after="0" w:line="191" w:lineRule="exact"/>
              <w:rPr>
                <w:sz w:val="20"/>
                <w:szCs w:val="20"/>
                <w:color w:val="auto"/>
              </w:rPr>
            </w:pPr>
            <w:r>
              <w:rPr>
                <w:rFonts w:ascii="Arial" w:cs="Arial" w:eastAsia="Arial" w:hAnsi="Arial"/>
                <w:sz w:val="19"/>
                <w:szCs w:val="19"/>
                <w:color w:val="auto"/>
              </w:rPr>
              <w:t>18,493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940" w:type="dxa"/>
            <w:vAlign w:val="bottom"/>
          </w:tcPr>
          <w:p>
            <w:pPr>
              <w:ind w:left="300"/>
              <w:spacing w:after="0"/>
              <w:rPr>
                <w:sz w:val="20"/>
                <w:szCs w:val="20"/>
                <w:color w:val="auto"/>
              </w:rPr>
            </w:pPr>
            <w:r>
              <w:rPr>
                <w:rFonts w:ascii="Arial" w:cs="Arial" w:eastAsia="Arial" w:hAnsi="Arial"/>
                <w:sz w:val="19"/>
                <w:szCs w:val="19"/>
                <w:color w:val="auto"/>
              </w:rPr>
              <w:t>Increases recorded to income tax provision</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11,382</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10,673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940" w:type="dxa"/>
            <w:vAlign w:val="bottom"/>
          </w:tcPr>
          <w:p>
            <w:pPr>
              <w:ind w:left="300"/>
              <w:spacing w:after="0"/>
              <w:rPr>
                <w:sz w:val="20"/>
                <w:szCs w:val="20"/>
                <w:color w:val="auto"/>
              </w:rPr>
            </w:pPr>
            <w:r>
              <w:rPr>
                <w:rFonts w:ascii="Arial" w:cs="Arial" w:eastAsia="Arial" w:hAnsi="Arial"/>
                <w:sz w:val="19"/>
                <w:szCs w:val="19"/>
                <w:color w:val="auto"/>
              </w:rPr>
              <w:t>Decreases recorded to income tax provision</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2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6940" w:type="dxa"/>
            <w:vAlign w:val="bottom"/>
          </w:tcPr>
          <w:p>
            <w:pPr>
              <w:ind w:left="20"/>
              <w:spacing w:after="0" w:line="209" w:lineRule="exact"/>
              <w:rPr>
                <w:sz w:val="20"/>
                <w:szCs w:val="20"/>
                <w:color w:val="auto"/>
              </w:rPr>
            </w:pPr>
            <w:r>
              <w:rPr>
                <w:rFonts w:ascii="Arial" w:cs="Arial" w:eastAsia="Arial" w:hAnsi="Arial"/>
                <w:sz w:val="19"/>
                <w:szCs w:val="19"/>
                <w:color w:val="auto"/>
              </w:rPr>
              <w:t>Valuation allowance</w:t>
            </w:r>
          </w:p>
        </w:tc>
        <w:tc>
          <w:tcPr>
            <w:tcW w:w="320" w:type="dxa"/>
            <w:vAlign w:val="bottom"/>
            <w:tcBorders>
              <w:bottom w:val="single" w:sz="8" w:color="auto"/>
            </w:tcBorders>
          </w:tcPr>
          <w:p>
            <w:pPr>
              <w:jc w:val="right"/>
              <w:ind w:right="125"/>
              <w:spacing w:after="0" w:line="209" w:lineRule="exact"/>
              <w:rPr>
                <w:sz w:val="20"/>
                <w:szCs w:val="20"/>
                <w:color w:val="auto"/>
              </w:rPr>
            </w:pPr>
            <w:r>
              <w:rPr>
                <w:rFonts w:ascii="Arial" w:cs="Arial" w:eastAsia="Arial" w:hAnsi="Arial"/>
                <w:sz w:val="19"/>
                <w:szCs w:val="19"/>
                <w:color w:val="auto"/>
                <w:w w:val="75"/>
              </w:rPr>
              <w:t>$</w:t>
            </w:r>
          </w:p>
        </w:tc>
        <w:tc>
          <w:tcPr>
            <w:tcW w:w="108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40,548</w:t>
            </w:r>
          </w:p>
        </w:tc>
        <w:tc>
          <w:tcPr>
            <w:tcW w:w="260" w:type="dxa"/>
            <w:vAlign w:val="bottom"/>
          </w:tcPr>
          <w:p>
            <w:pPr>
              <w:spacing w:after="0"/>
              <w:rPr>
                <w:sz w:val="18"/>
                <w:szCs w:val="18"/>
                <w:color w:val="auto"/>
              </w:rPr>
            </w:pPr>
          </w:p>
        </w:tc>
        <w:tc>
          <w:tcPr>
            <w:tcW w:w="500" w:type="dxa"/>
            <w:vAlign w:val="bottom"/>
            <w:tcBorders>
              <w:bottom w:val="single" w:sz="8" w:color="auto"/>
            </w:tcBorders>
          </w:tcPr>
          <w:p>
            <w:pPr>
              <w:jc w:val="right"/>
              <w:ind w:right="305"/>
              <w:spacing w:after="0" w:line="209" w:lineRule="exact"/>
              <w:rPr>
                <w:sz w:val="20"/>
                <w:szCs w:val="20"/>
                <w:color w:val="auto"/>
              </w:rPr>
            </w:pPr>
            <w:r>
              <w:rPr>
                <w:rFonts w:ascii="Arial" w:cs="Arial" w:eastAsia="Arial" w:hAnsi="Arial"/>
                <w:sz w:val="19"/>
                <w:szCs w:val="19"/>
                <w:color w:val="auto"/>
                <w:w w:val="75"/>
              </w:rPr>
              <w:t>$</w:t>
            </w:r>
          </w:p>
        </w:tc>
        <w:tc>
          <w:tcPr>
            <w:tcW w:w="90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29,166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69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-702310</wp:posOffset>
            </wp:positionV>
            <wp:extent cx="6438900" cy="6057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1">
                      <a:extLst>
                        <a:ext uri="{28A0092B-C50C-407E-A947-70E740481C1C}"/>
                      </a:extLst>
                    </a:blip>
                    <a:srcRect/>
                    <a:stretch>
                      <a:fillRect/>
                    </a:stretch>
                  </pic:blipFill>
                  <pic:spPr bwMode="auto">
                    <a:xfrm>
                      <a:off x="0" y="0"/>
                      <a:ext cx="6438900" cy="605790"/>
                    </a:xfrm>
                    <a:prstGeom prst="rect">
                      <a:avLst/>
                    </a:prstGeom>
                    <a:noFill/>
                  </pic:spPr>
                </pic:pic>
              </a:graphicData>
            </a:graphic>
          </wp:anchor>
        </w:drawing>
      </w:r>
    </w:p>
    <w:p>
      <w:pPr>
        <w:spacing w:after="0" w:line="226" w:lineRule="exact"/>
        <w:rPr>
          <w:sz w:val="20"/>
          <w:szCs w:val="20"/>
          <w:color w:val="auto"/>
        </w:rPr>
      </w:pPr>
    </w:p>
    <w:p>
      <w:pPr>
        <w:ind w:left="20" w:right="120"/>
        <w:spacing w:after="0" w:line="253" w:lineRule="auto"/>
        <w:rPr>
          <w:sz w:val="20"/>
          <w:szCs w:val="20"/>
          <w:color w:val="auto"/>
        </w:rPr>
      </w:pPr>
      <w:r>
        <w:rPr>
          <w:rFonts w:ascii="Arial" w:cs="Arial" w:eastAsia="Arial" w:hAnsi="Arial"/>
          <w:sz w:val="19"/>
          <w:szCs w:val="19"/>
          <w:color w:val="auto"/>
        </w:rPr>
        <w:t>The Company files income tax returns in the United States and various state and local jurisdictions. The federal and state tax returns are generally subject to examination for the years ended December 31, 2014 through December 31, 2023. There are currently no pending tax examinations. To the extent the Company has tax attribute carryforwards, the tax year in which the attribute was generated may still be adjusted upon examination.</w:t>
      </w:r>
    </w:p>
    <w:p>
      <w:pPr>
        <w:spacing w:after="0" w:line="109" w:lineRule="exact"/>
        <w:rPr>
          <w:sz w:val="20"/>
          <w:szCs w:val="20"/>
          <w:color w:val="auto"/>
        </w:rPr>
      </w:pPr>
    </w:p>
    <w:p>
      <w:pPr>
        <w:ind w:left="4860" w:right="4860" w:hanging="4840"/>
        <w:spacing w:after="0" w:line="732" w:lineRule="auto"/>
        <w:tabs>
          <w:tab w:leader="none" w:pos="332" w:val="left"/>
        </w:tabs>
        <w:numPr>
          <w:ilvl w:val="0"/>
          <w:numId w:val="9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Exclusive Licensing Agreement with a Related Party </w:t>
      </w:r>
      <w:r>
        <w:rPr>
          <w:rFonts w:ascii="Arial" w:cs="Arial" w:eastAsia="Arial" w:hAnsi="Arial"/>
          <w:sz w:val="19"/>
          <w:szCs w:val="19"/>
          <w:color w:val="auto"/>
        </w:rPr>
        <w:t>F-19</w:t>
      </w:r>
    </w:p>
    <w:p>
      <w:pPr>
        <w:sectPr>
          <w:pgSz w:w="12240" w:h="15840" w:orient="portrait"/>
          <w:cols w:equalWidth="0" w:num="1">
            <w:col w:w="10120"/>
          </w:cols>
          <w:pgMar w:left="1060" w:top="1061" w:right="1060" w:bottom="0" w:gutter="0" w:footer="0" w:header="0"/>
        </w:sectPr>
      </w:pPr>
    </w:p>
    <w:bookmarkStart w:id="142" w:name="page143"/>
    <w:bookmarkEnd w:id="142"/>
    <w:p>
      <w:pPr>
        <w:ind w:right="20"/>
        <w:spacing w:after="0" w:line="243" w:lineRule="auto"/>
        <w:rPr>
          <w:sz w:val="20"/>
          <w:szCs w:val="20"/>
          <w:color w:val="auto"/>
        </w:rPr>
      </w:pPr>
      <w:r>
        <w:rPr>
          <w:rFonts w:ascii="Arial" w:cs="Arial" w:eastAsia="Arial" w:hAnsi="Arial"/>
          <w:sz w:val="19"/>
          <w:szCs w:val="19"/>
          <w:color w:val="auto"/>
        </w:rPr>
        <w:t>In March 2014, the Company entered into an exclusive licensing agreement with Ventagen, LLC (Ventagen) which provides Ventagen the right to develop products for commercial sale and distribution within Mexico, Belize, Guatemala, Honduras, El Salvador, Costa Rica, Nicaragua, Panama, Colombia, and Bolivia (the Territory). Ventagen paid the Company $1.0 million upon the signing of the agreement and agreed to a fixed future payment to the Company of $2.5 million. The future payment will be made upon the achievement of $5.0 million of sales of an approved product by Ventagen and is subject to reduction if Ventagen’s costs to develop an approved product exceeds $4.0 million. In addition to the upfront payment and the future payment, Ventagen agreed to purchase from the Company all manufactured product that is required for clinical or commercial purposes at a price of cost plus 25% of the wholesale price of the approved product, subject to a minimum or maximum price. In the event the Company is unable or unwilling to manufacture supply under the terms of the agreement, Ventagen has the right to manufacture its own supply and will be required to pay a fixed fee per dose sold. The Company also agreed to provide certain services to Ventagen related to Ventagen’s development plan. Stockholders of the Company own 49.5% of the voting stock of Ventagen, including 47% by the Company’s founders who are currently significant stockholders of the Company, and trusts for the benefit of their children.</w:t>
      </w:r>
    </w:p>
    <w:p>
      <w:pPr>
        <w:spacing w:after="0" w:line="122" w:lineRule="exact"/>
        <w:rPr>
          <w:sz w:val="20"/>
          <w:szCs w:val="20"/>
          <w:color w:val="auto"/>
        </w:rPr>
      </w:pPr>
    </w:p>
    <w:p>
      <w:pPr>
        <w:ind w:right="400"/>
        <w:spacing w:after="0" w:line="281" w:lineRule="auto"/>
        <w:rPr>
          <w:sz w:val="20"/>
          <w:szCs w:val="20"/>
          <w:color w:val="auto"/>
        </w:rPr>
      </w:pPr>
      <w:r>
        <w:rPr>
          <w:rFonts w:ascii="Arial" w:cs="Arial" w:eastAsia="Arial" w:hAnsi="Arial"/>
          <w:sz w:val="19"/>
          <w:szCs w:val="19"/>
          <w:color w:val="auto"/>
        </w:rPr>
        <w:t>The Company had completely recognized the $1.0 million upfront license fee as research and development service revenue as of December 31, 2022.</w:t>
      </w:r>
    </w:p>
    <w:p>
      <w:pPr>
        <w:spacing w:after="0" w:line="8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14. Technology License Agreement</w:t>
      </w:r>
    </w:p>
    <w:p>
      <w:pPr>
        <w:spacing w:after="0" w:line="164" w:lineRule="exact"/>
        <w:rPr>
          <w:sz w:val="20"/>
          <w:szCs w:val="20"/>
          <w:color w:val="auto"/>
        </w:rPr>
      </w:pPr>
    </w:p>
    <w:p>
      <w:pPr>
        <w:ind w:right="60"/>
        <w:spacing w:after="0" w:line="245" w:lineRule="auto"/>
        <w:rPr>
          <w:sz w:val="20"/>
          <w:szCs w:val="20"/>
          <w:color w:val="auto"/>
        </w:rPr>
      </w:pPr>
      <w:r>
        <w:rPr>
          <w:rFonts w:ascii="Arial" w:cs="Arial" w:eastAsia="Arial" w:hAnsi="Arial"/>
          <w:sz w:val="19"/>
          <w:szCs w:val="19"/>
          <w:color w:val="auto"/>
        </w:rPr>
        <w:t>On January 20, 2018 the Company entered into an exclusive option agreement (Option Agreement) with MGB. Pursuant to the Option Agreement, the Company has obtained the exclusive right from MGB to negotiate an exclusive license to make, develop and commercialize rQNestin, a genetically modified oncolytic herpes simplex virus for the treatment of certain types of cancers. Pursuant to the Option Agreement, the Company will support a clinical trial to be conducted at MGB pursuant to the terms of a clinical trial agreement to be negotiated and the Company has committed to remitting $0.8 million in support of such clinical trial over the course of approximately three years. Upon execution of the Option Agreement, the Company remitted a non-refundable fee of $40,000 to MGB to be applied toward the Company’s on-going obligations to reimburse patent expenses. During the years ended December 31, 2023 and 2022, the Company did not expense any startup and patient fees for clinical trials performed by MGB.</w:t>
      </w:r>
    </w:p>
    <w:p>
      <w:pPr>
        <w:spacing w:after="0" w:line="119" w:lineRule="exact"/>
        <w:rPr>
          <w:sz w:val="20"/>
          <w:szCs w:val="20"/>
          <w:color w:val="auto"/>
        </w:rPr>
      </w:pPr>
    </w:p>
    <w:p>
      <w:pPr>
        <w:ind w:right="100"/>
        <w:spacing w:after="0" w:line="243" w:lineRule="auto"/>
        <w:rPr>
          <w:sz w:val="20"/>
          <w:szCs w:val="20"/>
          <w:color w:val="auto"/>
        </w:rPr>
      </w:pPr>
      <w:r>
        <w:rPr>
          <w:rFonts w:ascii="Arial" w:cs="Arial" w:eastAsia="Arial" w:hAnsi="Arial"/>
          <w:sz w:val="19"/>
          <w:szCs w:val="19"/>
          <w:color w:val="auto"/>
        </w:rPr>
        <w:t>On September 15, 2020, the Company exercised the Option Agreement with MGB and entered into an exclusive worldwide patent license agreement with MGB (the MGB License). In connection with the MGB License, the Company paid a fee of $0.1 million and agreed to reimburse patent costs incurred by MGB, including $0.1 million paid at the time of entering into the MGB License. Prior to the first commercial sale, the Company is required to pay MGB an annual license fee of $50,000 beginning following the fourth anniversary of the effective date. The MGB License contains cumulative milestone payments equaling a maximum amount of $39.0 million upon the achievement of various clinical, commercial and sales milestones of both primary and secondary products. Following the first commercial sale, the Company is required to pay royalties to MGB, which are paid at an increasing rate as net sales increase, ranging from low single digits to high single digits. In addition, after the first commercial sale, the Company is required to pay MGB a pre-determined fixed annual minimum royalty, which amount may be credited against earned royalties starting in the fourth year following the first commercial sale. The Company also agreed to pay a single digit royalty rate on net sales of any derived products.</w:t>
      </w:r>
    </w:p>
    <w:p>
      <w:pPr>
        <w:spacing w:after="0" w:line="12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15. Commitments and Contingencies</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Guarantees</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color w:val="auto"/>
        </w:rPr>
        <w:t>The Company has identified the guarantees described below as disclosable, in accordance with ASC 460, Guarantees.</w:t>
      </w:r>
    </w:p>
    <w:p>
      <w:pPr>
        <w:spacing w:after="0" w:line="160" w:lineRule="exact"/>
        <w:rPr>
          <w:sz w:val="20"/>
          <w:szCs w:val="20"/>
          <w:color w:val="auto"/>
        </w:rPr>
      </w:pPr>
    </w:p>
    <w:p>
      <w:pPr>
        <w:ind w:right="120"/>
        <w:spacing w:after="0" w:line="250" w:lineRule="auto"/>
        <w:rPr>
          <w:sz w:val="20"/>
          <w:szCs w:val="20"/>
          <w:color w:val="auto"/>
        </w:rPr>
      </w:pPr>
      <w:r>
        <w:rPr>
          <w:rFonts w:ascii="Arial" w:cs="Arial" w:eastAsia="Arial" w:hAnsi="Arial"/>
          <w:sz w:val="19"/>
          <w:szCs w:val="19"/>
          <w:color w:val="auto"/>
        </w:rPr>
        <w:t>As permitted under Delaware law, the Company indemnifies its officers and directors for certain events or occurrences while the officer or director is, or was, serving at the Company’s request in such capacity. The maximum potential amount of future payments the Company could be required to make is unlimited; however, the Company has directors’ and officers’ insurance coverage that should limit its exposure and enable it to recover a portion of any future amounts paid.</w:t>
      </w:r>
    </w:p>
    <w:p>
      <w:pPr>
        <w:spacing w:after="0" w:line="114" w:lineRule="exact"/>
        <w:rPr>
          <w:sz w:val="20"/>
          <w:szCs w:val="20"/>
          <w:color w:val="auto"/>
        </w:rPr>
      </w:pPr>
    </w:p>
    <w:p>
      <w:pPr>
        <w:jc w:val="both"/>
        <w:ind w:right="60"/>
        <w:spacing w:after="0" w:line="250" w:lineRule="auto"/>
        <w:rPr>
          <w:sz w:val="20"/>
          <w:szCs w:val="20"/>
          <w:color w:val="auto"/>
        </w:rPr>
      </w:pPr>
      <w:r>
        <w:rPr>
          <w:rFonts w:ascii="Arial" w:cs="Arial" w:eastAsia="Arial" w:hAnsi="Arial"/>
          <w:sz w:val="19"/>
          <w:szCs w:val="19"/>
          <w:color w:val="auto"/>
        </w:rPr>
        <w:t>The Company is a party to a number of agreements entered into in the ordinary course of business that contain typical provisions that obligate the Company to indemnify the other parties to such agreements upon the occurrence of certain events. Such indemnification obligations are usually in effect from the date of execution of the applicable agreement for a period equal to the applicable statute of limitations. The aggregate maximum potential future liability of the Company under such indemnification provisions is uncertain.</w:t>
      </w:r>
    </w:p>
    <w:p>
      <w:pPr>
        <w:spacing w:after="0" w:line="114" w:lineRule="exact"/>
        <w:rPr>
          <w:sz w:val="20"/>
          <w:szCs w:val="20"/>
          <w:color w:val="auto"/>
        </w:rPr>
      </w:pPr>
    </w:p>
    <w:p>
      <w:pPr>
        <w:jc w:val="both"/>
        <w:spacing w:after="0" w:line="281" w:lineRule="auto"/>
        <w:rPr>
          <w:sz w:val="20"/>
          <w:szCs w:val="20"/>
          <w:color w:val="auto"/>
        </w:rPr>
      </w:pPr>
      <w:r>
        <w:rPr>
          <w:rFonts w:ascii="Arial" w:cs="Arial" w:eastAsia="Arial" w:hAnsi="Arial"/>
          <w:sz w:val="19"/>
          <w:szCs w:val="19"/>
          <w:color w:val="auto"/>
        </w:rPr>
        <w:t>The Company leases office space under a noncancelable operating lease expiring in 2026. The Company has standard indemnification arrangements under this lease that require it to indemnify the landlord against all costs, expenses, fines,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F-20</w:t>
      </w:r>
    </w:p>
    <w:p>
      <w:pPr>
        <w:sectPr>
          <w:pgSz w:w="12240" w:h="15840" w:orient="portrait"/>
          <w:cols w:equalWidth="0" w:num="1">
            <w:col w:w="10060"/>
          </w:cols>
          <w:pgMar w:left="1080" w:top="1062" w:right="1100" w:bottom="173" w:gutter="0" w:footer="0" w:header="0"/>
        </w:sectPr>
      </w:pPr>
    </w:p>
    <w:bookmarkStart w:id="143" w:name="page144"/>
    <w:bookmarkEnd w:id="143"/>
    <w:p>
      <w:pPr>
        <w:ind w:left="20" w:right="340"/>
        <w:spacing w:after="0" w:line="281" w:lineRule="auto"/>
        <w:rPr>
          <w:sz w:val="20"/>
          <w:szCs w:val="20"/>
          <w:color w:val="auto"/>
        </w:rPr>
      </w:pPr>
      <w:r>
        <w:rPr>
          <w:rFonts w:ascii="Arial" w:cs="Arial" w:eastAsia="Arial" w:hAnsi="Arial"/>
          <w:sz w:val="19"/>
          <w:szCs w:val="19"/>
          <w:color w:val="auto"/>
        </w:rPr>
        <w:t>suits, claims, demands, liabilities, and actions directly resulting from any breach, violation, or nonperformance of any covenant or condition of the lease.</w:t>
      </w:r>
    </w:p>
    <w:p>
      <w:pPr>
        <w:spacing w:after="0" w:line="85" w:lineRule="exact"/>
        <w:rPr>
          <w:sz w:val="20"/>
          <w:szCs w:val="20"/>
          <w:color w:val="auto"/>
        </w:rPr>
      </w:pPr>
    </w:p>
    <w:p>
      <w:pPr>
        <w:ind w:left="20" w:right="180"/>
        <w:spacing w:after="0" w:line="253" w:lineRule="auto"/>
        <w:rPr>
          <w:sz w:val="20"/>
          <w:szCs w:val="20"/>
          <w:color w:val="auto"/>
        </w:rPr>
      </w:pPr>
      <w:r>
        <w:rPr>
          <w:rFonts w:ascii="Arial" w:cs="Arial" w:eastAsia="Arial" w:hAnsi="Arial"/>
          <w:sz w:val="19"/>
          <w:szCs w:val="19"/>
          <w:color w:val="auto"/>
        </w:rPr>
        <w:t>As of December 31, 2023, the Company had not experienced any losses related to these indemnification obligations, and no material claims with respect thereto were outstanding. The Company does not expect significant claims related to these indemnification obligations and, consequently, concluded that the fair value of these obligations is negligible, and no related reserves have been established.</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9"/>
          <w:szCs w:val="19"/>
          <w:b w:val="1"/>
          <w:bCs w:val="1"/>
          <w:i w:val="1"/>
          <w:iCs w:val="1"/>
          <w:color w:val="auto"/>
        </w:rPr>
        <w:t>Legal Proceedings</w:t>
      </w:r>
    </w:p>
    <w:p>
      <w:pPr>
        <w:spacing w:after="0" w:line="156" w:lineRule="exact"/>
        <w:rPr>
          <w:sz w:val="20"/>
          <w:szCs w:val="20"/>
          <w:color w:val="auto"/>
        </w:rPr>
      </w:pPr>
    </w:p>
    <w:p>
      <w:pPr>
        <w:ind w:left="20" w:right="20"/>
        <w:spacing w:after="0" w:line="244" w:lineRule="auto"/>
        <w:rPr>
          <w:sz w:val="20"/>
          <w:szCs w:val="20"/>
          <w:color w:val="auto"/>
        </w:rPr>
      </w:pPr>
      <w:r>
        <w:rPr>
          <w:rFonts w:ascii="Arial" w:cs="Arial" w:eastAsia="Arial" w:hAnsi="Arial"/>
          <w:sz w:val="19"/>
          <w:szCs w:val="19"/>
          <w:color w:val="auto"/>
        </w:rPr>
        <w:t>From time to time, we may become involved in litigation or other legal proceedings. On December 15, 2022, Periphagen notified us by letter of its claim that we have failed to use commercially reasonable efforts to complete a human proof of concept clinical trial of an NT-3 Asset under an Exclusive License Agreement dated December 9, 2019 between us and Periphagen (the Periphagen License Agreement). On January 13, 2023, we filed a demand for arbitration against Periphagen with the American Arbitration Association, seeking a declaration that Periphagen’s December 15 letter failed to comply with the dispute and escalation provisions in the Periphagen License Agreement. On March 10, 2023, Periphagen filed its answer and counterclaims to our demand for arbitration. In its counterclaims, Periphagen sought a declaration that we have not used commercially reasonable efforts to complete a human proof of concept clinical trial of the NT-3 Asset and a declaration that any further extension of time would not be scientifically or commercially reasonable. We denied Periphagen’s counterclaims.</w:t>
      </w:r>
    </w:p>
    <w:p>
      <w:pPr>
        <w:spacing w:after="0" w:line="124" w:lineRule="exact"/>
        <w:rPr>
          <w:sz w:val="20"/>
          <w:szCs w:val="20"/>
          <w:color w:val="auto"/>
        </w:rPr>
      </w:pPr>
    </w:p>
    <w:p>
      <w:pPr>
        <w:ind w:left="20" w:right="120"/>
        <w:spacing w:after="0" w:line="281" w:lineRule="auto"/>
        <w:rPr>
          <w:sz w:val="20"/>
          <w:szCs w:val="20"/>
          <w:color w:val="auto"/>
        </w:rPr>
      </w:pPr>
      <w:r>
        <w:rPr>
          <w:rFonts w:ascii="Arial" w:cs="Arial" w:eastAsia="Arial" w:hAnsi="Arial"/>
          <w:sz w:val="19"/>
          <w:szCs w:val="19"/>
          <w:color w:val="auto"/>
        </w:rPr>
        <w:t>On June 7, 2023, the parties entered into an amendment to the Exclusive License Agreement that resolved the dispute and resulted in termination of the arbitration without any financial impact.</w:t>
      </w:r>
    </w:p>
    <w:p>
      <w:pPr>
        <w:spacing w:after="0" w:line="85" w:lineRule="exact"/>
        <w:rPr>
          <w:sz w:val="20"/>
          <w:szCs w:val="20"/>
          <w:color w:val="auto"/>
        </w:rPr>
      </w:pPr>
    </w:p>
    <w:p>
      <w:pPr>
        <w:ind w:left="20" w:right="40"/>
        <w:spacing w:after="0" w:line="253" w:lineRule="auto"/>
        <w:rPr>
          <w:sz w:val="20"/>
          <w:szCs w:val="20"/>
          <w:color w:val="auto"/>
        </w:rPr>
      </w:pPr>
      <w:r>
        <w:rPr>
          <w:rFonts w:ascii="Arial" w:cs="Arial" w:eastAsia="Arial" w:hAnsi="Arial"/>
          <w:sz w:val="19"/>
          <w:szCs w:val="19"/>
          <w:color w:val="auto"/>
        </w:rPr>
        <w:t>Aside from the proceeding with Periphagen,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16. Net Loss Per Share</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9"/>
          <w:szCs w:val="19"/>
          <w:b w:val="1"/>
          <w:bCs w:val="1"/>
          <w:i w:val="1"/>
          <w:iCs w:val="1"/>
          <w:color w:val="auto"/>
        </w:rPr>
        <w:t>Net Loss Per Share</w:t>
      </w:r>
    </w:p>
    <w:p>
      <w:pPr>
        <w:spacing w:after="0" w:line="156" w:lineRule="exact"/>
        <w:rPr>
          <w:sz w:val="20"/>
          <w:szCs w:val="20"/>
          <w:color w:val="auto"/>
        </w:rPr>
      </w:pPr>
    </w:p>
    <w:p>
      <w:pPr>
        <w:ind w:left="20" w:right="560"/>
        <w:spacing w:after="0" w:line="281" w:lineRule="auto"/>
        <w:rPr>
          <w:sz w:val="20"/>
          <w:szCs w:val="20"/>
          <w:color w:val="auto"/>
        </w:rPr>
      </w:pPr>
      <w:r>
        <w:rPr>
          <w:rFonts w:ascii="Arial" w:cs="Arial" w:eastAsia="Arial" w:hAnsi="Arial"/>
          <w:sz w:val="19"/>
          <w:szCs w:val="19"/>
          <w:color w:val="auto"/>
        </w:rPr>
        <w:t>Basic and diluted net loss per share attributable to common stockholders was calculated as follows (in thousands, except share and per share data):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55880</wp:posOffset>
                </wp:positionV>
                <wp:extent cx="6437630"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76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4.4pt" to="506.45pt,4.4pt" o:allowincell="f" strokecolor="#000000" strokeweight="0.75pt"/>
            </w:pict>
          </mc:Fallback>
        </mc:AlternateConten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40" w:type="dxa"/>
            <w:vAlign w:val="bottom"/>
            <w:gridSpan w:val="5"/>
          </w:tcPr>
          <w:p>
            <w:pPr>
              <w:jc w:val="right"/>
              <w:ind w:right="520"/>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174"/>
        </w:trPr>
        <w:tc>
          <w:tcPr>
            <w:tcW w:w="6940" w:type="dxa"/>
            <w:vAlign w:val="bottom"/>
            <w:vMerge w:val="restart"/>
          </w:tcPr>
          <w:p>
            <w:pPr>
              <w:ind w:left="20"/>
              <w:spacing w:after="0"/>
              <w:rPr>
                <w:sz w:val="20"/>
                <w:szCs w:val="20"/>
                <w:color w:val="auto"/>
              </w:rPr>
            </w:pPr>
            <w:r>
              <w:rPr>
                <w:rFonts w:ascii="Arial" w:cs="Arial" w:eastAsia="Arial" w:hAnsi="Arial"/>
                <w:sz w:val="19"/>
                <w:szCs w:val="19"/>
                <w:b w:val="1"/>
                <w:bCs w:val="1"/>
                <w:color w:val="auto"/>
              </w:rPr>
              <w:t>Numerator:</w:t>
            </w:r>
          </w:p>
        </w:tc>
        <w:tc>
          <w:tcPr>
            <w:tcW w:w="2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431"/>
              <w:spacing w:after="0" w:line="174" w:lineRule="exact"/>
              <w:rPr>
                <w:sz w:val="20"/>
                <w:szCs w:val="20"/>
                <w:color w:val="auto"/>
              </w:rPr>
            </w:pPr>
            <w:r>
              <w:rPr>
                <w:rFonts w:ascii="Arial" w:cs="Arial" w:eastAsia="Arial" w:hAnsi="Arial"/>
                <w:sz w:val="16"/>
                <w:szCs w:val="16"/>
                <w:b w:val="1"/>
                <w:bCs w:val="1"/>
                <w:color w:val="auto"/>
              </w:rPr>
              <w:t>2023</w:t>
            </w:r>
          </w:p>
        </w:tc>
        <w:tc>
          <w:tcPr>
            <w:tcW w:w="260" w:type="dxa"/>
            <w:vAlign w:val="bottom"/>
            <w:tcBorders>
              <w:top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29"/>
              <w:spacing w:after="0" w:line="174" w:lineRule="exact"/>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9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940" w:type="dxa"/>
            <w:vAlign w:val="bottom"/>
          </w:tcPr>
          <w:p>
            <w:pPr>
              <w:ind w:left="300"/>
              <w:spacing w:after="0"/>
              <w:rPr>
                <w:sz w:val="20"/>
                <w:szCs w:val="20"/>
                <w:color w:val="auto"/>
              </w:rPr>
            </w:pPr>
            <w:r>
              <w:rPr>
                <w:rFonts w:ascii="Arial" w:cs="Arial" w:eastAsia="Arial" w:hAnsi="Arial"/>
                <w:sz w:val="19"/>
                <w:szCs w:val="19"/>
                <w:color w:val="auto"/>
              </w:rPr>
              <w:t>Net loss</w:t>
            </w:r>
          </w:p>
        </w:tc>
        <w:tc>
          <w:tcPr>
            <w:tcW w:w="240" w:type="dxa"/>
            <w:vAlign w:val="bottom"/>
          </w:tcPr>
          <w:p>
            <w:pPr>
              <w:jc w:val="right"/>
              <w:ind w:right="45"/>
              <w:spacing w:after="0"/>
              <w:rPr>
                <w:sz w:val="20"/>
                <w:szCs w:val="20"/>
                <w:color w:val="auto"/>
              </w:rPr>
            </w:pPr>
            <w:r>
              <w:rPr>
                <w:rFonts w:ascii="Arial" w:cs="Arial" w:eastAsia="Arial" w:hAnsi="Arial"/>
                <w:sz w:val="19"/>
                <w:szCs w:val="19"/>
                <w:color w:val="auto"/>
                <w:w w:val="75"/>
              </w:rPr>
              <w:t>$</w:t>
            </w:r>
          </w:p>
        </w:tc>
        <w:tc>
          <w:tcPr>
            <w:tcW w:w="1420" w:type="dxa"/>
            <w:vAlign w:val="bottom"/>
            <w:gridSpan w:val="2"/>
          </w:tcPr>
          <w:p>
            <w:pPr>
              <w:jc w:val="right"/>
              <w:ind w:right="200"/>
              <w:spacing w:after="0"/>
              <w:rPr>
                <w:sz w:val="20"/>
                <w:szCs w:val="20"/>
                <w:color w:val="auto"/>
              </w:rPr>
            </w:pPr>
            <w:r>
              <w:rPr>
                <w:rFonts w:ascii="Arial" w:cs="Arial" w:eastAsia="Arial" w:hAnsi="Arial"/>
                <w:sz w:val="19"/>
                <w:szCs w:val="19"/>
                <w:color w:val="auto"/>
              </w:rPr>
              <w:t>(37,939)</w:t>
            </w:r>
          </w:p>
        </w:tc>
        <w:tc>
          <w:tcPr>
            <w:tcW w:w="280" w:type="dxa"/>
            <w:vAlign w:val="bottom"/>
          </w:tcPr>
          <w:p>
            <w:pPr>
              <w:jc w:val="right"/>
              <w:ind w:right="85"/>
              <w:spacing w:after="0"/>
              <w:rPr>
                <w:sz w:val="20"/>
                <w:szCs w:val="20"/>
                <w:color w:val="auto"/>
              </w:rPr>
            </w:pPr>
            <w:r>
              <w:rPr>
                <w:rFonts w:ascii="Arial" w:cs="Arial" w:eastAsia="Arial" w:hAnsi="Arial"/>
                <w:sz w:val="19"/>
                <w:szCs w:val="19"/>
                <w:color w:val="auto"/>
                <w:w w:val="75"/>
              </w:rPr>
              <w:t>$</w:t>
            </w:r>
          </w:p>
        </w:tc>
        <w:tc>
          <w:tcPr>
            <w:tcW w:w="1240" w:type="dxa"/>
            <w:vAlign w:val="bottom"/>
            <w:gridSpan w:val="2"/>
          </w:tcPr>
          <w:p>
            <w:pPr>
              <w:jc w:val="right"/>
              <w:ind w:right="60"/>
              <w:spacing w:after="0"/>
              <w:rPr>
                <w:sz w:val="20"/>
                <w:szCs w:val="20"/>
                <w:color w:val="auto"/>
              </w:rPr>
            </w:pPr>
            <w:r>
              <w:rPr>
                <w:rFonts w:ascii="Arial" w:cs="Arial" w:eastAsia="Arial" w:hAnsi="Arial"/>
                <w:sz w:val="19"/>
                <w:szCs w:val="19"/>
                <w:color w:val="auto"/>
              </w:rPr>
              <w:t>(18,794)</w:t>
            </w:r>
          </w:p>
        </w:tc>
        <w:tc>
          <w:tcPr>
            <w:tcW w:w="0" w:type="dxa"/>
            <w:vAlign w:val="bottom"/>
          </w:tcPr>
          <w:p>
            <w:pPr>
              <w:spacing w:after="0"/>
              <w:rPr>
                <w:sz w:val="1"/>
                <w:szCs w:val="1"/>
                <w:color w:val="auto"/>
              </w:rPr>
            </w:pPr>
          </w:p>
        </w:tc>
      </w:tr>
      <w:tr>
        <w:trPr>
          <w:trHeight w:val="191"/>
        </w:trPr>
        <w:tc>
          <w:tcPr>
            <w:tcW w:w="6940" w:type="dxa"/>
            <w:vAlign w:val="bottom"/>
          </w:tcPr>
          <w:p>
            <w:pPr>
              <w:ind w:left="20"/>
              <w:spacing w:after="0" w:line="191" w:lineRule="exact"/>
              <w:rPr>
                <w:sz w:val="20"/>
                <w:szCs w:val="20"/>
                <w:color w:val="auto"/>
              </w:rPr>
            </w:pPr>
            <w:r>
              <w:rPr>
                <w:rFonts w:ascii="Arial" w:cs="Arial" w:eastAsia="Arial" w:hAnsi="Arial"/>
                <w:sz w:val="19"/>
                <w:szCs w:val="19"/>
                <w:b w:val="1"/>
                <w:bCs w:val="1"/>
                <w:color w:val="auto"/>
              </w:rPr>
              <w:t>Denominator:</w:t>
            </w:r>
          </w:p>
        </w:tc>
        <w:tc>
          <w:tcPr>
            <w:tcW w:w="2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940" w:type="dxa"/>
            <w:vAlign w:val="bottom"/>
          </w:tcPr>
          <w:p>
            <w:pPr>
              <w:ind w:left="300"/>
              <w:spacing w:after="0"/>
              <w:rPr>
                <w:sz w:val="20"/>
                <w:szCs w:val="20"/>
                <w:color w:val="auto"/>
              </w:rPr>
            </w:pPr>
            <w:r>
              <w:rPr>
                <w:rFonts w:ascii="Arial" w:cs="Arial" w:eastAsia="Arial" w:hAnsi="Arial"/>
                <w:sz w:val="19"/>
                <w:szCs w:val="19"/>
                <w:color w:val="auto"/>
              </w:rPr>
              <w:t>Weighted-average shares of common stock outstanding-basic and diluted</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28,935,289</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28,823,480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6940" w:type="dxa"/>
            <w:vAlign w:val="bottom"/>
          </w:tcPr>
          <w:p>
            <w:pPr>
              <w:ind w:left="20"/>
              <w:spacing w:after="0" w:line="209" w:lineRule="exact"/>
              <w:rPr>
                <w:sz w:val="20"/>
                <w:szCs w:val="20"/>
                <w:color w:val="auto"/>
              </w:rPr>
            </w:pPr>
            <w:r>
              <w:rPr>
                <w:rFonts w:ascii="Arial" w:cs="Arial" w:eastAsia="Arial" w:hAnsi="Arial"/>
                <w:sz w:val="19"/>
                <w:szCs w:val="19"/>
                <w:color w:val="auto"/>
              </w:rPr>
              <w:t>Net loss per share -basic and diluted</w:t>
            </w:r>
          </w:p>
        </w:tc>
        <w:tc>
          <w:tcPr>
            <w:tcW w:w="240" w:type="dxa"/>
            <w:vAlign w:val="bottom"/>
            <w:tcBorders>
              <w:bottom w:val="single" w:sz="8" w:color="auto"/>
            </w:tcBorders>
          </w:tcPr>
          <w:p>
            <w:pPr>
              <w:jc w:val="right"/>
              <w:ind w:right="45"/>
              <w:spacing w:after="0" w:line="209" w:lineRule="exact"/>
              <w:rPr>
                <w:sz w:val="20"/>
                <w:szCs w:val="20"/>
                <w:color w:val="auto"/>
              </w:rPr>
            </w:pPr>
            <w:r>
              <w:rPr>
                <w:rFonts w:ascii="Arial" w:cs="Arial" w:eastAsia="Arial" w:hAnsi="Arial"/>
                <w:sz w:val="19"/>
                <w:szCs w:val="19"/>
                <w:color w:val="auto"/>
                <w:w w:val="75"/>
              </w:rPr>
              <w:t>$</w:t>
            </w:r>
          </w:p>
        </w:tc>
        <w:tc>
          <w:tcPr>
            <w:tcW w:w="116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(1.31)</w:t>
            </w:r>
          </w:p>
        </w:tc>
        <w:tc>
          <w:tcPr>
            <w:tcW w:w="260" w:type="dxa"/>
            <w:vAlign w:val="bottom"/>
          </w:tcPr>
          <w:p>
            <w:pPr>
              <w:spacing w:after="0"/>
              <w:rPr>
                <w:sz w:val="18"/>
                <w:szCs w:val="18"/>
                <w:color w:val="auto"/>
              </w:rPr>
            </w:pPr>
          </w:p>
        </w:tc>
        <w:tc>
          <w:tcPr>
            <w:tcW w:w="280" w:type="dxa"/>
            <w:vAlign w:val="bottom"/>
            <w:tcBorders>
              <w:bottom w:val="single" w:sz="8" w:color="auto"/>
            </w:tcBorders>
          </w:tcPr>
          <w:p>
            <w:pPr>
              <w:jc w:val="right"/>
              <w:ind w:right="85"/>
              <w:spacing w:after="0" w:line="209" w:lineRule="exact"/>
              <w:rPr>
                <w:sz w:val="20"/>
                <w:szCs w:val="20"/>
                <w:color w:val="auto"/>
              </w:rPr>
            </w:pPr>
            <w:r>
              <w:rPr>
                <w:rFonts w:ascii="Arial" w:cs="Arial" w:eastAsia="Arial" w:hAnsi="Arial"/>
                <w:sz w:val="19"/>
                <w:szCs w:val="19"/>
                <w:color w:val="auto"/>
                <w:w w:val="75"/>
              </w:rPr>
              <w:t>$</w:t>
            </w:r>
          </w:p>
        </w:tc>
        <w:tc>
          <w:tcPr>
            <w:tcW w:w="112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(0.65)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9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-913130</wp:posOffset>
            </wp:positionV>
            <wp:extent cx="6438900" cy="7505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2">
                      <a:extLst>
                        <a:ext uri="{28A0092B-C50C-407E-A947-70E740481C1C}"/>
                      </a:extLst>
                    </a:blip>
                    <a:srcRect/>
                    <a:stretch>
                      <a:fillRect/>
                    </a:stretch>
                  </pic:blipFill>
                  <pic:spPr bwMode="auto">
                    <a:xfrm>
                      <a:off x="0" y="0"/>
                      <a:ext cx="6438900" cy="750570"/>
                    </a:xfrm>
                    <a:prstGeom prst="rect">
                      <a:avLst/>
                    </a:prstGeom>
                    <a:noFill/>
                  </pic:spPr>
                </pic:pic>
              </a:graphicData>
            </a:graphic>
          </wp:anchor>
        </w:drawing>
      </w:r>
    </w:p>
    <w:p>
      <w:pPr>
        <w:spacing w:after="0" w:line="122" w:lineRule="exact"/>
        <w:rPr>
          <w:sz w:val="20"/>
          <w:szCs w:val="20"/>
          <w:color w:val="auto"/>
        </w:rPr>
      </w:pPr>
    </w:p>
    <w:p>
      <w:pPr>
        <w:ind w:left="20" w:right="100"/>
        <w:spacing w:after="0" w:line="260" w:lineRule="auto"/>
        <w:rPr>
          <w:sz w:val="20"/>
          <w:szCs w:val="20"/>
          <w:color w:val="auto"/>
        </w:rPr>
      </w:pPr>
      <w:r>
        <w:rPr>
          <w:rFonts w:ascii="Arial" w:cs="Arial" w:eastAsia="Arial" w:hAnsi="Arial"/>
          <w:sz w:val="19"/>
          <w:szCs w:val="19"/>
          <w:color w:val="auto"/>
        </w:rPr>
        <w:t>The Company’s potentially dilutive securities have been excluded from the computation of dilutive net loss per share as the effect would be to reduce the net loss per share. Therefore, the weighted-average number of shares of common stock outstanding used to calculate both basic and diluted net loss per share is the same.</w:t>
      </w:r>
    </w:p>
    <w:p>
      <w:pPr>
        <w:spacing w:after="0" w:line="105" w:lineRule="exact"/>
        <w:rPr>
          <w:sz w:val="20"/>
          <w:szCs w:val="20"/>
          <w:color w:val="auto"/>
        </w:rPr>
      </w:pPr>
    </w:p>
    <w:p>
      <w:pPr>
        <w:ind w:left="20" w:right="400"/>
        <w:spacing w:after="0" w:line="281" w:lineRule="auto"/>
        <w:rPr>
          <w:sz w:val="20"/>
          <w:szCs w:val="20"/>
          <w:color w:val="auto"/>
        </w:rPr>
      </w:pPr>
      <w:r>
        <w:rPr>
          <w:rFonts w:ascii="Arial" w:cs="Arial" w:eastAsia="Arial" w:hAnsi="Arial"/>
          <w:sz w:val="19"/>
          <w:szCs w:val="19"/>
          <w:color w:val="auto"/>
        </w:rPr>
        <w:t>The Company excluded the following potential shares of common stock from the computation of diluted net loss per share because including them would have had an anti-dilutive effect.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55880</wp:posOffset>
                </wp:positionV>
                <wp:extent cx="6437630"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76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4.4pt" to="506.45pt,4.4pt" o:allowincell="f" strokecolor="#000000" strokeweight="0.75pt"/>
            </w:pict>
          </mc:Fallback>
        </mc:AlternateConten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00" w:type="dxa"/>
            <w:vAlign w:val="bottom"/>
          </w:tcPr>
          <w:p>
            <w:pPr>
              <w:spacing w:after="0"/>
              <w:rPr>
                <w:sz w:val="17"/>
                <w:szCs w:val="17"/>
                <w:color w:val="auto"/>
              </w:rPr>
            </w:pPr>
          </w:p>
        </w:tc>
        <w:tc>
          <w:tcPr>
            <w:tcW w:w="3100" w:type="dxa"/>
            <w:vAlign w:val="bottom"/>
            <w:tcBorders>
              <w:bottom w:val="single" w:sz="8" w:color="auto"/>
            </w:tcBorders>
            <w:gridSpan w:val="3"/>
          </w:tcPr>
          <w:p>
            <w:pPr>
              <w:jc w:val="right"/>
              <w:ind w:right="325"/>
              <w:spacing w:after="0"/>
              <w:rPr>
                <w:sz w:val="20"/>
                <w:szCs w:val="20"/>
                <w:color w:val="auto"/>
              </w:rPr>
            </w:pPr>
            <w:r>
              <w:rPr>
                <w:rFonts w:ascii="Arial" w:cs="Arial" w:eastAsia="Arial" w:hAnsi="Arial"/>
                <w:sz w:val="16"/>
                <w:szCs w:val="16"/>
                <w:b w:val="1"/>
                <w:bCs w:val="1"/>
                <w:color w:val="auto"/>
              </w:rPr>
              <w:t>YEAR ENDED DECEMBER 31,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6900" w:type="dxa"/>
            <w:vAlign w:val="bottom"/>
            <w:vMerge w:val="restart"/>
          </w:tcPr>
          <w:p>
            <w:pPr>
              <w:ind w:left="20"/>
              <w:spacing w:after="0"/>
              <w:rPr>
                <w:sz w:val="20"/>
                <w:szCs w:val="20"/>
                <w:color w:val="auto"/>
              </w:rPr>
            </w:pPr>
            <w:r>
              <w:rPr>
                <w:rFonts w:ascii="Arial" w:cs="Arial" w:eastAsia="Arial" w:hAnsi="Arial"/>
                <w:sz w:val="19"/>
                <w:szCs w:val="19"/>
                <w:color w:val="auto"/>
              </w:rPr>
              <w:t>Outstanding warrants for common stock</w:t>
            </w:r>
          </w:p>
        </w:tc>
        <w:tc>
          <w:tcPr>
            <w:tcW w:w="1440" w:type="dxa"/>
            <w:vAlign w:val="bottom"/>
          </w:tcPr>
          <w:p>
            <w:pPr>
              <w:jc w:val="right"/>
              <w:ind w:right="450"/>
              <w:spacing w:after="0" w:line="174" w:lineRule="exact"/>
              <w:rPr>
                <w:sz w:val="20"/>
                <w:szCs w:val="20"/>
                <w:color w:val="auto"/>
              </w:rPr>
            </w:pPr>
            <w:r>
              <w:rPr>
                <w:rFonts w:ascii="Arial" w:cs="Arial" w:eastAsia="Arial" w:hAnsi="Arial"/>
                <w:sz w:val="16"/>
                <w:szCs w:val="16"/>
                <w:b w:val="1"/>
                <w:bCs w:val="1"/>
                <w:color w:val="auto"/>
              </w:rPr>
              <w:t>2023</w:t>
            </w:r>
          </w:p>
        </w:tc>
        <w:tc>
          <w:tcPr>
            <w:tcW w:w="1660" w:type="dxa"/>
            <w:vAlign w:val="bottom"/>
            <w:gridSpan w:val="2"/>
          </w:tcPr>
          <w:p>
            <w:pPr>
              <w:jc w:val="right"/>
              <w:ind w:right="445"/>
              <w:spacing w:after="0" w:line="174" w:lineRule="exact"/>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900" w:type="dxa"/>
            <w:vAlign w:val="bottom"/>
            <w:vMerge w:val="continue"/>
          </w:tcPr>
          <w:p>
            <w:pPr>
              <w:spacing w:after="0"/>
              <w:rPr>
                <w:sz w:val="16"/>
                <w:szCs w:val="16"/>
                <w:color w:val="auto"/>
              </w:rPr>
            </w:pPr>
          </w:p>
        </w:tc>
        <w:tc>
          <w:tcPr>
            <w:tcW w:w="144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9"/>
                <w:szCs w:val="19"/>
                <w:color w:val="auto"/>
              </w:rPr>
              <w:t>7,507,708</w:t>
            </w:r>
          </w:p>
        </w:tc>
        <w:tc>
          <w:tcPr>
            <w:tcW w:w="220" w:type="dxa"/>
            <w:vAlign w:val="bottom"/>
          </w:tcPr>
          <w:p>
            <w:pPr>
              <w:spacing w:after="0"/>
              <w:rPr>
                <w:sz w:val="16"/>
                <w:szCs w:val="16"/>
                <w:color w:val="auto"/>
              </w:rPr>
            </w:pPr>
          </w:p>
        </w:tc>
        <w:tc>
          <w:tcPr>
            <w:tcW w:w="144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9"/>
                <w:szCs w:val="19"/>
                <w:color w:val="auto"/>
              </w:rPr>
              <w:t>7,507,708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900" w:type="dxa"/>
            <w:vAlign w:val="bottom"/>
          </w:tcPr>
          <w:p>
            <w:pPr>
              <w:ind w:left="20"/>
              <w:spacing w:after="0"/>
              <w:rPr>
                <w:sz w:val="20"/>
                <w:szCs w:val="20"/>
                <w:color w:val="auto"/>
              </w:rPr>
            </w:pPr>
            <w:r>
              <w:rPr>
                <w:rFonts w:ascii="Arial" w:cs="Arial" w:eastAsia="Arial" w:hAnsi="Arial"/>
                <w:sz w:val="19"/>
                <w:szCs w:val="19"/>
                <w:color w:val="auto"/>
              </w:rPr>
              <w:t>Outstanding stock options (as converted to common stock)</w:t>
            </w:r>
          </w:p>
        </w:tc>
        <w:tc>
          <w:tcPr>
            <w:tcW w:w="1440" w:type="dxa"/>
            <w:vAlign w:val="bottom"/>
          </w:tcPr>
          <w:p>
            <w:pPr>
              <w:jc w:val="right"/>
              <w:spacing w:after="0"/>
              <w:rPr>
                <w:sz w:val="20"/>
                <w:szCs w:val="20"/>
                <w:color w:val="auto"/>
              </w:rPr>
            </w:pPr>
            <w:r>
              <w:rPr>
                <w:rFonts w:ascii="Arial" w:cs="Arial" w:eastAsia="Arial" w:hAnsi="Arial"/>
                <w:sz w:val="19"/>
                <w:szCs w:val="19"/>
                <w:color w:val="auto"/>
              </w:rPr>
              <w:t>5,666,621</w:t>
            </w:r>
          </w:p>
        </w:tc>
        <w:tc>
          <w:tcPr>
            <w:tcW w:w="1660" w:type="dxa"/>
            <w:vAlign w:val="bottom"/>
            <w:gridSpan w:val="2"/>
          </w:tcPr>
          <w:p>
            <w:pPr>
              <w:jc w:val="right"/>
              <w:spacing w:after="0"/>
              <w:rPr>
                <w:sz w:val="20"/>
                <w:szCs w:val="20"/>
                <w:color w:val="auto"/>
              </w:rPr>
            </w:pPr>
            <w:r>
              <w:rPr>
                <w:rFonts w:ascii="Arial" w:cs="Arial" w:eastAsia="Arial" w:hAnsi="Arial"/>
                <w:sz w:val="19"/>
                <w:szCs w:val="19"/>
                <w:color w:val="auto"/>
              </w:rPr>
              <w:t>5,645,420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900" w:type="dxa"/>
            <w:vAlign w:val="bottom"/>
          </w:tcPr>
          <w:p>
            <w:pPr>
              <w:ind w:left="20"/>
              <w:spacing w:after="0"/>
              <w:rPr>
                <w:sz w:val="20"/>
                <w:szCs w:val="20"/>
                <w:color w:val="auto"/>
              </w:rPr>
            </w:pPr>
            <w:r>
              <w:rPr>
                <w:rFonts w:ascii="Arial" w:cs="Arial" w:eastAsia="Arial" w:hAnsi="Arial"/>
                <w:sz w:val="19"/>
                <w:szCs w:val="19"/>
                <w:color w:val="auto"/>
              </w:rPr>
              <w:t>Unvested restricted stock</w:t>
            </w:r>
          </w:p>
        </w:tc>
        <w:tc>
          <w:tcPr>
            <w:tcW w:w="1440" w:type="dxa"/>
            <w:vAlign w:val="bottom"/>
          </w:tcPr>
          <w:p>
            <w:pPr>
              <w:jc w:val="right"/>
              <w:spacing w:after="0"/>
              <w:rPr>
                <w:sz w:val="20"/>
                <w:szCs w:val="20"/>
                <w:color w:val="auto"/>
              </w:rPr>
            </w:pPr>
            <w:r>
              <w:rPr>
                <w:rFonts w:ascii="Arial" w:cs="Arial" w:eastAsia="Arial" w:hAnsi="Arial"/>
                <w:sz w:val="19"/>
                <w:szCs w:val="19"/>
                <w:color w:val="auto"/>
              </w:rPr>
              <w:t>2,526,432</w:t>
            </w:r>
          </w:p>
        </w:tc>
        <w:tc>
          <w:tcPr>
            <w:tcW w:w="1660" w:type="dxa"/>
            <w:vAlign w:val="bottom"/>
            <w:gridSpan w:val="2"/>
          </w:tcPr>
          <w:p>
            <w:pPr>
              <w:jc w:val="right"/>
              <w:spacing w:after="0"/>
              <w:rPr>
                <w:sz w:val="20"/>
                <w:szCs w:val="20"/>
                <w:color w:val="auto"/>
              </w:rPr>
            </w:pPr>
            <w:r>
              <w:rPr>
                <w:rFonts w:ascii="Arial" w:cs="Arial" w:eastAsia="Arial" w:hAnsi="Arial"/>
                <w:sz w:val="19"/>
                <w:szCs w:val="19"/>
                <w:color w:val="auto"/>
              </w:rPr>
              <w:t>612,366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690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15,700,761</w:t>
            </w:r>
          </w:p>
        </w:tc>
        <w:tc>
          <w:tcPr>
            <w:tcW w:w="22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13,765,494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9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-768350</wp:posOffset>
            </wp:positionV>
            <wp:extent cx="6438900" cy="6057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43">
                      <a:extLst>
                        <a:ext uri="{28A0092B-C50C-407E-A947-70E740481C1C}"/>
                      </a:extLst>
                    </a:blip>
                    <a:srcRect/>
                    <a:stretch>
                      <a:fillRect/>
                    </a:stretch>
                  </pic:blipFill>
                  <pic:spPr bwMode="auto">
                    <a:xfrm>
                      <a:off x="0" y="0"/>
                      <a:ext cx="6438900" cy="605790"/>
                    </a:xfrm>
                    <a:prstGeom prst="rect">
                      <a:avLst/>
                    </a:prstGeom>
                    <a:noFill/>
                  </pic:spPr>
                </pic:pic>
              </a:graphicData>
            </a:graphic>
          </wp:anchor>
        </w:drawing>
      </w:r>
    </w:p>
    <w:p>
      <w:pPr>
        <w:spacing w:after="0" w:line="325"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17. Corporate Restructuring</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F-21</w:t>
      </w:r>
    </w:p>
    <w:p>
      <w:pPr>
        <w:sectPr>
          <w:pgSz w:w="12240" w:h="15840" w:orient="portrait"/>
          <w:cols w:equalWidth="0" w:num="1">
            <w:col w:w="10120"/>
          </w:cols>
          <w:pgMar w:left="1060" w:top="1062" w:right="1060" w:bottom="173" w:gutter="0" w:footer="0" w:header="0"/>
        </w:sectPr>
      </w:pPr>
    </w:p>
    <w:bookmarkStart w:id="144" w:name="page145"/>
    <w:bookmarkEnd w:id="144"/>
    <w:p>
      <w:pPr>
        <w:spacing w:after="0" w:line="246" w:lineRule="auto"/>
        <w:rPr>
          <w:sz w:val="20"/>
          <w:szCs w:val="20"/>
          <w:color w:val="auto"/>
        </w:rPr>
      </w:pPr>
      <w:r>
        <w:rPr>
          <w:rFonts w:ascii="Arial" w:cs="Arial" w:eastAsia="Arial" w:hAnsi="Arial"/>
          <w:sz w:val="19"/>
          <w:szCs w:val="19"/>
          <w:color w:val="auto"/>
        </w:rPr>
        <w:t>In November 2023, the Company's Board of Directors authorized a restructuring plan to focus on continuation and expansion of development of CAN-3110 as well as the enLIGHTEN</w:t>
      </w:r>
      <w:r>
        <w:rPr>
          <w:rFonts w:ascii="Arial" w:cs="Arial" w:eastAsia="Arial" w:hAnsi="Arial"/>
          <w:sz w:val="12"/>
          <w:szCs w:val="12"/>
          <w:color w:val="auto"/>
        </w:rPr>
        <w:t>TM</w:t>
      </w:r>
      <w:r>
        <w:rPr>
          <w:rFonts w:ascii="Arial" w:cs="Arial" w:eastAsia="Arial" w:hAnsi="Arial"/>
          <w:sz w:val="19"/>
          <w:szCs w:val="19"/>
          <w:color w:val="auto"/>
        </w:rPr>
        <w:t xml:space="preserve"> Discovery Platform, which resulted in a reduction of the Company’s workforce by approximately 45%. Each affected employee's separation from the Company occurred in December 2023. As a result, the Company incurred costs of $0.7 million related to severance benefits for the affected employees, including severance payments and limited reimbursement of medical insurance premiums. The restructuring plan is expected to be completed in the first quarter of 2024 once the remaining unpaid severance payments of $46,000 are made.</w:t>
      </w:r>
    </w:p>
    <w:p>
      <w:pPr>
        <w:spacing w:after="0" w:line="122" w:lineRule="exact"/>
        <w:rPr>
          <w:sz w:val="20"/>
          <w:szCs w:val="20"/>
          <w:color w:val="auto"/>
        </w:rPr>
      </w:pPr>
    </w:p>
    <w:p>
      <w:pPr>
        <w:spacing w:after="0" w:line="248" w:lineRule="auto"/>
        <w:rPr>
          <w:sz w:val="20"/>
          <w:szCs w:val="20"/>
          <w:color w:val="auto"/>
        </w:rPr>
      </w:pPr>
      <w:r>
        <w:rPr>
          <w:rFonts w:ascii="Arial" w:cs="Arial" w:eastAsia="Arial" w:hAnsi="Arial"/>
          <w:sz w:val="19"/>
          <w:szCs w:val="19"/>
          <w:color w:val="auto"/>
        </w:rPr>
        <w:t>Of the $0.7 million in costs recognized related to the restructuring plan, $0.5 million and $0.2 million have been charged to research and development and general and administrative expenses, respectively, in the accompanying consolidated statement of operations for the year ended December 31, 2023. During the year ended December 31, 2023, the Company paid $0.7 million in severance benefits to separating employees related to the restructuring plan. At December 31, 2023, unpaid severance costs of $46,000 are included in accrued expenses in the accompanying consolidated balance sheet and are expected to be paid during the first quarter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F-22</w:t>
      </w:r>
    </w:p>
    <w:p>
      <w:pPr>
        <w:sectPr>
          <w:pgSz w:w="12240" w:h="15840" w:orient="portrait"/>
          <w:cols w:equalWidth="0" w:num="1">
            <w:col w:w="10060"/>
          </w:cols>
          <w:pgMar w:left="1080" w:top="1062" w:right="1100" w:bottom="173" w:gutter="0" w:footer="0" w:header="0"/>
        </w:sectPr>
      </w:pPr>
    </w:p>
    <w:bookmarkStart w:id="145" w:name="page146"/>
    <w:bookmarkEnd w:id="145"/>
    <w:p>
      <w:pPr>
        <w:jc w:val="center"/>
        <w:ind w:right="-99"/>
        <w:spacing w:after="0"/>
        <w:rPr>
          <w:sz w:val="20"/>
          <w:szCs w:val="20"/>
          <w:color w:val="auto"/>
        </w:rPr>
      </w:pPr>
      <w:r>
        <w:rPr>
          <w:rFonts w:ascii="Arial" w:cs="Arial" w:eastAsia="Arial" w:hAnsi="Arial"/>
          <w:sz w:val="19"/>
          <w:szCs w:val="19"/>
          <w:b w:val="1"/>
          <w:bCs w:val="1"/>
          <w:color w:val="auto"/>
        </w:rPr>
        <w:t>SIGNATURES</w:t>
      </w:r>
    </w:p>
    <w:p>
      <w:pPr>
        <w:spacing w:after="0" w:line="364" w:lineRule="exact"/>
        <w:rPr>
          <w:sz w:val="20"/>
          <w:szCs w:val="20"/>
          <w:color w:val="auto"/>
        </w:rPr>
      </w:pPr>
    </w:p>
    <w:p>
      <w:pPr>
        <w:ind w:right="340"/>
        <w:spacing w:after="0" w:line="292" w:lineRule="auto"/>
        <w:rPr>
          <w:sz w:val="20"/>
          <w:szCs w:val="20"/>
          <w:color w:val="auto"/>
        </w:rPr>
      </w:pPr>
      <w:r>
        <w:rPr>
          <w:rFonts w:ascii="Arial" w:cs="Arial" w:eastAsia="Arial" w:hAnsi="Arial"/>
          <w:sz w:val="19"/>
          <w:szCs w:val="19"/>
          <w:color w:val="auto"/>
        </w:rPr>
        <w:t>Pursuant to the requirements of Section 13 or 15(d) of the Securities Exchange Act of 1934, the registrant has duly caused this report to be signed on its behalf by the undersigned, thereunto duly authorized</w:t>
      </w:r>
      <w:r>
        <w:rPr>
          <w:rFonts w:ascii="Arial" w:cs="Arial" w:eastAsia="Arial" w:hAnsi="Arial"/>
          <w:sz w:val="19"/>
          <w:szCs w:val="19"/>
          <w:b w:val="1"/>
          <w:bCs w:val="1"/>
          <w:color w:val="auto"/>
        </w:rPr>
        <w:t>.</w:t>
      </w:r>
    </w:p>
    <w:p>
      <w:pPr>
        <w:spacing w:after="0" w:line="139" w:lineRule="exact"/>
        <w:rPr>
          <w:sz w:val="20"/>
          <w:szCs w:val="20"/>
          <w:color w:val="auto"/>
        </w:rPr>
      </w:pPr>
    </w:p>
    <w:p>
      <w:pPr>
        <w:ind w:left="4840"/>
        <w:spacing w:after="0"/>
        <w:rPr>
          <w:sz w:val="20"/>
          <w:szCs w:val="20"/>
          <w:color w:val="auto"/>
        </w:rPr>
      </w:pPr>
      <w:r>
        <w:rPr>
          <w:rFonts w:ascii="Arial" w:cs="Arial" w:eastAsia="Arial" w:hAnsi="Arial"/>
          <w:sz w:val="19"/>
          <w:szCs w:val="19"/>
          <w:color w:val="auto"/>
        </w:rPr>
        <w:t>Candel Therapeutics, Inc.</w:t>
      </w:r>
    </w:p>
    <w:p>
      <w:pPr>
        <w:spacing w:after="0" w:line="248" w:lineRule="exact"/>
        <w:rPr>
          <w:sz w:val="20"/>
          <w:szCs w:val="20"/>
          <w:color w:val="auto"/>
        </w:rPr>
      </w:pPr>
    </w:p>
    <w:p>
      <w:pPr>
        <w:spacing w:after="0"/>
        <w:tabs>
          <w:tab w:leader="none" w:pos="4820" w:val="left"/>
          <w:tab w:leader="none" w:pos="6940" w:val="left"/>
        </w:tabs>
        <w:rPr>
          <w:sz w:val="20"/>
          <w:szCs w:val="20"/>
          <w:color w:val="auto"/>
        </w:rPr>
      </w:pPr>
      <w:r>
        <w:rPr>
          <w:rFonts w:ascii="Arial" w:cs="Arial" w:eastAsia="Arial" w:hAnsi="Arial"/>
          <w:sz w:val="19"/>
          <w:szCs w:val="19"/>
          <w:color w:val="auto"/>
        </w:rPr>
        <w:t>Date: March 28, 2024</w:t>
      </w:r>
      <w:r>
        <w:rPr>
          <w:sz w:val="20"/>
          <w:szCs w:val="20"/>
          <w:color w:val="auto"/>
        </w:rPr>
        <w:tab/>
      </w:r>
      <w:r>
        <w:rPr>
          <w:rFonts w:ascii="Arial" w:cs="Arial" w:eastAsia="Arial" w:hAnsi="Arial"/>
          <w:sz w:val="19"/>
          <w:szCs w:val="19"/>
          <w:color w:val="auto"/>
        </w:rPr>
        <w:t>By:</w:t>
      </w:r>
      <w:r>
        <w:rPr>
          <w:sz w:val="20"/>
          <w:szCs w:val="20"/>
          <w:color w:val="auto"/>
        </w:rPr>
        <w:tab/>
      </w:r>
      <w:r>
        <w:rPr>
          <w:rFonts w:ascii="Arial" w:cs="Arial" w:eastAsia="Arial" w:hAnsi="Arial"/>
          <w:sz w:val="18"/>
          <w:szCs w:val="18"/>
          <w:color w:val="auto"/>
        </w:rPr>
        <w:t>/s/ Paul Peter Tak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3395980</wp:posOffset>
                </wp:positionH>
                <wp:positionV relativeFrom="paragraph">
                  <wp:posOffset>12700</wp:posOffset>
                </wp:positionV>
                <wp:extent cx="3004820"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04820"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7.4pt,1pt" to="504pt,1pt" o:allowincell="f" strokecolor="#000000" strokeweight="0.25pt"/>
            </w:pict>
          </mc:Fallback>
        </mc:AlternateContent>
      </w:r>
    </w:p>
    <w:p>
      <w:pPr>
        <w:spacing w:after="0" w:line="17" w:lineRule="exact"/>
        <w:rPr>
          <w:sz w:val="20"/>
          <w:szCs w:val="20"/>
          <w:color w:val="auto"/>
        </w:rPr>
      </w:pPr>
    </w:p>
    <w:p>
      <w:pPr>
        <w:ind w:left="6060"/>
        <w:spacing w:after="0"/>
        <w:rPr>
          <w:sz w:val="20"/>
          <w:szCs w:val="20"/>
          <w:color w:val="auto"/>
        </w:rPr>
      </w:pPr>
      <w:r>
        <w:rPr>
          <w:rFonts w:ascii="Arial" w:cs="Arial" w:eastAsia="Arial" w:hAnsi="Arial"/>
          <w:sz w:val="19"/>
          <w:szCs w:val="19"/>
          <w:b w:val="1"/>
          <w:bCs w:val="1"/>
          <w:color w:val="auto"/>
        </w:rPr>
        <w:t>Paul Peter Tak, M.D., Ph.D., FMedSci</w:t>
      </w:r>
    </w:p>
    <w:p>
      <w:pPr>
        <w:spacing w:after="0" w:line="22" w:lineRule="exact"/>
        <w:rPr>
          <w:sz w:val="20"/>
          <w:szCs w:val="20"/>
          <w:color w:val="auto"/>
        </w:rPr>
      </w:pPr>
    </w:p>
    <w:p>
      <w:pPr>
        <w:ind w:left="6020"/>
        <w:spacing w:after="0"/>
        <w:rPr>
          <w:sz w:val="20"/>
          <w:szCs w:val="20"/>
          <w:color w:val="auto"/>
        </w:rPr>
      </w:pPr>
      <w:r>
        <w:rPr>
          <w:rFonts w:ascii="Arial" w:cs="Arial" w:eastAsia="Arial" w:hAnsi="Arial"/>
          <w:sz w:val="19"/>
          <w:szCs w:val="19"/>
          <w:b w:val="1"/>
          <w:bCs w:val="1"/>
          <w:color w:val="auto"/>
        </w:rPr>
        <w:t>President and Chief Executive Officer</w:t>
      </w:r>
    </w:p>
    <w:p>
      <w:pPr>
        <w:spacing w:after="0" w:line="92" w:lineRule="exact"/>
        <w:rPr>
          <w:sz w:val="20"/>
          <w:szCs w:val="20"/>
          <w:color w:val="auto"/>
        </w:rPr>
      </w:pPr>
    </w:p>
    <w:p>
      <w:pPr>
        <w:jc w:val="center"/>
        <w:ind w:right="-99"/>
        <w:spacing w:after="0"/>
        <w:rPr>
          <w:sz w:val="20"/>
          <w:szCs w:val="20"/>
          <w:color w:val="auto"/>
        </w:rPr>
      </w:pPr>
      <w:r>
        <w:rPr>
          <w:rFonts w:ascii="Arial" w:cs="Arial" w:eastAsia="Arial" w:hAnsi="Arial"/>
          <w:sz w:val="19"/>
          <w:szCs w:val="19"/>
          <w:b w:val="1"/>
          <w:bCs w:val="1"/>
          <w:color w:val="auto"/>
        </w:rPr>
        <w:t>POWER OF ATTORNEY</w:t>
      </w:r>
    </w:p>
    <w:p>
      <w:pPr>
        <w:spacing w:after="0" w:line="124" w:lineRule="exact"/>
        <w:rPr>
          <w:sz w:val="20"/>
          <w:szCs w:val="20"/>
          <w:color w:val="auto"/>
        </w:rPr>
      </w:pPr>
    </w:p>
    <w:p>
      <w:pPr>
        <w:spacing w:after="0" w:line="245" w:lineRule="auto"/>
        <w:rPr>
          <w:sz w:val="20"/>
          <w:szCs w:val="20"/>
          <w:color w:val="auto"/>
        </w:rPr>
      </w:pPr>
      <w:r>
        <w:rPr>
          <w:rFonts w:ascii="Arial" w:cs="Arial" w:eastAsia="Arial" w:hAnsi="Arial"/>
          <w:sz w:val="19"/>
          <w:szCs w:val="19"/>
          <w:color w:val="auto"/>
        </w:rPr>
        <w:t>Each person whose individual signature appears below hereby constitutes and appoints Paul Peter Tak and Charles Schoch,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79" w:lineRule="exact"/>
        <w:rPr>
          <w:sz w:val="20"/>
          <w:szCs w:val="20"/>
          <w:color w:val="auto"/>
        </w:rPr>
      </w:pPr>
    </w:p>
    <w:p>
      <w:pPr>
        <w:ind w:right="680"/>
        <w:spacing w:after="0" w:line="281" w:lineRule="auto"/>
        <w:rPr>
          <w:sz w:val="20"/>
          <w:szCs w:val="20"/>
          <w:color w:val="auto"/>
        </w:rPr>
      </w:pPr>
      <w:r>
        <w:rPr>
          <w:rFonts w:ascii="Arial" w:cs="Arial" w:eastAsia="Arial" w:hAnsi="Arial"/>
          <w:sz w:val="19"/>
          <w:szCs w:val="19"/>
          <w:color w:val="auto"/>
        </w:rPr>
        <w:t>Pursuant to the requirements of the Securities Exchange Act of 1934, this report has been signed below by the following persons on behalf of the Registrant in the capacities and on the dates indicated.</w:t>
      </w:r>
    </w:p>
    <w:p>
      <w:pPr>
        <w:spacing w:after="0" w:line="146" w:lineRule="exact"/>
        <w:rPr>
          <w:sz w:val="20"/>
          <w:szCs w:val="20"/>
          <w:color w:val="auto"/>
        </w:rPr>
      </w:pPr>
    </w:p>
    <w:p>
      <w:pPr>
        <w:ind w:left="1420"/>
        <w:spacing w:after="0"/>
        <w:tabs>
          <w:tab w:leader="none" w:pos="5420" w:val="left"/>
          <w:tab w:leader="none" w:pos="8800" w:val="left"/>
        </w:tabs>
        <w:rPr>
          <w:sz w:val="20"/>
          <w:szCs w:val="20"/>
          <w:color w:val="auto"/>
        </w:rPr>
      </w:pPr>
      <w:r>
        <w:rPr>
          <w:rFonts w:ascii="Arial" w:cs="Arial" w:eastAsia="Arial" w:hAnsi="Arial"/>
          <w:sz w:val="16"/>
          <w:szCs w:val="16"/>
          <w:b w:val="1"/>
          <w:bCs w:val="1"/>
          <w:color w:val="auto"/>
        </w:rPr>
        <w:t>Name</w:t>
      </w:r>
      <w:r>
        <w:rPr>
          <w:sz w:val="20"/>
          <w:szCs w:val="20"/>
          <w:color w:val="auto"/>
        </w:rPr>
        <w:tab/>
      </w:r>
      <w:r>
        <w:rPr>
          <w:rFonts w:ascii="Arial" w:cs="Arial" w:eastAsia="Arial" w:hAnsi="Arial"/>
          <w:sz w:val="16"/>
          <w:szCs w:val="16"/>
          <w:b w:val="1"/>
          <w:bCs w:val="1"/>
          <w:color w:val="auto"/>
        </w:rPr>
        <w:t>Title</w:t>
      </w:r>
      <w:r>
        <w:rPr>
          <w:sz w:val="20"/>
          <w:szCs w:val="20"/>
          <w:color w:val="auto"/>
        </w:rPr>
        <w:tab/>
      </w:r>
      <w:r>
        <w:rPr>
          <w:rFonts w:ascii="Arial" w:cs="Arial" w:eastAsia="Arial" w:hAnsi="Arial"/>
          <w:sz w:val="15"/>
          <w:szCs w:val="15"/>
          <w:b w:val="1"/>
          <w:bCs w:val="1"/>
          <w:color w:val="auto"/>
        </w:rPr>
        <w:t>Date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13335</wp:posOffset>
                </wp:positionV>
                <wp:extent cx="2090420"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90420"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5pt" to="164.6pt,1.05pt" o:allowincell="f" strokecolor="#000000" strokeweight="0.25pt"/>
            </w:pict>
          </mc:Fallback>
        </mc:AlternateContent>
        <mc:AlternateContent>
          <mc:Choice Requires="wps">
            <w:drawing>
              <wp:anchor simplePos="0" relativeHeight="251657728" behindDoc="1" locked="0" layoutInCell="0" allowOverlap="1">
                <wp:simplePos x="0" y="0"/>
                <wp:positionH relativeFrom="column">
                  <wp:posOffset>2090420</wp:posOffset>
                </wp:positionH>
                <wp:positionV relativeFrom="paragraph">
                  <wp:posOffset>13335</wp:posOffset>
                </wp:positionV>
                <wp:extent cx="65405"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405" cy="4763"/>
                        </a:xfrm>
                        <a:prstGeom prst="line">
                          <a:avLst/>
                        </a:prstGeom>
                        <a:solidFill>
                          <a:srgbClr val="FFFFFF"/>
                        </a:solidFill>
                        <a:ln w="3175">
                          <a:solidFill>
                            <a:srgbClr val="FFFFFF"/>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4.6pt,1.05pt" to="169.75pt,1.05pt" o:allowincell="f" strokecolor="#FFFFFF" strokeweight="0.25pt"/>
            </w:pict>
          </mc:Fallback>
        </mc:AlternateContent>
        <mc:AlternateContent>
          <mc:Choice Requires="wps">
            <w:drawing>
              <wp:anchor simplePos="0" relativeHeight="251657728" behindDoc="1" locked="0" layoutInCell="0" allowOverlap="1">
                <wp:simplePos x="0" y="0"/>
                <wp:positionH relativeFrom="column">
                  <wp:posOffset>2155825</wp:posOffset>
                </wp:positionH>
                <wp:positionV relativeFrom="paragraph">
                  <wp:posOffset>13335</wp:posOffset>
                </wp:positionV>
                <wp:extent cx="2808605"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08605"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9.75pt,1.05pt" to="390.9pt,1.05pt" o:allowincell="f" strokecolor="#000000" strokeweight="0.25pt"/>
            </w:pict>
          </mc:Fallback>
        </mc:AlternateContent>
        <mc:AlternateContent>
          <mc:Choice Requires="wps">
            <w:drawing>
              <wp:anchor simplePos="0" relativeHeight="251657728" behindDoc="1" locked="0" layoutInCell="0" allowOverlap="1">
                <wp:simplePos x="0" y="0"/>
                <wp:positionH relativeFrom="column">
                  <wp:posOffset>4964430</wp:posOffset>
                </wp:positionH>
                <wp:positionV relativeFrom="paragraph">
                  <wp:posOffset>13335</wp:posOffset>
                </wp:positionV>
                <wp:extent cx="65405"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405" cy="4763"/>
                        </a:xfrm>
                        <a:prstGeom prst="line">
                          <a:avLst/>
                        </a:prstGeom>
                        <a:solidFill>
                          <a:srgbClr val="FFFFFF"/>
                        </a:solidFill>
                        <a:ln w="3175">
                          <a:solidFill>
                            <a:srgbClr val="FFFFFF"/>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0.9pt,1.05pt" to="396.05pt,1.05pt" o:allowincell="f" strokecolor="#FFFFFF" strokeweight="0.25pt"/>
            </w:pict>
          </mc:Fallback>
        </mc:AlternateContent>
        <mc:AlternateContent>
          <mc:Choice Requires="wps">
            <w:drawing>
              <wp:anchor simplePos="0" relativeHeight="251657728" behindDoc="1" locked="0" layoutInCell="0" allowOverlap="1">
                <wp:simplePos x="0" y="0"/>
                <wp:positionH relativeFrom="column">
                  <wp:posOffset>5029835</wp:posOffset>
                </wp:positionH>
                <wp:positionV relativeFrom="paragraph">
                  <wp:posOffset>13335</wp:posOffset>
                </wp:positionV>
                <wp:extent cx="1370965"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0965"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6.05pt,1.05pt" to="504pt,1.05pt" o:allowincell="f" strokecolor="#000000" strokeweight="0.25pt"/>
            </w:pict>
          </mc:Fallback>
        </mc:AlternateConten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300" w:type="dxa"/>
            <w:vAlign w:val="bottom"/>
          </w:tcPr>
          <w:p>
            <w:pPr>
              <w:spacing w:after="0"/>
              <w:rPr>
                <w:sz w:val="19"/>
                <w:szCs w:val="19"/>
                <w:color w:val="auto"/>
              </w:rPr>
            </w:pPr>
          </w:p>
        </w:tc>
        <w:tc>
          <w:tcPr>
            <w:tcW w:w="4460" w:type="dxa"/>
            <w:vAlign w:val="bottom"/>
          </w:tcPr>
          <w:p>
            <w:pPr>
              <w:ind w:left="100"/>
              <w:spacing w:after="0"/>
              <w:rPr>
                <w:sz w:val="20"/>
                <w:szCs w:val="20"/>
                <w:color w:val="auto"/>
              </w:rPr>
            </w:pPr>
            <w:r>
              <w:rPr>
                <w:rFonts w:ascii="Arial" w:cs="Arial" w:eastAsia="Arial" w:hAnsi="Arial"/>
                <w:sz w:val="19"/>
                <w:szCs w:val="19"/>
                <w:color w:val="auto"/>
              </w:rPr>
              <w:t>President and Chief Executive Officer</w:t>
            </w:r>
          </w:p>
        </w:tc>
        <w:tc>
          <w:tcPr>
            <w:tcW w:w="1540" w:type="dxa"/>
            <w:vAlign w:val="bottom"/>
          </w:tcPr>
          <w:p>
            <w:pPr>
              <w:spacing w:after="0"/>
              <w:rPr>
                <w:sz w:val="19"/>
                <w:szCs w:val="19"/>
                <w:color w:val="auto"/>
              </w:rPr>
            </w:pPr>
          </w:p>
        </w:tc>
      </w:tr>
      <w:tr>
        <w:trPr>
          <w:trHeight w:val="236"/>
        </w:trPr>
        <w:tc>
          <w:tcPr>
            <w:tcW w:w="330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rPr>
              <w:t>/s/ Paul Peter Tak</w:t>
            </w:r>
          </w:p>
        </w:tc>
        <w:tc>
          <w:tcPr>
            <w:tcW w:w="4460" w:type="dxa"/>
            <w:vAlign w:val="bottom"/>
          </w:tcPr>
          <w:p>
            <w:pPr>
              <w:ind w:left="100"/>
              <w:spacing w:after="0"/>
              <w:rPr>
                <w:sz w:val="20"/>
                <w:szCs w:val="20"/>
                <w:color w:val="auto"/>
              </w:rPr>
            </w:pPr>
            <w:r>
              <w:rPr>
                <w:rFonts w:ascii="Arial" w:cs="Arial" w:eastAsia="Arial" w:hAnsi="Arial"/>
                <w:sz w:val="19"/>
                <w:szCs w:val="19"/>
                <w:color w:val="auto"/>
              </w:rPr>
              <w:t>(Principal Executive Officer)</w:t>
            </w:r>
          </w:p>
        </w:tc>
        <w:tc>
          <w:tcPr>
            <w:tcW w:w="1540" w:type="dxa"/>
            <w:vAlign w:val="bottom"/>
          </w:tcPr>
          <w:p>
            <w:pPr>
              <w:ind w:left="220"/>
              <w:spacing w:after="0"/>
              <w:rPr>
                <w:sz w:val="20"/>
                <w:szCs w:val="20"/>
                <w:color w:val="auto"/>
              </w:rPr>
            </w:pPr>
            <w:r>
              <w:rPr>
                <w:rFonts w:ascii="Arial" w:cs="Arial" w:eastAsia="Arial" w:hAnsi="Arial"/>
                <w:sz w:val="19"/>
                <w:szCs w:val="19"/>
                <w:color w:val="auto"/>
                <w:w w:val="98"/>
              </w:rPr>
              <w:t>March 28, 2024</w:t>
            </w:r>
          </w:p>
        </w:tc>
      </w:tr>
      <w:tr>
        <w:trPr>
          <w:trHeight w:val="214"/>
        </w:trPr>
        <w:tc>
          <w:tcPr>
            <w:tcW w:w="3300" w:type="dxa"/>
            <w:vAlign w:val="bottom"/>
          </w:tcPr>
          <w:p>
            <w:pPr>
              <w:jc w:val="center"/>
              <w:spacing w:after="0"/>
              <w:rPr>
                <w:sz w:val="20"/>
                <w:szCs w:val="20"/>
                <w:color w:val="auto"/>
              </w:rPr>
            </w:pPr>
            <w:r>
              <w:rPr>
                <w:rFonts w:ascii="Arial" w:cs="Arial" w:eastAsia="Arial" w:hAnsi="Arial"/>
                <w:sz w:val="16"/>
                <w:szCs w:val="16"/>
                <w:b w:val="1"/>
                <w:bCs w:val="1"/>
                <w:color w:val="auto"/>
                <w:w w:val="99"/>
              </w:rPr>
              <w:t>Paul Peter Tak, M.D., Ph.D. FMedSci</w:t>
            </w:r>
          </w:p>
        </w:tc>
        <w:tc>
          <w:tcPr>
            <w:tcW w:w="44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93"/>
        </w:trPr>
        <w:tc>
          <w:tcPr>
            <w:tcW w:w="3300" w:type="dxa"/>
            <w:vAlign w:val="bottom"/>
          </w:tcPr>
          <w:p>
            <w:pPr>
              <w:spacing w:after="0"/>
              <w:rPr>
                <w:sz w:val="24"/>
                <w:szCs w:val="24"/>
                <w:color w:val="auto"/>
              </w:rPr>
            </w:pPr>
          </w:p>
        </w:tc>
        <w:tc>
          <w:tcPr>
            <w:tcW w:w="4460" w:type="dxa"/>
            <w:vAlign w:val="bottom"/>
          </w:tcPr>
          <w:p>
            <w:pPr>
              <w:ind w:left="100"/>
              <w:spacing w:after="0"/>
              <w:rPr>
                <w:sz w:val="20"/>
                <w:szCs w:val="20"/>
                <w:color w:val="auto"/>
              </w:rPr>
            </w:pPr>
            <w:r>
              <w:rPr>
                <w:rFonts w:ascii="Arial" w:cs="Arial" w:eastAsia="Arial" w:hAnsi="Arial"/>
                <w:sz w:val="19"/>
                <w:szCs w:val="19"/>
                <w:color w:val="auto"/>
              </w:rPr>
              <w:t>Interim Chief Financial Officer (Principal Financial</w:t>
            </w:r>
          </w:p>
        </w:tc>
        <w:tc>
          <w:tcPr>
            <w:tcW w:w="1540" w:type="dxa"/>
            <w:vAlign w:val="bottom"/>
          </w:tcPr>
          <w:p>
            <w:pPr>
              <w:spacing w:after="0"/>
              <w:rPr>
                <w:sz w:val="24"/>
                <w:szCs w:val="24"/>
                <w:color w:val="auto"/>
              </w:rPr>
            </w:pPr>
          </w:p>
        </w:tc>
      </w:tr>
      <w:tr>
        <w:trPr>
          <w:trHeight w:val="236"/>
        </w:trPr>
        <w:tc>
          <w:tcPr>
            <w:tcW w:w="330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rPr>
              <w:t>/s/ Charles Schoch</w:t>
            </w:r>
          </w:p>
        </w:tc>
        <w:tc>
          <w:tcPr>
            <w:tcW w:w="4460" w:type="dxa"/>
            <w:vAlign w:val="bottom"/>
          </w:tcPr>
          <w:p>
            <w:pPr>
              <w:ind w:left="100"/>
              <w:spacing w:after="0"/>
              <w:rPr>
                <w:sz w:val="20"/>
                <w:szCs w:val="20"/>
                <w:color w:val="auto"/>
              </w:rPr>
            </w:pPr>
            <w:r>
              <w:rPr>
                <w:rFonts w:ascii="Arial" w:cs="Arial" w:eastAsia="Arial" w:hAnsi="Arial"/>
                <w:sz w:val="19"/>
                <w:szCs w:val="19"/>
                <w:color w:val="auto"/>
              </w:rPr>
              <w:t>and Accounting Officer)</w:t>
            </w:r>
          </w:p>
        </w:tc>
        <w:tc>
          <w:tcPr>
            <w:tcW w:w="1540" w:type="dxa"/>
            <w:vAlign w:val="bottom"/>
          </w:tcPr>
          <w:p>
            <w:pPr>
              <w:ind w:left="220"/>
              <w:spacing w:after="0"/>
              <w:rPr>
                <w:sz w:val="20"/>
                <w:szCs w:val="20"/>
                <w:color w:val="auto"/>
              </w:rPr>
            </w:pPr>
            <w:r>
              <w:rPr>
                <w:rFonts w:ascii="Arial" w:cs="Arial" w:eastAsia="Arial" w:hAnsi="Arial"/>
                <w:sz w:val="19"/>
                <w:szCs w:val="19"/>
                <w:color w:val="auto"/>
                <w:w w:val="98"/>
              </w:rPr>
              <w:t>March 28, 2024</w:t>
            </w:r>
          </w:p>
        </w:tc>
      </w:tr>
      <w:tr>
        <w:trPr>
          <w:trHeight w:val="214"/>
        </w:trPr>
        <w:tc>
          <w:tcPr>
            <w:tcW w:w="3300" w:type="dxa"/>
            <w:vAlign w:val="bottom"/>
          </w:tcPr>
          <w:p>
            <w:pPr>
              <w:jc w:val="center"/>
              <w:spacing w:after="0"/>
              <w:rPr>
                <w:sz w:val="20"/>
                <w:szCs w:val="20"/>
                <w:color w:val="auto"/>
              </w:rPr>
            </w:pPr>
            <w:r>
              <w:rPr>
                <w:rFonts w:ascii="Arial" w:cs="Arial" w:eastAsia="Arial" w:hAnsi="Arial"/>
                <w:sz w:val="16"/>
                <w:szCs w:val="16"/>
                <w:b w:val="1"/>
                <w:bCs w:val="1"/>
                <w:color w:val="auto"/>
                <w:w w:val="99"/>
              </w:rPr>
              <w:t>Charles Schoch</w:t>
            </w:r>
          </w:p>
        </w:tc>
        <w:tc>
          <w:tcPr>
            <w:tcW w:w="44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311"/>
        </w:trPr>
        <w:tc>
          <w:tcPr>
            <w:tcW w:w="330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9"/>
              </w:rPr>
              <w:t>/s/ Paul B. Manning</w:t>
            </w:r>
          </w:p>
        </w:tc>
        <w:tc>
          <w:tcPr>
            <w:tcW w:w="4460" w:type="dxa"/>
            <w:vAlign w:val="bottom"/>
          </w:tcPr>
          <w:p>
            <w:pPr>
              <w:ind w:left="100"/>
              <w:spacing w:after="0"/>
              <w:rPr>
                <w:sz w:val="20"/>
                <w:szCs w:val="20"/>
                <w:color w:val="auto"/>
              </w:rPr>
            </w:pPr>
            <w:r>
              <w:rPr>
                <w:rFonts w:ascii="Arial" w:cs="Arial" w:eastAsia="Arial" w:hAnsi="Arial"/>
                <w:sz w:val="19"/>
                <w:szCs w:val="19"/>
                <w:color w:val="auto"/>
              </w:rPr>
              <w:t>Chairman</w:t>
            </w:r>
          </w:p>
        </w:tc>
        <w:tc>
          <w:tcPr>
            <w:tcW w:w="1540" w:type="dxa"/>
            <w:vAlign w:val="bottom"/>
          </w:tcPr>
          <w:p>
            <w:pPr>
              <w:ind w:left="220"/>
              <w:spacing w:after="0"/>
              <w:rPr>
                <w:sz w:val="20"/>
                <w:szCs w:val="20"/>
                <w:color w:val="auto"/>
              </w:rPr>
            </w:pPr>
            <w:r>
              <w:rPr>
                <w:rFonts w:ascii="Arial" w:cs="Arial" w:eastAsia="Arial" w:hAnsi="Arial"/>
                <w:sz w:val="19"/>
                <w:szCs w:val="19"/>
                <w:color w:val="auto"/>
                <w:w w:val="98"/>
              </w:rPr>
              <w:t>March 28, 2024</w:t>
            </w:r>
          </w:p>
        </w:tc>
      </w:tr>
      <w:tr>
        <w:trPr>
          <w:trHeight w:val="214"/>
        </w:trPr>
        <w:tc>
          <w:tcPr>
            <w:tcW w:w="3300" w:type="dxa"/>
            <w:vAlign w:val="bottom"/>
          </w:tcPr>
          <w:p>
            <w:pPr>
              <w:jc w:val="center"/>
              <w:spacing w:after="0"/>
              <w:rPr>
                <w:sz w:val="20"/>
                <w:szCs w:val="20"/>
                <w:color w:val="auto"/>
              </w:rPr>
            </w:pPr>
            <w:r>
              <w:rPr>
                <w:rFonts w:ascii="Arial" w:cs="Arial" w:eastAsia="Arial" w:hAnsi="Arial"/>
                <w:sz w:val="16"/>
                <w:szCs w:val="16"/>
                <w:b w:val="1"/>
                <w:bCs w:val="1"/>
                <w:color w:val="auto"/>
                <w:w w:val="99"/>
              </w:rPr>
              <w:t>Paul B. Manning</w:t>
            </w:r>
          </w:p>
        </w:tc>
        <w:tc>
          <w:tcPr>
            <w:tcW w:w="44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311"/>
        </w:trPr>
        <w:tc>
          <w:tcPr>
            <w:tcW w:w="330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9"/>
              </w:rPr>
              <w:t>/s/ Edward J. Benz Jr.</w:t>
            </w:r>
          </w:p>
        </w:tc>
        <w:tc>
          <w:tcPr>
            <w:tcW w:w="4460" w:type="dxa"/>
            <w:vAlign w:val="bottom"/>
          </w:tcPr>
          <w:p>
            <w:pPr>
              <w:ind w:left="100"/>
              <w:spacing w:after="0"/>
              <w:rPr>
                <w:sz w:val="20"/>
                <w:szCs w:val="20"/>
                <w:color w:val="auto"/>
              </w:rPr>
            </w:pPr>
            <w:r>
              <w:rPr>
                <w:rFonts w:ascii="Arial" w:cs="Arial" w:eastAsia="Arial" w:hAnsi="Arial"/>
                <w:sz w:val="19"/>
                <w:szCs w:val="19"/>
                <w:color w:val="auto"/>
              </w:rPr>
              <w:t>Director</w:t>
            </w:r>
          </w:p>
        </w:tc>
        <w:tc>
          <w:tcPr>
            <w:tcW w:w="1540" w:type="dxa"/>
            <w:vAlign w:val="bottom"/>
          </w:tcPr>
          <w:p>
            <w:pPr>
              <w:ind w:left="220"/>
              <w:spacing w:after="0"/>
              <w:rPr>
                <w:sz w:val="20"/>
                <w:szCs w:val="20"/>
                <w:color w:val="auto"/>
              </w:rPr>
            </w:pPr>
            <w:r>
              <w:rPr>
                <w:rFonts w:ascii="Arial" w:cs="Arial" w:eastAsia="Arial" w:hAnsi="Arial"/>
                <w:sz w:val="19"/>
                <w:szCs w:val="19"/>
                <w:color w:val="auto"/>
                <w:w w:val="98"/>
              </w:rPr>
              <w:t>March 28, 2024</w:t>
            </w:r>
          </w:p>
        </w:tc>
      </w:tr>
      <w:tr>
        <w:trPr>
          <w:trHeight w:val="214"/>
        </w:trPr>
        <w:tc>
          <w:tcPr>
            <w:tcW w:w="3300" w:type="dxa"/>
            <w:vAlign w:val="bottom"/>
          </w:tcPr>
          <w:p>
            <w:pPr>
              <w:jc w:val="center"/>
              <w:spacing w:after="0"/>
              <w:rPr>
                <w:sz w:val="20"/>
                <w:szCs w:val="20"/>
                <w:color w:val="auto"/>
              </w:rPr>
            </w:pPr>
            <w:r>
              <w:rPr>
                <w:rFonts w:ascii="Arial" w:cs="Arial" w:eastAsia="Arial" w:hAnsi="Arial"/>
                <w:sz w:val="16"/>
                <w:szCs w:val="16"/>
                <w:b w:val="1"/>
                <w:bCs w:val="1"/>
                <w:color w:val="auto"/>
                <w:w w:val="99"/>
              </w:rPr>
              <w:t>Edward J. Benz, Jr, M.D.</w:t>
            </w:r>
          </w:p>
        </w:tc>
        <w:tc>
          <w:tcPr>
            <w:tcW w:w="44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311"/>
        </w:trPr>
        <w:tc>
          <w:tcPr>
            <w:tcW w:w="330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9"/>
              </w:rPr>
              <w:t>/s/ Chris Martell</w:t>
            </w:r>
          </w:p>
        </w:tc>
        <w:tc>
          <w:tcPr>
            <w:tcW w:w="4460" w:type="dxa"/>
            <w:vAlign w:val="bottom"/>
          </w:tcPr>
          <w:p>
            <w:pPr>
              <w:ind w:left="100"/>
              <w:spacing w:after="0"/>
              <w:rPr>
                <w:sz w:val="20"/>
                <w:szCs w:val="20"/>
                <w:color w:val="auto"/>
              </w:rPr>
            </w:pPr>
            <w:r>
              <w:rPr>
                <w:rFonts w:ascii="Arial" w:cs="Arial" w:eastAsia="Arial" w:hAnsi="Arial"/>
                <w:sz w:val="19"/>
                <w:szCs w:val="19"/>
                <w:color w:val="auto"/>
              </w:rPr>
              <w:t>Director</w:t>
            </w:r>
          </w:p>
        </w:tc>
        <w:tc>
          <w:tcPr>
            <w:tcW w:w="1540" w:type="dxa"/>
            <w:vAlign w:val="bottom"/>
          </w:tcPr>
          <w:p>
            <w:pPr>
              <w:ind w:left="220"/>
              <w:spacing w:after="0"/>
              <w:rPr>
                <w:sz w:val="20"/>
                <w:szCs w:val="20"/>
                <w:color w:val="auto"/>
              </w:rPr>
            </w:pPr>
            <w:r>
              <w:rPr>
                <w:rFonts w:ascii="Arial" w:cs="Arial" w:eastAsia="Arial" w:hAnsi="Arial"/>
                <w:sz w:val="19"/>
                <w:szCs w:val="19"/>
                <w:color w:val="auto"/>
                <w:w w:val="98"/>
              </w:rPr>
              <w:t>March 28, 2024</w:t>
            </w:r>
          </w:p>
        </w:tc>
      </w:tr>
      <w:tr>
        <w:trPr>
          <w:trHeight w:val="214"/>
        </w:trPr>
        <w:tc>
          <w:tcPr>
            <w:tcW w:w="3300" w:type="dxa"/>
            <w:vAlign w:val="bottom"/>
          </w:tcPr>
          <w:p>
            <w:pPr>
              <w:jc w:val="center"/>
              <w:spacing w:after="0"/>
              <w:rPr>
                <w:sz w:val="20"/>
                <w:szCs w:val="20"/>
                <w:color w:val="auto"/>
              </w:rPr>
            </w:pPr>
            <w:r>
              <w:rPr>
                <w:rFonts w:ascii="Arial" w:cs="Arial" w:eastAsia="Arial" w:hAnsi="Arial"/>
                <w:sz w:val="16"/>
                <w:szCs w:val="16"/>
                <w:b w:val="1"/>
                <w:bCs w:val="1"/>
                <w:color w:val="auto"/>
                <w:w w:val="99"/>
              </w:rPr>
              <w:t>Chris Martell</w:t>
            </w:r>
          </w:p>
        </w:tc>
        <w:tc>
          <w:tcPr>
            <w:tcW w:w="44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311"/>
        </w:trPr>
        <w:tc>
          <w:tcPr>
            <w:tcW w:w="330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rPr>
              <w:t>/s/ Renee Gaeta</w:t>
            </w:r>
          </w:p>
        </w:tc>
        <w:tc>
          <w:tcPr>
            <w:tcW w:w="4460" w:type="dxa"/>
            <w:vAlign w:val="bottom"/>
          </w:tcPr>
          <w:p>
            <w:pPr>
              <w:ind w:left="100"/>
              <w:spacing w:after="0"/>
              <w:rPr>
                <w:sz w:val="20"/>
                <w:szCs w:val="20"/>
                <w:color w:val="auto"/>
              </w:rPr>
            </w:pPr>
            <w:r>
              <w:rPr>
                <w:rFonts w:ascii="Arial" w:cs="Arial" w:eastAsia="Arial" w:hAnsi="Arial"/>
                <w:sz w:val="19"/>
                <w:szCs w:val="19"/>
                <w:color w:val="auto"/>
              </w:rPr>
              <w:t>Director</w:t>
            </w:r>
          </w:p>
        </w:tc>
        <w:tc>
          <w:tcPr>
            <w:tcW w:w="1540" w:type="dxa"/>
            <w:vAlign w:val="bottom"/>
          </w:tcPr>
          <w:p>
            <w:pPr>
              <w:ind w:left="220"/>
              <w:spacing w:after="0"/>
              <w:rPr>
                <w:sz w:val="20"/>
                <w:szCs w:val="20"/>
                <w:color w:val="auto"/>
              </w:rPr>
            </w:pPr>
            <w:r>
              <w:rPr>
                <w:rFonts w:ascii="Arial" w:cs="Arial" w:eastAsia="Arial" w:hAnsi="Arial"/>
                <w:sz w:val="19"/>
                <w:szCs w:val="19"/>
                <w:color w:val="auto"/>
                <w:w w:val="98"/>
              </w:rPr>
              <w:t>March 28, 2024</w:t>
            </w:r>
          </w:p>
        </w:tc>
      </w:tr>
      <w:tr>
        <w:trPr>
          <w:trHeight w:val="214"/>
        </w:trPr>
        <w:tc>
          <w:tcPr>
            <w:tcW w:w="3300" w:type="dxa"/>
            <w:vAlign w:val="bottom"/>
          </w:tcPr>
          <w:p>
            <w:pPr>
              <w:jc w:val="center"/>
              <w:spacing w:after="0"/>
              <w:rPr>
                <w:sz w:val="20"/>
                <w:szCs w:val="20"/>
                <w:color w:val="auto"/>
              </w:rPr>
            </w:pPr>
            <w:r>
              <w:rPr>
                <w:rFonts w:ascii="Arial" w:cs="Arial" w:eastAsia="Arial" w:hAnsi="Arial"/>
                <w:sz w:val="16"/>
                <w:szCs w:val="16"/>
                <w:b w:val="1"/>
                <w:bCs w:val="1"/>
                <w:color w:val="auto"/>
                <w:w w:val="98"/>
              </w:rPr>
              <w:t>Renee Gaeta</w:t>
            </w:r>
          </w:p>
        </w:tc>
        <w:tc>
          <w:tcPr>
            <w:tcW w:w="44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311"/>
        </w:trPr>
        <w:tc>
          <w:tcPr>
            <w:tcW w:w="330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8"/>
              </w:rPr>
              <w:t>/s/ Gary Nabel</w:t>
            </w:r>
          </w:p>
        </w:tc>
        <w:tc>
          <w:tcPr>
            <w:tcW w:w="4460" w:type="dxa"/>
            <w:vAlign w:val="bottom"/>
          </w:tcPr>
          <w:p>
            <w:pPr>
              <w:ind w:left="100"/>
              <w:spacing w:after="0"/>
              <w:rPr>
                <w:sz w:val="20"/>
                <w:szCs w:val="20"/>
                <w:color w:val="auto"/>
              </w:rPr>
            </w:pPr>
            <w:r>
              <w:rPr>
                <w:rFonts w:ascii="Arial" w:cs="Arial" w:eastAsia="Arial" w:hAnsi="Arial"/>
                <w:sz w:val="19"/>
                <w:szCs w:val="19"/>
                <w:color w:val="auto"/>
              </w:rPr>
              <w:t>Director</w:t>
            </w:r>
          </w:p>
        </w:tc>
        <w:tc>
          <w:tcPr>
            <w:tcW w:w="1540" w:type="dxa"/>
            <w:vAlign w:val="bottom"/>
          </w:tcPr>
          <w:p>
            <w:pPr>
              <w:ind w:left="220"/>
              <w:spacing w:after="0"/>
              <w:rPr>
                <w:sz w:val="20"/>
                <w:szCs w:val="20"/>
                <w:color w:val="auto"/>
              </w:rPr>
            </w:pPr>
            <w:r>
              <w:rPr>
                <w:rFonts w:ascii="Arial" w:cs="Arial" w:eastAsia="Arial" w:hAnsi="Arial"/>
                <w:sz w:val="19"/>
                <w:szCs w:val="19"/>
                <w:color w:val="auto"/>
                <w:w w:val="98"/>
              </w:rPr>
              <w:t>March 28, 2024</w:t>
            </w:r>
          </w:p>
        </w:tc>
      </w:tr>
      <w:tr>
        <w:trPr>
          <w:trHeight w:val="214"/>
        </w:trPr>
        <w:tc>
          <w:tcPr>
            <w:tcW w:w="3300" w:type="dxa"/>
            <w:vAlign w:val="bottom"/>
          </w:tcPr>
          <w:p>
            <w:pPr>
              <w:jc w:val="center"/>
              <w:spacing w:after="0"/>
              <w:rPr>
                <w:sz w:val="20"/>
                <w:szCs w:val="20"/>
                <w:color w:val="auto"/>
              </w:rPr>
            </w:pPr>
            <w:r>
              <w:rPr>
                <w:rFonts w:ascii="Arial" w:cs="Arial" w:eastAsia="Arial" w:hAnsi="Arial"/>
                <w:sz w:val="16"/>
                <w:szCs w:val="16"/>
                <w:b w:val="1"/>
                <w:bCs w:val="1"/>
                <w:color w:val="auto"/>
                <w:w w:val="99"/>
              </w:rPr>
              <w:t>Gary Nabel, Ph.D., M.D.</w:t>
            </w:r>
          </w:p>
        </w:tc>
        <w:tc>
          <w:tcPr>
            <w:tcW w:w="44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311"/>
        </w:trPr>
        <w:tc>
          <w:tcPr>
            <w:tcW w:w="330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rPr>
              <w:t>/s/ Estuardo Aguilar-Cordova</w:t>
            </w:r>
          </w:p>
        </w:tc>
        <w:tc>
          <w:tcPr>
            <w:tcW w:w="4460" w:type="dxa"/>
            <w:vAlign w:val="bottom"/>
          </w:tcPr>
          <w:p>
            <w:pPr>
              <w:ind w:left="100"/>
              <w:spacing w:after="0"/>
              <w:rPr>
                <w:sz w:val="20"/>
                <w:szCs w:val="20"/>
                <w:color w:val="auto"/>
              </w:rPr>
            </w:pPr>
            <w:r>
              <w:rPr>
                <w:rFonts w:ascii="Arial" w:cs="Arial" w:eastAsia="Arial" w:hAnsi="Arial"/>
                <w:sz w:val="19"/>
                <w:szCs w:val="19"/>
                <w:color w:val="auto"/>
              </w:rPr>
              <w:t>Director</w:t>
            </w:r>
          </w:p>
        </w:tc>
        <w:tc>
          <w:tcPr>
            <w:tcW w:w="1540" w:type="dxa"/>
            <w:vAlign w:val="bottom"/>
          </w:tcPr>
          <w:p>
            <w:pPr>
              <w:ind w:left="220"/>
              <w:spacing w:after="0"/>
              <w:rPr>
                <w:sz w:val="20"/>
                <w:szCs w:val="20"/>
                <w:color w:val="auto"/>
              </w:rPr>
            </w:pPr>
            <w:r>
              <w:rPr>
                <w:rFonts w:ascii="Arial" w:cs="Arial" w:eastAsia="Arial" w:hAnsi="Arial"/>
                <w:sz w:val="19"/>
                <w:szCs w:val="19"/>
                <w:color w:val="auto"/>
                <w:w w:val="98"/>
              </w:rPr>
              <w:t>March 28, 2024</w:t>
            </w:r>
          </w:p>
        </w:tc>
      </w:tr>
      <w:tr>
        <w:trPr>
          <w:trHeight w:val="214"/>
        </w:trPr>
        <w:tc>
          <w:tcPr>
            <w:tcW w:w="3300" w:type="dxa"/>
            <w:vAlign w:val="bottom"/>
          </w:tcPr>
          <w:p>
            <w:pPr>
              <w:jc w:val="center"/>
              <w:spacing w:after="0"/>
              <w:rPr>
                <w:sz w:val="20"/>
                <w:szCs w:val="20"/>
                <w:color w:val="auto"/>
              </w:rPr>
            </w:pPr>
            <w:r>
              <w:rPr>
                <w:rFonts w:ascii="Arial" w:cs="Arial" w:eastAsia="Arial" w:hAnsi="Arial"/>
                <w:sz w:val="16"/>
                <w:szCs w:val="16"/>
                <w:b w:val="1"/>
                <w:bCs w:val="1"/>
                <w:color w:val="auto"/>
              </w:rPr>
              <w:t>Estuardo Aguilar-Cordova, M.D. Ph.D.</w:t>
            </w:r>
          </w:p>
        </w:tc>
        <w:tc>
          <w:tcPr>
            <w:tcW w:w="44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311"/>
        </w:trPr>
        <w:tc>
          <w:tcPr>
            <w:tcW w:w="330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9"/>
              </w:rPr>
              <w:t>/s/ Joseph Papa</w:t>
            </w:r>
          </w:p>
        </w:tc>
        <w:tc>
          <w:tcPr>
            <w:tcW w:w="4460" w:type="dxa"/>
            <w:vAlign w:val="bottom"/>
          </w:tcPr>
          <w:p>
            <w:pPr>
              <w:ind w:left="100"/>
              <w:spacing w:after="0"/>
              <w:rPr>
                <w:sz w:val="20"/>
                <w:szCs w:val="20"/>
                <w:color w:val="auto"/>
              </w:rPr>
            </w:pPr>
            <w:r>
              <w:rPr>
                <w:rFonts w:ascii="Arial" w:cs="Arial" w:eastAsia="Arial" w:hAnsi="Arial"/>
                <w:sz w:val="19"/>
                <w:szCs w:val="19"/>
                <w:color w:val="auto"/>
              </w:rPr>
              <w:t>Director</w:t>
            </w:r>
          </w:p>
        </w:tc>
        <w:tc>
          <w:tcPr>
            <w:tcW w:w="1540" w:type="dxa"/>
            <w:vAlign w:val="bottom"/>
          </w:tcPr>
          <w:p>
            <w:pPr>
              <w:ind w:left="220"/>
              <w:spacing w:after="0"/>
              <w:rPr>
                <w:sz w:val="20"/>
                <w:szCs w:val="20"/>
                <w:color w:val="auto"/>
              </w:rPr>
            </w:pPr>
            <w:r>
              <w:rPr>
                <w:rFonts w:ascii="Arial" w:cs="Arial" w:eastAsia="Arial" w:hAnsi="Arial"/>
                <w:sz w:val="19"/>
                <w:szCs w:val="19"/>
                <w:color w:val="auto"/>
                <w:w w:val="98"/>
              </w:rPr>
              <w:t>March 28, 2024</w:t>
            </w:r>
          </w:p>
        </w:tc>
      </w:tr>
      <w:tr>
        <w:trPr>
          <w:trHeight w:val="214"/>
        </w:trPr>
        <w:tc>
          <w:tcPr>
            <w:tcW w:w="3300" w:type="dxa"/>
            <w:vAlign w:val="bottom"/>
          </w:tcPr>
          <w:p>
            <w:pPr>
              <w:jc w:val="center"/>
              <w:spacing w:after="0"/>
              <w:rPr>
                <w:sz w:val="20"/>
                <w:szCs w:val="20"/>
                <w:color w:val="auto"/>
              </w:rPr>
            </w:pPr>
            <w:r>
              <w:rPr>
                <w:rFonts w:ascii="Arial" w:cs="Arial" w:eastAsia="Arial" w:hAnsi="Arial"/>
                <w:sz w:val="16"/>
                <w:szCs w:val="16"/>
                <w:b w:val="1"/>
                <w:bCs w:val="1"/>
                <w:color w:val="auto"/>
              </w:rPr>
              <w:t>Joseph Papa</w:t>
            </w:r>
          </w:p>
        </w:tc>
        <w:tc>
          <w:tcPr>
            <w:tcW w:w="44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96"/>
        </w:trPr>
        <w:tc>
          <w:tcPr>
            <w:tcW w:w="330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9"/>
              </w:rPr>
              <w:t>/s/ Diem Nguyen</w:t>
            </w:r>
          </w:p>
        </w:tc>
        <w:tc>
          <w:tcPr>
            <w:tcW w:w="4460" w:type="dxa"/>
            <w:vAlign w:val="bottom"/>
          </w:tcPr>
          <w:p>
            <w:pPr>
              <w:ind w:left="100"/>
              <w:spacing w:after="0"/>
              <w:rPr>
                <w:sz w:val="20"/>
                <w:szCs w:val="20"/>
                <w:color w:val="auto"/>
              </w:rPr>
            </w:pPr>
            <w:r>
              <w:rPr>
                <w:rFonts w:ascii="Arial" w:cs="Arial" w:eastAsia="Arial" w:hAnsi="Arial"/>
                <w:sz w:val="19"/>
                <w:szCs w:val="19"/>
                <w:color w:val="auto"/>
              </w:rPr>
              <w:t>Director</w:t>
            </w:r>
          </w:p>
        </w:tc>
        <w:tc>
          <w:tcPr>
            <w:tcW w:w="1540" w:type="dxa"/>
            <w:vAlign w:val="bottom"/>
          </w:tcPr>
          <w:p>
            <w:pPr>
              <w:ind w:left="220"/>
              <w:spacing w:after="0"/>
              <w:rPr>
                <w:sz w:val="20"/>
                <w:szCs w:val="20"/>
                <w:color w:val="auto"/>
              </w:rPr>
            </w:pPr>
            <w:r>
              <w:rPr>
                <w:rFonts w:ascii="Arial" w:cs="Arial" w:eastAsia="Arial" w:hAnsi="Arial"/>
                <w:sz w:val="19"/>
                <w:szCs w:val="19"/>
                <w:color w:val="auto"/>
                <w:w w:val="98"/>
              </w:rPr>
              <w:t>March 28, 2024</w:t>
            </w:r>
          </w:p>
        </w:tc>
      </w:tr>
      <w:tr>
        <w:trPr>
          <w:trHeight w:val="219"/>
        </w:trPr>
        <w:tc>
          <w:tcPr>
            <w:tcW w:w="3300" w:type="dxa"/>
            <w:vAlign w:val="bottom"/>
          </w:tcPr>
          <w:p>
            <w:pPr>
              <w:jc w:val="center"/>
              <w:spacing w:after="0"/>
              <w:rPr>
                <w:sz w:val="20"/>
                <w:szCs w:val="20"/>
                <w:color w:val="auto"/>
              </w:rPr>
            </w:pPr>
            <w:r>
              <w:rPr>
                <w:rFonts w:ascii="Arial" w:cs="Arial" w:eastAsia="Arial" w:hAnsi="Arial"/>
                <w:sz w:val="16"/>
                <w:szCs w:val="16"/>
                <w:b w:val="1"/>
                <w:bCs w:val="1"/>
                <w:color w:val="auto"/>
                <w:w w:val="99"/>
              </w:rPr>
              <w:t>Diem Nguyen, Ph.D., MBA</w:t>
            </w:r>
          </w:p>
        </w:tc>
        <w:tc>
          <w:tcPr>
            <w:tcW w:w="44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96"/>
        </w:trPr>
        <w:tc>
          <w:tcPr>
            <w:tcW w:w="330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8"/>
              </w:rPr>
              <w:t>/s/ Nicoletta Loggia</w:t>
            </w:r>
          </w:p>
        </w:tc>
        <w:tc>
          <w:tcPr>
            <w:tcW w:w="4460" w:type="dxa"/>
            <w:vAlign w:val="bottom"/>
          </w:tcPr>
          <w:p>
            <w:pPr>
              <w:ind w:left="100"/>
              <w:spacing w:after="0"/>
              <w:rPr>
                <w:sz w:val="20"/>
                <w:szCs w:val="20"/>
                <w:color w:val="auto"/>
              </w:rPr>
            </w:pPr>
            <w:r>
              <w:rPr>
                <w:rFonts w:ascii="Arial" w:cs="Arial" w:eastAsia="Arial" w:hAnsi="Arial"/>
                <w:sz w:val="19"/>
                <w:szCs w:val="19"/>
                <w:color w:val="auto"/>
              </w:rPr>
              <w:t>Director</w:t>
            </w:r>
          </w:p>
        </w:tc>
        <w:tc>
          <w:tcPr>
            <w:tcW w:w="1540" w:type="dxa"/>
            <w:vAlign w:val="bottom"/>
          </w:tcPr>
          <w:p>
            <w:pPr>
              <w:ind w:left="220"/>
              <w:spacing w:after="0"/>
              <w:rPr>
                <w:sz w:val="20"/>
                <w:szCs w:val="20"/>
                <w:color w:val="auto"/>
              </w:rPr>
            </w:pPr>
            <w:r>
              <w:rPr>
                <w:rFonts w:ascii="Arial" w:cs="Arial" w:eastAsia="Arial" w:hAnsi="Arial"/>
                <w:sz w:val="19"/>
                <w:szCs w:val="19"/>
                <w:color w:val="auto"/>
                <w:w w:val="98"/>
              </w:rPr>
              <w:t>March 28, 2024</w:t>
            </w:r>
          </w:p>
        </w:tc>
      </w:tr>
      <w:tr>
        <w:trPr>
          <w:trHeight w:val="219"/>
        </w:trPr>
        <w:tc>
          <w:tcPr>
            <w:tcW w:w="3300" w:type="dxa"/>
            <w:vAlign w:val="bottom"/>
          </w:tcPr>
          <w:p>
            <w:pPr>
              <w:jc w:val="center"/>
              <w:spacing w:after="0"/>
              <w:rPr>
                <w:sz w:val="20"/>
                <w:szCs w:val="20"/>
                <w:color w:val="auto"/>
              </w:rPr>
            </w:pPr>
            <w:r>
              <w:rPr>
                <w:rFonts w:ascii="Arial" w:cs="Arial" w:eastAsia="Arial" w:hAnsi="Arial"/>
                <w:sz w:val="16"/>
                <w:szCs w:val="16"/>
                <w:b w:val="1"/>
                <w:bCs w:val="1"/>
                <w:color w:val="auto"/>
              </w:rPr>
              <w:t>Nicoletta Loggia, Ph.D., R.Ph</w:t>
            </w:r>
          </w:p>
        </w:tc>
        <w:tc>
          <w:tcPr>
            <w:tcW w:w="4460" w:type="dxa"/>
            <w:vAlign w:val="bottom"/>
          </w:tcPr>
          <w:p>
            <w:pPr>
              <w:spacing w:after="0"/>
              <w:rPr>
                <w:sz w:val="19"/>
                <w:szCs w:val="19"/>
                <w:color w:val="auto"/>
              </w:rPr>
            </w:pPr>
          </w:p>
        </w:tc>
        <w:tc>
          <w:tcPr>
            <w:tcW w:w="15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2090420</wp:posOffset>
                </wp:positionH>
                <wp:positionV relativeFrom="paragraph">
                  <wp:posOffset>-3729990</wp:posOffset>
                </wp:positionV>
                <wp:extent cx="65405"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405" cy="4763"/>
                        </a:xfrm>
                        <a:prstGeom prst="line">
                          <a:avLst/>
                        </a:prstGeom>
                        <a:solidFill>
                          <a:srgbClr val="FFFFFF"/>
                        </a:solidFill>
                        <a:ln w="3175">
                          <a:solidFill>
                            <a:srgbClr val="FFFFFF"/>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4.6pt,-293.6999pt" to="169.75pt,-293.6999pt" o:allowincell="f" strokecolor="#FFFFFF" strokeweight="0.25pt"/>
            </w:pict>
          </mc:Fallback>
        </mc:AlternateContent>
        <mc:AlternateContent>
          <mc:Choice Requires="wps">
            <w:drawing>
              <wp:anchor simplePos="0" relativeHeight="251657728" behindDoc="1" locked="0" layoutInCell="0" allowOverlap="1">
                <wp:simplePos x="0" y="0"/>
                <wp:positionH relativeFrom="column">
                  <wp:posOffset>2090420</wp:posOffset>
                </wp:positionH>
                <wp:positionV relativeFrom="paragraph">
                  <wp:posOffset>-3245485</wp:posOffset>
                </wp:positionV>
                <wp:extent cx="65405"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405" cy="4763"/>
                        </a:xfrm>
                        <a:prstGeom prst="line">
                          <a:avLst/>
                        </a:prstGeom>
                        <a:solidFill>
                          <a:srgbClr val="FFFFFF"/>
                        </a:solidFill>
                        <a:ln w="3175">
                          <a:solidFill>
                            <a:srgbClr val="FFFFFF"/>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4.6pt,-255.5499pt" to="169.75pt,-255.5499pt" o:allowincell="f" strokecolor="#FFFFFF" strokeweight="0.25pt"/>
            </w:pict>
          </mc:Fallback>
        </mc:AlternateContent>
        <mc:AlternateContent>
          <mc:Choice Requires="wps">
            <w:drawing>
              <wp:anchor simplePos="0" relativeHeight="251657728" behindDoc="1" locked="0" layoutInCell="0" allowOverlap="1">
                <wp:simplePos x="0" y="0"/>
                <wp:positionH relativeFrom="column">
                  <wp:posOffset>2090420</wp:posOffset>
                </wp:positionH>
                <wp:positionV relativeFrom="paragraph">
                  <wp:posOffset>-2899410</wp:posOffset>
                </wp:positionV>
                <wp:extent cx="65405"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405" cy="4763"/>
                        </a:xfrm>
                        <a:prstGeom prst="line">
                          <a:avLst/>
                        </a:prstGeom>
                        <a:solidFill>
                          <a:srgbClr val="FFFFFF"/>
                        </a:solidFill>
                        <a:ln w="3175">
                          <a:solidFill>
                            <a:srgbClr val="FFFFFF"/>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4.6pt,-228.2999pt" to="169.75pt,-228.2999pt" o:allowincell="f" strokecolor="#FFFFFF" strokeweight="0.25pt"/>
            </w:pict>
          </mc:Fallback>
        </mc:AlternateContent>
        <mc:AlternateContent>
          <mc:Choice Requires="wps">
            <w:drawing>
              <wp:anchor simplePos="0" relativeHeight="251657728" behindDoc="1" locked="0" layoutInCell="0" allowOverlap="1">
                <wp:simplePos x="0" y="0"/>
                <wp:positionH relativeFrom="column">
                  <wp:posOffset>2090420</wp:posOffset>
                </wp:positionH>
                <wp:positionV relativeFrom="paragraph">
                  <wp:posOffset>-2553970</wp:posOffset>
                </wp:positionV>
                <wp:extent cx="65405"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405" cy="4763"/>
                        </a:xfrm>
                        <a:prstGeom prst="line">
                          <a:avLst/>
                        </a:prstGeom>
                        <a:solidFill>
                          <a:srgbClr val="FFFFFF"/>
                        </a:solidFill>
                        <a:ln w="3175">
                          <a:solidFill>
                            <a:srgbClr val="FFFFFF"/>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4.6pt,-201.0999pt" to="169.75pt,-201.0999pt" o:allowincell="f" strokecolor="#FFFFFF" strokeweight="0.25pt"/>
            </w:pict>
          </mc:Fallback>
        </mc:AlternateContent>
        <mc:AlternateContent>
          <mc:Choice Requires="wps">
            <w:drawing>
              <wp:anchor simplePos="0" relativeHeight="251657728" behindDoc="1" locked="0" layoutInCell="0" allowOverlap="1">
                <wp:simplePos x="0" y="0"/>
                <wp:positionH relativeFrom="column">
                  <wp:posOffset>2090420</wp:posOffset>
                </wp:positionH>
                <wp:positionV relativeFrom="paragraph">
                  <wp:posOffset>-2208530</wp:posOffset>
                </wp:positionV>
                <wp:extent cx="65405"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405" cy="4763"/>
                        </a:xfrm>
                        <a:prstGeom prst="line">
                          <a:avLst/>
                        </a:prstGeom>
                        <a:solidFill>
                          <a:srgbClr val="FFFFFF"/>
                        </a:solidFill>
                        <a:ln w="3175">
                          <a:solidFill>
                            <a:srgbClr val="FFFFFF"/>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4.6pt,-173.8999pt" to="169.75pt,-173.8999pt" o:allowincell="f" strokecolor="#FFFFFF" strokeweight="0.25pt"/>
            </w:pict>
          </mc:Fallback>
        </mc:AlternateContent>
        <mc:AlternateContent>
          <mc:Choice Requires="wps">
            <w:drawing>
              <wp:anchor simplePos="0" relativeHeight="251657728" behindDoc="1" locked="0" layoutInCell="0" allowOverlap="1">
                <wp:simplePos x="0" y="0"/>
                <wp:positionH relativeFrom="column">
                  <wp:posOffset>2090420</wp:posOffset>
                </wp:positionH>
                <wp:positionV relativeFrom="paragraph">
                  <wp:posOffset>-1862455</wp:posOffset>
                </wp:positionV>
                <wp:extent cx="65405"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405" cy="4763"/>
                        </a:xfrm>
                        <a:prstGeom prst="line">
                          <a:avLst/>
                        </a:prstGeom>
                        <a:solidFill>
                          <a:srgbClr val="FFFFFF"/>
                        </a:solidFill>
                        <a:ln w="3175">
                          <a:solidFill>
                            <a:srgbClr val="FFFFFF"/>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4.6pt,-146.6499pt" to="169.75pt,-146.6499pt" o:allowincell="f" strokecolor="#FFFFFF" strokeweight="0.25pt"/>
            </w:pict>
          </mc:Fallback>
        </mc:AlternateContent>
        <mc:AlternateContent>
          <mc:Choice Requires="wps">
            <w:drawing>
              <wp:anchor simplePos="0" relativeHeight="251657728" behindDoc="1" locked="0" layoutInCell="0" allowOverlap="1">
                <wp:simplePos x="0" y="0"/>
                <wp:positionH relativeFrom="column">
                  <wp:posOffset>2090420</wp:posOffset>
                </wp:positionH>
                <wp:positionV relativeFrom="paragraph">
                  <wp:posOffset>-1517015</wp:posOffset>
                </wp:positionV>
                <wp:extent cx="65405"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405" cy="4763"/>
                        </a:xfrm>
                        <a:prstGeom prst="line">
                          <a:avLst/>
                        </a:prstGeom>
                        <a:solidFill>
                          <a:srgbClr val="FFFFFF"/>
                        </a:solidFill>
                        <a:ln w="3175">
                          <a:solidFill>
                            <a:srgbClr val="FFFFFF"/>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4.6pt,-119.4499pt" to="169.75pt,-119.4499pt" o:allowincell="f" strokecolor="#FFFFFF" strokeweight="0.25pt"/>
            </w:pict>
          </mc:Fallback>
        </mc:AlternateContent>
        <mc:AlternateContent>
          <mc:Choice Requires="wps">
            <w:drawing>
              <wp:anchor simplePos="0" relativeHeight="251657728" behindDoc="1" locked="0" layoutInCell="0" allowOverlap="1">
                <wp:simplePos x="0" y="0"/>
                <wp:positionH relativeFrom="column">
                  <wp:posOffset>2090420</wp:posOffset>
                </wp:positionH>
                <wp:positionV relativeFrom="paragraph">
                  <wp:posOffset>-1170940</wp:posOffset>
                </wp:positionV>
                <wp:extent cx="65405" cy="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405" cy="4763"/>
                        </a:xfrm>
                        <a:prstGeom prst="line">
                          <a:avLst/>
                        </a:prstGeom>
                        <a:solidFill>
                          <a:srgbClr val="FFFFFF"/>
                        </a:solidFill>
                        <a:ln w="3175">
                          <a:solidFill>
                            <a:srgbClr val="FFFFFF"/>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4.6pt,-92.1999pt" to="169.75pt,-92.1999pt" o:allowincell="f" strokecolor="#FFFFFF" strokeweight="0.25pt"/>
            </w:pict>
          </mc:Fallback>
        </mc:AlternateContent>
        <mc:AlternateContent>
          <mc:Choice Requires="wps">
            <w:drawing>
              <wp:anchor simplePos="0" relativeHeight="251657728" behindDoc="1" locked="0" layoutInCell="0" allowOverlap="1">
                <wp:simplePos x="0" y="0"/>
                <wp:positionH relativeFrom="column">
                  <wp:posOffset>2090420</wp:posOffset>
                </wp:positionH>
                <wp:positionV relativeFrom="paragraph">
                  <wp:posOffset>-825500</wp:posOffset>
                </wp:positionV>
                <wp:extent cx="65405"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405" cy="4763"/>
                        </a:xfrm>
                        <a:prstGeom prst="line">
                          <a:avLst/>
                        </a:prstGeom>
                        <a:solidFill>
                          <a:srgbClr val="FFFFFF"/>
                        </a:solidFill>
                        <a:ln w="3175">
                          <a:solidFill>
                            <a:srgbClr val="FFFFFF"/>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4.6pt,-65pt" to="169.75pt,-65pt" o:allowincell="f" strokecolor="#FFFFFF" strokeweight="0.2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F-23</w:t>
      </w:r>
    </w:p>
    <w:p>
      <w:pPr>
        <w:sectPr>
          <w:pgSz w:w="12240" w:h="15840" w:orient="portrait"/>
          <w:cols w:equalWidth="0" w:num="1">
            <w:col w:w="9980"/>
          </w:cols>
          <w:pgMar w:left="1080" w:top="1058" w:right="1180" w:bottom="173" w:gutter="0" w:footer="0" w:header="0"/>
        </w:sectPr>
      </w:pPr>
    </w:p>
    <w:bookmarkStart w:id="146" w:name="page147"/>
    <w:bookmarkEnd w:id="146"/>
    <w:p>
      <w:pPr>
        <w:spacing w:after="0" w:line="166"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895985</wp:posOffset>
                </wp:positionH>
                <wp:positionV relativeFrom="page">
                  <wp:posOffset>920115</wp:posOffset>
                </wp:positionV>
                <wp:extent cx="5979795"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9795"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0.55pt,72.45pt" to="541.4pt,72.45pt" o:allowincell="f" strokecolor="#000000" strokeweight="0.72pt">
                <w10:wrap anchorx="page" anchory="page"/>
              </v:line>
            </w:pict>
          </mc:Fallback>
        </mc:AlternateContent>
        <mc:AlternateContent>
          <mc:Choice Requires="wps">
            <w:drawing>
              <wp:anchor simplePos="0" relativeHeight="251657728" behindDoc="1" locked="0" layoutInCell="0" allowOverlap="1">
                <wp:simplePos x="0" y="0"/>
                <wp:positionH relativeFrom="page">
                  <wp:posOffset>895985</wp:posOffset>
                </wp:positionH>
                <wp:positionV relativeFrom="page">
                  <wp:posOffset>938530</wp:posOffset>
                </wp:positionV>
                <wp:extent cx="5979795" cy="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9795"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0.55pt,73.9pt" to="541.4pt,73.9pt" o:allowincell="f" strokecolor="#000000" strokeweight="0.72pt">
                <w10:wrap anchorx="page" anchory="page"/>
              </v:line>
            </w:pict>
          </mc:Fallback>
        </mc:AlternateContent>
      </w:r>
    </w:p>
    <w:p>
      <w:pPr>
        <w:jc w:val="center"/>
        <w:spacing w:after="0"/>
        <w:rPr>
          <w:sz w:val="20"/>
          <w:szCs w:val="20"/>
          <w:color w:val="auto"/>
        </w:rPr>
      </w:pPr>
      <w:r>
        <w:rPr>
          <w:rFonts w:ascii="Arial" w:cs="Arial" w:eastAsia="Arial" w:hAnsi="Arial"/>
          <w:sz w:val="32"/>
          <w:szCs w:val="32"/>
          <w:b w:val="1"/>
          <w:bCs w:val="1"/>
          <w:color w:val="auto"/>
        </w:rPr>
        <w:t>UNITED STATES</w:t>
      </w: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2724785</wp:posOffset>
                </wp:positionH>
                <wp:positionV relativeFrom="paragraph">
                  <wp:posOffset>76200</wp:posOffset>
                </wp:positionV>
                <wp:extent cx="493395" cy="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3395"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5pt,6pt" to="253.4pt,6pt" o:allowincell="f" strokecolor="#000000" strokeweight="0.9599pt"/>
            </w:pict>
          </mc:Fallback>
        </mc:AlternateConten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FORM 10-K/A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2724785</wp:posOffset>
                </wp:positionH>
                <wp:positionV relativeFrom="paragraph">
                  <wp:posOffset>89535</wp:posOffset>
                </wp:positionV>
                <wp:extent cx="493395" cy="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3395"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5pt,7.05pt" to="253.4pt,7.05pt" o:allowincell="f" strokecolor="#000000" strokeweight="0.96pt"/>
            </w:pict>
          </mc:Fallback>
        </mc:AlternateConten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4" w:lineRule="exact"/>
        <w:rPr>
          <w:sz w:val="20"/>
          <w:szCs w:val="20"/>
          <w:color w:val="auto"/>
        </w:rPr>
      </w:pPr>
    </w:p>
    <w:p>
      <w:pPr>
        <w:ind w:left="380" w:hanging="366"/>
        <w:spacing w:after="0"/>
        <w:tabs>
          <w:tab w:leader="none" w:pos="380" w:val="left"/>
        </w:tabs>
        <w:numPr>
          <w:ilvl w:val="0"/>
          <w:numId w:val="93"/>
        </w:numPr>
        <w:rPr>
          <w:rFonts w:ascii="Segoe UI Symbol" w:cs="Segoe UI Symbol" w:eastAsia="Segoe UI Symbol" w:hAnsi="Segoe UI Symbol"/>
          <w:sz w:val="18"/>
          <w:szCs w:val="18"/>
          <w:b w:val="1"/>
          <w:bCs w:val="1"/>
          <w:color w:val="auto"/>
        </w:rPr>
      </w:pPr>
      <w:r>
        <w:rPr>
          <w:rFonts w:ascii="Arial" w:cs="Arial" w:eastAsia="Arial" w:hAnsi="Arial"/>
          <w:sz w:val="18"/>
          <w:szCs w:val="18"/>
          <w:b w:val="1"/>
          <w:bCs w:val="1"/>
          <w:color w:val="auto"/>
        </w:rPr>
        <w:t>ANNUAL REPORT PURSUANT TO SECTION 13 OR 15(d) OF THE SECURITIES EXCHANGE ACT OF 1934</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2023</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9" w:lineRule="exact"/>
        <w:rPr>
          <w:sz w:val="20"/>
          <w:szCs w:val="20"/>
          <w:color w:val="auto"/>
        </w:rPr>
      </w:pPr>
    </w:p>
    <w:p>
      <w:pPr>
        <w:ind w:left="380" w:hanging="366"/>
        <w:spacing w:after="0"/>
        <w:tabs>
          <w:tab w:leader="none" w:pos="380" w:val="left"/>
        </w:tabs>
        <w:numPr>
          <w:ilvl w:val="0"/>
          <w:numId w:val="94"/>
        </w:numPr>
        <w:rPr>
          <w:rFonts w:ascii="Segoe UI Symbol" w:cs="Segoe UI Symbol" w:eastAsia="Segoe UI Symbol" w:hAnsi="Segoe UI Symbo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w:t>
      </w:r>
    </w:p>
    <w:p>
      <w:pPr>
        <w:ind w:left="380"/>
        <w:spacing w:after="0"/>
        <w:rPr>
          <w:rFonts w:ascii="Segoe UI Symbol" w:cs="Segoe UI Symbol" w:eastAsia="Segoe UI Symbol" w:hAnsi="Segoe UI Symbol"/>
          <w:sz w:val="18"/>
          <w:szCs w:val="18"/>
          <w:b w:val="1"/>
          <w:bCs w:val="1"/>
          <w:color w:val="auto"/>
        </w:rPr>
      </w:pPr>
      <w:r>
        <w:rPr>
          <w:rFonts w:ascii="Arial" w:cs="Arial" w:eastAsia="Arial" w:hAnsi="Arial"/>
          <w:sz w:val="18"/>
          <w:szCs w:val="18"/>
          <w:b w:val="1"/>
          <w:bCs w:val="1"/>
          <w:color w:val="auto"/>
        </w:rPr>
        <w:t>1934 FOR THE TRANSITION PERIOD FROMTO</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Commission File Number 001-40629</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6"/>
          <w:szCs w:val="6"/>
          <w:color w:val="auto"/>
        </w:rPr>
        <w:t>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2724785</wp:posOffset>
                </wp:positionH>
                <wp:positionV relativeFrom="paragraph">
                  <wp:posOffset>21590</wp:posOffset>
                </wp:positionV>
                <wp:extent cx="493395"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3395" cy="4763"/>
                        </a:xfrm>
                        <a:prstGeom prst="line">
                          <a:avLst/>
                        </a:prstGeom>
                        <a:solidFill>
                          <a:srgbClr val="FFFFFF"/>
                        </a:solidFill>
                        <a:ln w="12179">
                          <a:solidFill>
                            <a:srgbClr val="000000"/>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5pt,1.7pt" to="253.4pt,1.7pt" o:allowincell="f" strokecolor="#000000" strokeweight="0.959pt"/>
            </w:pict>
          </mc:Fallback>
        </mc:AlternateConten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40"/>
          <w:szCs w:val="40"/>
          <w:b w:val="1"/>
          <w:bCs w:val="1"/>
          <w:color w:val="auto"/>
        </w:rPr>
        <w:t>CANDEL THERAPEUTICS,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2724785</wp:posOffset>
                </wp:positionH>
                <wp:positionV relativeFrom="paragraph">
                  <wp:posOffset>75565</wp:posOffset>
                </wp:positionV>
                <wp:extent cx="493395" cy="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3395"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5pt,5.95pt" to="253.4pt,5.95pt" o:allowincell="f" strokecolor="#000000" strokeweight="0.9599pt"/>
            </w:pict>
          </mc:Fallback>
        </mc:AlternateContent>
      </w:r>
    </w:p>
    <w:p>
      <w:pPr>
        <w:spacing w:after="0" w:line="157" w:lineRule="exact"/>
        <w:rPr>
          <w:sz w:val="20"/>
          <w:szCs w:val="20"/>
          <w:color w:val="auto"/>
        </w:rPr>
      </w:pPr>
    </w:p>
    <w:tbl>
      <w:tblPr>
        <w:tblLayout w:type="fixed"/>
        <w:tblInd w:w="1020" w:type="dxa"/>
        <w:tblCellMar>
          <w:top w:w="0" w:type="dxa"/>
          <w:left w:w="0" w:type="dxa"/>
          <w:bottom w:w="0" w:type="dxa"/>
          <w:right w:w="0" w:type="dxa"/>
        </w:tblCellMar>
      </w:tblPr>
      <w:tr>
        <w:trPr>
          <w:trHeight w:val="226"/>
        </w:trPr>
        <w:tc>
          <w:tcPr>
            <w:tcW w:w="4000" w:type="dxa"/>
            <w:vAlign w:val="bottom"/>
          </w:tcPr>
          <w:p>
            <w:pPr>
              <w:jc w:val="center"/>
              <w:ind w:right="1278"/>
              <w:spacing w:after="0"/>
              <w:rPr>
                <w:sz w:val="20"/>
                <w:szCs w:val="20"/>
                <w:color w:val="auto"/>
              </w:rPr>
            </w:pPr>
            <w:r>
              <w:rPr>
                <w:rFonts w:ascii="Arial" w:cs="Arial" w:eastAsia="Arial" w:hAnsi="Arial"/>
                <w:sz w:val="19"/>
                <w:szCs w:val="19"/>
                <w:b w:val="1"/>
                <w:bCs w:val="1"/>
                <w:color w:val="auto"/>
              </w:rPr>
              <w:t>Delaware</w:t>
            </w:r>
          </w:p>
        </w:tc>
        <w:tc>
          <w:tcPr>
            <w:tcW w:w="2580" w:type="dxa"/>
            <w:vAlign w:val="bottom"/>
          </w:tcPr>
          <w:p>
            <w:pPr>
              <w:jc w:val="right"/>
              <w:spacing w:after="0"/>
              <w:rPr>
                <w:sz w:val="20"/>
                <w:szCs w:val="20"/>
                <w:color w:val="auto"/>
              </w:rPr>
            </w:pPr>
            <w:r>
              <w:rPr>
                <w:rFonts w:ascii="Arial" w:cs="Arial" w:eastAsia="Arial" w:hAnsi="Arial"/>
                <w:sz w:val="19"/>
                <w:szCs w:val="19"/>
                <w:b w:val="1"/>
                <w:bCs w:val="1"/>
                <w:color w:val="auto"/>
              </w:rPr>
              <w:t>52-2214851</w:t>
            </w:r>
          </w:p>
        </w:tc>
      </w:tr>
      <w:tr>
        <w:trPr>
          <w:trHeight w:val="163"/>
        </w:trPr>
        <w:tc>
          <w:tcPr>
            <w:tcW w:w="4000" w:type="dxa"/>
            <w:vAlign w:val="bottom"/>
          </w:tcPr>
          <w:p>
            <w:pPr>
              <w:jc w:val="center"/>
              <w:ind w:right="1278"/>
              <w:spacing w:after="0"/>
              <w:rPr>
                <w:sz w:val="20"/>
                <w:szCs w:val="20"/>
                <w:color w:val="auto"/>
              </w:rPr>
            </w:pPr>
            <w:r>
              <w:rPr>
                <w:rFonts w:ascii="Arial" w:cs="Arial" w:eastAsia="Arial" w:hAnsi="Arial"/>
                <w:sz w:val="14"/>
                <w:szCs w:val="14"/>
                <w:b w:val="1"/>
                <w:bCs w:val="1"/>
                <w:color w:val="auto"/>
                <w:w w:val="99"/>
              </w:rPr>
              <w:t>(State or other jurisdiction of</w:t>
            </w:r>
          </w:p>
        </w:tc>
        <w:tc>
          <w:tcPr>
            <w:tcW w:w="2580" w:type="dxa"/>
            <w:vAlign w:val="bottom"/>
          </w:tcPr>
          <w:p>
            <w:pPr>
              <w:jc w:val="center"/>
              <w:ind w:left="1320"/>
              <w:spacing w:after="0"/>
              <w:rPr>
                <w:sz w:val="20"/>
                <w:szCs w:val="20"/>
                <w:color w:val="auto"/>
              </w:rPr>
            </w:pPr>
            <w:r>
              <w:rPr>
                <w:rFonts w:ascii="Arial" w:cs="Arial" w:eastAsia="Arial" w:hAnsi="Arial"/>
                <w:sz w:val="14"/>
                <w:szCs w:val="14"/>
                <w:b w:val="1"/>
                <w:bCs w:val="1"/>
                <w:color w:val="auto"/>
                <w:w w:val="98"/>
              </w:rPr>
              <w:t>(I.R.S. Employer</w:t>
            </w:r>
          </w:p>
        </w:tc>
      </w:tr>
      <w:tr>
        <w:trPr>
          <w:trHeight w:val="213"/>
        </w:trPr>
        <w:tc>
          <w:tcPr>
            <w:tcW w:w="4000" w:type="dxa"/>
            <w:vAlign w:val="bottom"/>
          </w:tcPr>
          <w:p>
            <w:pPr>
              <w:jc w:val="center"/>
              <w:ind w:right="1298"/>
              <w:spacing w:after="0"/>
              <w:rPr>
                <w:sz w:val="20"/>
                <w:szCs w:val="20"/>
                <w:color w:val="auto"/>
              </w:rPr>
            </w:pPr>
            <w:r>
              <w:rPr>
                <w:rFonts w:ascii="Arial" w:cs="Arial" w:eastAsia="Arial" w:hAnsi="Arial"/>
                <w:sz w:val="14"/>
                <w:szCs w:val="14"/>
                <w:b w:val="1"/>
                <w:bCs w:val="1"/>
                <w:color w:val="auto"/>
                <w:w w:val="99"/>
              </w:rPr>
              <w:t>incorporation or organization)</w:t>
            </w:r>
          </w:p>
        </w:tc>
        <w:tc>
          <w:tcPr>
            <w:tcW w:w="2580" w:type="dxa"/>
            <w:vAlign w:val="bottom"/>
          </w:tcPr>
          <w:p>
            <w:pPr>
              <w:jc w:val="center"/>
              <w:ind w:left="1320"/>
              <w:spacing w:after="0"/>
              <w:rPr>
                <w:sz w:val="20"/>
                <w:szCs w:val="20"/>
                <w:color w:val="auto"/>
              </w:rPr>
            </w:pPr>
            <w:r>
              <w:rPr>
                <w:rFonts w:ascii="Arial" w:cs="Arial" w:eastAsia="Arial" w:hAnsi="Arial"/>
                <w:sz w:val="14"/>
                <w:szCs w:val="14"/>
                <w:b w:val="1"/>
                <w:bCs w:val="1"/>
                <w:color w:val="auto"/>
                <w:w w:val="99"/>
              </w:rPr>
              <w:t>Identification No.)</w:t>
            </w:r>
          </w:p>
        </w:tc>
      </w:tr>
      <w:tr>
        <w:trPr>
          <w:trHeight w:val="247"/>
        </w:trPr>
        <w:tc>
          <w:tcPr>
            <w:tcW w:w="4000" w:type="dxa"/>
            <w:vAlign w:val="bottom"/>
          </w:tcPr>
          <w:p>
            <w:pPr>
              <w:jc w:val="center"/>
              <w:ind w:right="1298"/>
              <w:spacing w:after="0"/>
              <w:rPr>
                <w:sz w:val="20"/>
                <w:szCs w:val="20"/>
                <w:color w:val="auto"/>
              </w:rPr>
            </w:pPr>
            <w:r>
              <w:rPr>
                <w:rFonts w:ascii="Arial" w:cs="Arial" w:eastAsia="Arial" w:hAnsi="Arial"/>
                <w:sz w:val="19"/>
                <w:szCs w:val="19"/>
                <w:b w:val="1"/>
                <w:bCs w:val="1"/>
                <w:color w:val="auto"/>
              </w:rPr>
              <w:t>117 Kendrick St, Suite 450</w:t>
            </w:r>
          </w:p>
        </w:tc>
        <w:tc>
          <w:tcPr>
            <w:tcW w:w="2580" w:type="dxa"/>
            <w:vAlign w:val="bottom"/>
          </w:tcPr>
          <w:p>
            <w:pPr>
              <w:spacing w:after="0"/>
              <w:rPr>
                <w:sz w:val="21"/>
                <w:szCs w:val="21"/>
                <w:color w:val="auto"/>
              </w:rPr>
            </w:pPr>
          </w:p>
        </w:tc>
      </w:tr>
      <w:tr>
        <w:trPr>
          <w:trHeight w:val="241"/>
        </w:trPr>
        <w:tc>
          <w:tcPr>
            <w:tcW w:w="4000" w:type="dxa"/>
            <w:vAlign w:val="bottom"/>
          </w:tcPr>
          <w:p>
            <w:pPr>
              <w:jc w:val="center"/>
              <w:ind w:right="1298"/>
              <w:spacing w:after="0"/>
              <w:rPr>
                <w:sz w:val="20"/>
                <w:szCs w:val="20"/>
                <w:color w:val="auto"/>
              </w:rPr>
            </w:pPr>
            <w:r>
              <w:rPr>
                <w:rFonts w:ascii="Arial" w:cs="Arial" w:eastAsia="Arial" w:hAnsi="Arial"/>
                <w:sz w:val="19"/>
                <w:szCs w:val="19"/>
                <w:b w:val="1"/>
                <w:bCs w:val="1"/>
                <w:color w:val="auto"/>
              </w:rPr>
              <w:t>Needham, MA</w:t>
            </w:r>
          </w:p>
        </w:tc>
        <w:tc>
          <w:tcPr>
            <w:tcW w:w="2580" w:type="dxa"/>
            <w:vAlign w:val="bottom"/>
          </w:tcPr>
          <w:p>
            <w:pPr>
              <w:jc w:val="right"/>
              <w:ind w:right="240"/>
              <w:spacing w:after="0"/>
              <w:rPr>
                <w:sz w:val="20"/>
                <w:szCs w:val="20"/>
                <w:color w:val="auto"/>
              </w:rPr>
            </w:pPr>
            <w:r>
              <w:rPr>
                <w:rFonts w:ascii="Arial" w:cs="Arial" w:eastAsia="Arial" w:hAnsi="Arial"/>
                <w:sz w:val="19"/>
                <w:szCs w:val="19"/>
                <w:b w:val="1"/>
                <w:bCs w:val="1"/>
                <w:color w:val="auto"/>
              </w:rPr>
              <w:t>02494</w:t>
            </w:r>
          </w:p>
        </w:tc>
      </w:tr>
      <w:tr>
        <w:trPr>
          <w:trHeight w:val="198"/>
        </w:trPr>
        <w:tc>
          <w:tcPr>
            <w:tcW w:w="4000" w:type="dxa"/>
            <w:vAlign w:val="bottom"/>
          </w:tcPr>
          <w:p>
            <w:pPr>
              <w:jc w:val="center"/>
              <w:ind w:right="1298"/>
              <w:spacing w:after="0"/>
              <w:rPr>
                <w:sz w:val="20"/>
                <w:szCs w:val="20"/>
                <w:color w:val="auto"/>
              </w:rPr>
            </w:pPr>
            <w:r>
              <w:rPr>
                <w:rFonts w:ascii="Arial" w:cs="Arial" w:eastAsia="Arial" w:hAnsi="Arial"/>
                <w:sz w:val="14"/>
                <w:szCs w:val="14"/>
                <w:b w:val="1"/>
                <w:bCs w:val="1"/>
                <w:color w:val="auto"/>
              </w:rPr>
              <w:t>(Address of principal executive offices)</w:t>
            </w:r>
          </w:p>
        </w:tc>
        <w:tc>
          <w:tcPr>
            <w:tcW w:w="2580" w:type="dxa"/>
            <w:vAlign w:val="bottom"/>
          </w:tcPr>
          <w:p>
            <w:pPr>
              <w:jc w:val="center"/>
              <w:ind w:left="1320"/>
              <w:spacing w:after="0"/>
              <w:rPr>
                <w:sz w:val="20"/>
                <w:szCs w:val="20"/>
                <w:color w:val="auto"/>
              </w:rPr>
            </w:pPr>
            <w:r>
              <w:rPr>
                <w:rFonts w:ascii="Arial" w:cs="Arial" w:eastAsia="Arial" w:hAnsi="Arial"/>
                <w:sz w:val="14"/>
                <w:szCs w:val="14"/>
                <w:b w:val="1"/>
                <w:bCs w:val="1"/>
                <w:color w:val="auto"/>
              </w:rPr>
              <w:t>(Zip Code)</w:t>
            </w:r>
          </w:p>
        </w:tc>
      </w:tr>
    </w:tbl>
    <w:p>
      <w:pPr>
        <w:spacing w:after="0" w:line="17"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Registrant’s telephone number, including area code: (617) 916-5445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2724785</wp:posOffset>
                </wp:positionH>
                <wp:positionV relativeFrom="paragraph">
                  <wp:posOffset>74295</wp:posOffset>
                </wp:positionV>
                <wp:extent cx="493395" cy="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3395"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5pt,5.85pt" to="253.4pt,5.85pt" o:allowincell="f" strokecolor="#000000" strokeweight="0.96pt"/>
            </w:pict>
          </mc:Fallback>
        </mc:AlternateConten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98"/>
              </w:rPr>
              <w:t>Trading</w:t>
            </w:r>
          </w:p>
        </w:tc>
        <w:tc>
          <w:tcPr>
            <w:tcW w:w="80" w:type="dxa"/>
            <w:vAlign w:val="bottom"/>
          </w:tcPr>
          <w:p>
            <w:pPr>
              <w:spacing w:after="0"/>
              <w:rPr>
                <w:sz w:val="16"/>
                <w:szCs w:val="16"/>
                <w:color w:val="auto"/>
              </w:rPr>
            </w:pPr>
          </w:p>
        </w:tc>
        <w:tc>
          <w:tcPr>
            <w:tcW w:w="4220" w:type="dxa"/>
            <w:vAlign w:val="bottom"/>
          </w:tcPr>
          <w:p>
            <w:pPr>
              <w:spacing w:after="0"/>
              <w:rPr>
                <w:sz w:val="16"/>
                <w:szCs w:val="16"/>
                <w:color w:val="auto"/>
              </w:rPr>
            </w:pPr>
          </w:p>
        </w:tc>
      </w:tr>
      <w:tr>
        <w:trPr>
          <w:trHeight w:val="203"/>
        </w:trPr>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00" w:type="dxa"/>
            <w:vAlign w:val="bottom"/>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Symbol(s)</w:t>
            </w:r>
          </w:p>
        </w:tc>
        <w:tc>
          <w:tcPr>
            <w:tcW w:w="80" w:type="dxa"/>
            <w:vAlign w:val="bottom"/>
          </w:tcPr>
          <w:p>
            <w:pPr>
              <w:spacing w:after="0"/>
              <w:rPr>
                <w:sz w:val="17"/>
                <w:szCs w:val="17"/>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20"/>
        </w:trPr>
        <w:tc>
          <w:tcPr>
            <w:tcW w:w="3560" w:type="dxa"/>
            <w:vAlign w:val="bottom"/>
          </w:tcPr>
          <w:p>
            <w:pPr>
              <w:jc w:val="center"/>
              <w:spacing w:after="0"/>
              <w:rPr>
                <w:sz w:val="20"/>
                <w:szCs w:val="20"/>
                <w:color w:val="auto"/>
              </w:rPr>
            </w:pPr>
            <w:r>
              <w:rPr>
                <w:rFonts w:ascii="Arial" w:cs="Arial" w:eastAsia="Arial" w:hAnsi="Arial"/>
                <w:sz w:val="17"/>
                <w:szCs w:val="17"/>
                <w:color w:val="auto"/>
              </w:rPr>
              <w:t>Common Stock, par value $0.01 per share</w:t>
            </w: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7"/>
                <w:szCs w:val="17"/>
                <w:color w:val="auto"/>
              </w:rPr>
              <w:t>CADL</w:t>
            </w:r>
          </w:p>
        </w:tc>
        <w:tc>
          <w:tcPr>
            <w:tcW w:w="80" w:type="dxa"/>
            <w:vAlign w:val="bottom"/>
          </w:tcPr>
          <w:p>
            <w:pPr>
              <w:spacing w:after="0"/>
              <w:rPr>
                <w:sz w:val="19"/>
                <w:szCs w:val="19"/>
                <w:color w:val="auto"/>
              </w:rPr>
            </w:pPr>
          </w:p>
        </w:tc>
        <w:tc>
          <w:tcPr>
            <w:tcW w:w="4220" w:type="dxa"/>
            <w:vAlign w:val="bottom"/>
          </w:tcPr>
          <w:p>
            <w:pPr>
              <w:jc w:val="center"/>
              <w:spacing w:after="0"/>
              <w:rPr>
                <w:sz w:val="20"/>
                <w:szCs w:val="20"/>
                <w:color w:val="auto"/>
              </w:rPr>
            </w:pPr>
            <w:r>
              <w:rPr>
                <w:rFonts w:ascii="Arial" w:cs="Arial" w:eastAsia="Arial" w:hAnsi="Arial"/>
                <w:sz w:val="17"/>
                <w:szCs w:val="17"/>
                <w:color w:val="auto"/>
              </w:rPr>
              <w:t>The Nasdaq Global Market</w:t>
            </w:r>
          </w:p>
        </w:tc>
      </w:tr>
    </w:tbl>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340" w:type="dxa"/>
            <w:vAlign w:val="bottom"/>
            <w:gridSpan w:val="2"/>
          </w:tcPr>
          <w:p>
            <w:pPr>
              <w:spacing w:after="0"/>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Segoe UI Symbol" w:cs="Segoe UI Symbol" w:eastAsia="Segoe UI Symbol" w:hAnsi="Segoe UI Symbol"/>
                <w:sz w:val="16"/>
                <w:szCs w:val="16"/>
                <w:color w:val="auto"/>
              </w:rPr>
              <w:t>☐</w:t>
            </w:r>
            <w:r>
              <w:rPr>
                <w:rFonts w:ascii="Arial" w:cs="Arial" w:eastAsia="Arial" w:hAnsi="Arial"/>
                <w:sz w:val="16"/>
                <w:szCs w:val="16"/>
                <w:color w:val="auto"/>
              </w:rPr>
              <w:t xml:space="preserve">  NO</w:t>
            </w:r>
          </w:p>
        </w:tc>
        <w:tc>
          <w:tcPr>
            <w:tcW w:w="0" w:type="dxa"/>
            <w:vAlign w:val="bottom"/>
          </w:tcPr>
          <w:p>
            <w:pPr>
              <w:spacing w:after="0"/>
              <w:rPr>
                <w:sz w:val="1"/>
                <w:szCs w:val="1"/>
                <w:color w:val="auto"/>
              </w:rPr>
            </w:pPr>
          </w:p>
        </w:tc>
      </w:tr>
      <w:tr>
        <w:trPr>
          <w:trHeight w:val="244"/>
        </w:trPr>
        <w:tc>
          <w:tcPr>
            <w:tcW w:w="8580" w:type="dxa"/>
            <w:vAlign w:val="bottom"/>
          </w:tcPr>
          <w:p>
            <w:pPr>
              <w:spacing w:after="0"/>
              <w:rPr>
                <w:sz w:val="20"/>
                <w:szCs w:val="20"/>
                <w:color w:val="auto"/>
              </w:rPr>
            </w:pPr>
            <w:r>
              <w:rPr>
                <w:rFonts w:ascii="Segoe UI Symbol" w:cs="Segoe UI Symbol" w:eastAsia="Segoe UI Symbol" w:hAnsi="Segoe UI Symbol"/>
                <w:sz w:val="16"/>
                <w:szCs w:val="16"/>
                <w:color w:val="auto"/>
              </w:rPr>
              <w:t>☒</w:t>
            </w:r>
          </w:p>
        </w:tc>
        <w:tc>
          <w:tcPr>
            <w:tcW w:w="760" w:type="dxa"/>
            <w:vAlign w:val="bottom"/>
            <w:vMerge w:val="restart"/>
          </w:tcPr>
          <w:p>
            <w:pPr>
              <w:ind w:left="120"/>
              <w:spacing w:after="0"/>
              <w:rPr>
                <w:sz w:val="20"/>
                <w:szCs w:val="20"/>
                <w:color w:val="auto"/>
              </w:rPr>
            </w:pPr>
            <w:r>
              <w:rPr>
                <w:rFonts w:ascii="Arial" w:cs="Arial" w:eastAsia="Arial" w:hAnsi="Arial"/>
                <w:sz w:val="16"/>
                <w:szCs w:val="16"/>
                <w:color w:val="auto"/>
              </w:rPr>
              <w:t xml:space="preserve">NO </w:t>
            </w:r>
            <w:r>
              <w:rPr>
                <w:rFonts w:ascii="Segoe UI Symbol" w:cs="Segoe UI Symbol" w:eastAsia="Segoe UI Symbol" w:hAnsi="Segoe UI Symbol"/>
                <w:sz w:val="16"/>
                <w:szCs w:val="16"/>
                <w:color w:val="auto"/>
              </w:rPr>
              <w:t>☒</w:t>
            </w:r>
          </w:p>
        </w:tc>
        <w:tc>
          <w:tcPr>
            <w:tcW w:w="0" w:type="dxa"/>
            <w:vAlign w:val="bottom"/>
          </w:tcPr>
          <w:p>
            <w:pPr>
              <w:spacing w:after="0"/>
              <w:rPr>
                <w:sz w:val="1"/>
                <w:szCs w:val="1"/>
                <w:color w:val="auto"/>
              </w:rPr>
            </w:pPr>
          </w:p>
        </w:tc>
      </w:tr>
      <w:tr>
        <w:trPr>
          <w:trHeight w:val="326"/>
        </w:trPr>
        <w:tc>
          <w:tcPr>
            <w:tcW w:w="8580" w:type="dxa"/>
            <w:vAlign w:val="bottom"/>
          </w:tcPr>
          <w:p>
            <w:pPr>
              <w:spacing w:after="0"/>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15(d) of the Act. YES </w:t>
            </w:r>
            <w:r>
              <w:rPr>
                <w:rFonts w:ascii="Segoe UI Symbol" w:cs="Segoe UI Symbol" w:eastAsia="Segoe UI Symbol" w:hAnsi="Segoe UI Symbol"/>
                <w:sz w:val="16"/>
                <w:szCs w:val="16"/>
                <w:color w:val="auto"/>
              </w:rPr>
              <w:t>☐</w:t>
            </w:r>
          </w:p>
        </w:tc>
        <w:tc>
          <w:tcPr>
            <w:tcW w:w="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3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w:t>
      </w:r>
    </w:p>
    <w:p>
      <w:pPr>
        <w:spacing w:after="0" w:line="1" w:lineRule="exact"/>
        <w:rPr>
          <w:sz w:val="20"/>
          <w:szCs w:val="20"/>
          <w:color w:val="auto"/>
        </w:rPr>
      </w:pPr>
    </w:p>
    <w:p>
      <w:pPr>
        <w:ind w:right="480"/>
        <w:spacing w:after="0" w:line="277" w:lineRule="auto"/>
        <w:rPr>
          <w:sz w:val="20"/>
          <w:szCs w:val="20"/>
          <w:color w:val="auto"/>
        </w:rPr>
      </w:pPr>
      <w:r>
        <w:rPr>
          <w:rFonts w:ascii="Arial" w:cs="Arial" w:eastAsia="Arial" w:hAnsi="Arial"/>
          <w:sz w:val="16"/>
          <w:szCs w:val="16"/>
          <w:color w:val="auto"/>
        </w:rPr>
        <w:t xml:space="preserve">Exchange Act of 1934 during the preceding 12 months (or for such shorter period that the Registrant was required to file such reports), and (2) has been subject to such filing requirements for the past 90 days. YES </w:t>
      </w:r>
      <w:r>
        <w:rPr>
          <w:rFonts w:ascii="Segoe UI Symbol" w:cs="Segoe UI Symbol" w:eastAsia="Segoe UI Symbol" w:hAnsi="Segoe UI Symbol"/>
          <w:sz w:val="16"/>
          <w:szCs w:val="16"/>
          <w:color w:val="auto"/>
        </w:rPr>
        <w:t>☒</w:t>
      </w:r>
      <w:r>
        <w:rPr>
          <w:rFonts w:ascii="Arial" w:cs="Arial" w:eastAsia="Arial" w:hAnsi="Arial"/>
          <w:sz w:val="16"/>
          <w:szCs w:val="16"/>
          <w:color w:val="auto"/>
        </w:rPr>
        <w:t xml:space="preserve"> NO </w:t>
      </w:r>
      <w:r>
        <w:rPr>
          <w:rFonts w:ascii="Segoe UI Symbol" w:cs="Segoe UI Symbol" w:eastAsia="Segoe UI Symbol" w:hAnsi="Segoe UI Symbol"/>
          <w:sz w:val="16"/>
          <w:szCs w:val="16"/>
          <w:color w:val="auto"/>
        </w:rPr>
        <w:t>☐</w:t>
      </w:r>
    </w:p>
    <w:p>
      <w:pPr>
        <w:spacing w:after="0" w:line="238"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w:t>
      </w:r>
    </w:p>
    <w:p>
      <w:pPr>
        <w:ind w:right="220"/>
        <w:spacing w:after="0" w:line="277" w:lineRule="auto"/>
        <w:rPr>
          <w:sz w:val="20"/>
          <w:szCs w:val="20"/>
          <w:color w:val="auto"/>
        </w:rPr>
      </w:pPr>
      <w:r>
        <w:rPr>
          <w:rFonts w:ascii="Arial" w:cs="Arial" w:eastAsia="Arial" w:hAnsi="Arial"/>
          <w:sz w:val="16"/>
          <w:szCs w:val="16"/>
          <w:color w:val="auto"/>
        </w:rPr>
        <w:t xml:space="preserve">pursuant to Rule 405 of Regulation S-T (§232.405 of this chapter) during the preceding 12 months (or for such shorter period that the Registrant was required to submit such files). YES </w:t>
      </w:r>
      <w:r>
        <w:rPr>
          <w:rFonts w:ascii="Segoe UI Symbol" w:cs="Segoe UI Symbol" w:eastAsia="Segoe UI Symbol" w:hAnsi="Segoe UI Symbol"/>
          <w:sz w:val="16"/>
          <w:szCs w:val="16"/>
          <w:color w:val="auto"/>
        </w:rPr>
        <w:t>☒</w:t>
      </w:r>
      <w:r>
        <w:rPr>
          <w:rFonts w:ascii="Arial" w:cs="Arial" w:eastAsia="Arial" w:hAnsi="Arial"/>
          <w:sz w:val="16"/>
          <w:szCs w:val="16"/>
          <w:color w:val="auto"/>
        </w:rPr>
        <w:t xml:space="preserve"> NO </w:t>
      </w:r>
      <w:r>
        <w:rPr>
          <w:rFonts w:ascii="Segoe UI Symbol" w:cs="Segoe UI Symbol" w:eastAsia="Segoe UI Symbol" w:hAnsi="Segoe UI Symbol"/>
          <w:sz w:val="16"/>
          <w:szCs w:val="16"/>
          <w:color w:val="auto"/>
        </w:rPr>
        <w:t>☐</w:t>
      </w:r>
    </w:p>
    <w:p>
      <w:pPr>
        <w:ind w:right="400"/>
        <w:spacing w:after="0" w:line="25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6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880" w:type="dxa"/>
            <w:vAlign w:val="bottom"/>
          </w:tcPr>
          <w:p>
            <w:pPr>
              <w:ind w:left="120"/>
              <w:spacing w:after="0"/>
              <w:rPr>
                <w:sz w:val="20"/>
                <w:szCs w:val="20"/>
                <w:color w:val="auto"/>
              </w:rPr>
            </w:pPr>
            <w:r>
              <w:rPr>
                <w:rFonts w:ascii="Segoe UI Symbol" w:cs="Segoe UI Symbol" w:eastAsia="Segoe UI Symbol" w:hAnsi="Segoe UI Symbol"/>
                <w:sz w:val="16"/>
                <w:szCs w:val="16"/>
                <w:color w:val="auto"/>
              </w:rPr>
              <w:t>☐</w:t>
            </w:r>
          </w:p>
        </w:tc>
        <w:tc>
          <w:tcPr>
            <w:tcW w:w="4220" w:type="dxa"/>
            <w:vAlign w:val="bottom"/>
          </w:tcPr>
          <w:p>
            <w:pPr>
              <w:ind w:left="2620"/>
              <w:spacing w:after="0"/>
              <w:rPr>
                <w:sz w:val="20"/>
                <w:szCs w:val="20"/>
                <w:color w:val="auto"/>
              </w:rPr>
            </w:pPr>
            <w:r>
              <w:rPr>
                <w:rFonts w:ascii="Arial" w:cs="Arial" w:eastAsia="Arial" w:hAnsi="Arial"/>
                <w:sz w:val="16"/>
                <w:szCs w:val="16"/>
                <w:color w:val="auto"/>
              </w:rPr>
              <w:t>Accelerated filer</w:t>
            </w:r>
          </w:p>
        </w:tc>
        <w:tc>
          <w:tcPr>
            <w:tcW w:w="520" w:type="dxa"/>
            <w:vAlign w:val="bottom"/>
          </w:tcPr>
          <w:p>
            <w:pPr>
              <w:ind w:left="400"/>
              <w:spacing w:after="0"/>
              <w:rPr>
                <w:sz w:val="20"/>
                <w:szCs w:val="20"/>
                <w:color w:val="auto"/>
              </w:rPr>
            </w:pPr>
            <w:r>
              <w:rPr>
                <w:rFonts w:ascii="Segoe UI Symbol" w:cs="Segoe UI Symbol" w:eastAsia="Segoe UI Symbol" w:hAnsi="Segoe UI Symbol"/>
                <w:sz w:val="16"/>
                <w:szCs w:val="16"/>
                <w:color w:val="auto"/>
                <w:w w:val="72"/>
              </w:rPr>
              <w:t>☐</w:t>
            </w:r>
          </w:p>
        </w:tc>
        <w:tc>
          <w:tcPr>
            <w:tcW w:w="0" w:type="dxa"/>
            <w:vAlign w:val="bottom"/>
          </w:tcPr>
          <w:p>
            <w:pPr>
              <w:spacing w:after="0"/>
              <w:rPr>
                <w:sz w:val="1"/>
                <w:szCs w:val="1"/>
                <w:color w:val="auto"/>
              </w:rPr>
            </w:pPr>
          </w:p>
        </w:tc>
      </w:tr>
      <w:tr>
        <w:trPr>
          <w:trHeight w:val="222"/>
        </w:trPr>
        <w:tc>
          <w:tcPr>
            <w:tcW w:w="1680" w:type="dxa"/>
            <w:vAlign w:val="bottom"/>
          </w:tcPr>
          <w:p>
            <w:pPr>
              <w:spacing w:after="0"/>
              <w:rPr>
                <w:sz w:val="20"/>
                <w:szCs w:val="20"/>
                <w:color w:val="auto"/>
              </w:rPr>
            </w:pPr>
            <w:r>
              <w:rPr>
                <w:rFonts w:ascii="Arial" w:cs="Arial" w:eastAsia="Arial" w:hAnsi="Arial"/>
                <w:sz w:val="16"/>
                <w:szCs w:val="16"/>
                <w:color w:val="auto"/>
              </w:rPr>
              <w:t>Non-accelerated filer</w:t>
            </w:r>
          </w:p>
        </w:tc>
        <w:tc>
          <w:tcPr>
            <w:tcW w:w="2880" w:type="dxa"/>
            <w:vAlign w:val="bottom"/>
          </w:tcPr>
          <w:p>
            <w:pPr>
              <w:ind w:left="120"/>
              <w:spacing w:after="0"/>
              <w:rPr>
                <w:sz w:val="20"/>
                <w:szCs w:val="20"/>
                <w:color w:val="auto"/>
              </w:rPr>
            </w:pPr>
            <w:r>
              <w:rPr>
                <w:rFonts w:ascii="Segoe UI Symbol" w:cs="Segoe UI Symbol" w:eastAsia="Segoe UI Symbol" w:hAnsi="Segoe UI Symbol"/>
                <w:sz w:val="16"/>
                <w:szCs w:val="16"/>
                <w:color w:val="auto"/>
              </w:rPr>
              <w:t>☒</w:t>
            </w:r>
          </w:p>
        </w:tc>
        <w:tc>
          <w:tcPr>
            <w:tcW w:w="4220" w:type="dxa"/>
            <w:vAlign w:val="bottom"/>
          </w:tcPr>
          <w:p>
            <w:pPr>
              <w:ind w:left="2620"/>
              <w:spacing w:after="0"/>
              <w:rPr>
                <w:sz w:val="20"/>
                <w:szCs w:val="20"/>
                <w:color w:val="auto"/>
              </w:rPr>
            </w:pPr>
            <w:r>
              <w:rPr>
                <w:rFonts w:ascii="Arial" w:cs="Arial" w:eastAsia="Arial" w:hAnsi="Arial"/>
                <w:sz w:val="16"/>
                <w:szCs w:val="16"/>
                <w:color w:val="auto"/>
              </w:rPr>
              <w:t>Smaller reporting</w:t>
            </w:r>
          </w:p>
        </w:tc>
        <w:tc>
          <w:tcPr>
            <w:tcW w:w="520" w:type="dxa"/>
            <w:vAlign w:val="bottom"/>
          </w:tcPr>
          <w:p>
            <w:pPr>
              <w:ind w:left="400"/>
              <w:spacing w:after="0"/>
              <w:rPr>
                <w:sz w:val="20"/>
                <w:szCs w:val="20"/>
                <w:color w:val="auto"/>
              </w:rPr>
            </w:pPr>
            <w:r>
              <w:rPr>
                <w:rFonts w:ascii="Segoe UI Symbol" w:cs="Segoe UI Symbol" w:eastAsia="Segoe UI Symbol" w:hAnsi="Segoe UI Symbol"/>
                <w:sz w:val="16"/>
                <w:szCs w:val="16"/>
                <w:color w:val="auto"/>
                <w:w w:val="72"/>
              </w:rPr>
              <w:t>☒</w:t>
            </w:r>
          </w:p>
        </w:tc>
        <w:tc>
          <w:tcPr>
            <w:tcW w:w="0" w:type="dxa"/>
            <w:vAlign w:val="bottom"/>
          </w:tcPr>
          <w:p>
            <w:pPr>
              <w:spacing w:after="0"/>
              <w:rPr>
                <w:sz w:val="1"/>
                <w:szCs w:val="1"/>
                <w:color w:val="auto"/>
              </w:rPr>
            </w:pPr>
          </w:p>
        </w:tc>
      </w:tr>
      <w:tr>
        <w:trPr>
          <w:trHeight w:val="199"/>
        </w:trPr>
        <w:tc>
          <w:tcPr>
            <w:tcW w:w="16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4220" w:type="dxa"/>
            <w:vAlign w:val="bottom"/>
          </w:tcPr>
          <w:p>
            <w:pPr>
              <w:ind w:left="2620"/>
              <w:spacing w:after="0"/>
              <w:rPr>
                <w:sz w:val="20"/>
                <w:szCs w:val="20"/>
                <w:color w:val="auto"/>
              </w:rPr>
            </w:pPr>
            <w:r>
              <w:rPr>
                <w:rFonts w:ascii="Arial" w:cs="Arial" w:eastAsia="Arial" w:hAnsi="Arial"/>
                <w:sz w:val="16"/>
                <w:szCs w:val="16"/>
                <w:color w:val="auto"/>
              </w:rPr>
              <w:t>company</w:t>
            </w:r>
          </w:p>
        </w:tc>
        <w:tc>
          <w:tcPr>
            <w:tcW w:w="520" w:type="dxa"/>
            <w:vAlign w:val="bottom"/>
            <w:vMerge w:val="restart"/>
          </w:tcPr>
          <w:p>
            <w:pPr>
              <w:ind w:left="400"/>
              <w:spacing w:after="0"/>
              <w:rPr>
                <w:sz w:val="20"/>
                <w:szCs w:val="20"/>
                <w:color w:val="auto"/>
              </w:rPr>
            </w:pPr>
            <w:r>
              <w:rPr>
                <w:rFonts w:ascii="Segoe UI Symbol" w:cs="Segoe UI Symbol" w:eastAsia="Segoe UI Symbol" w:hAnsi="Segoe UI Symbol"/>
                <w:sz w:val="16"/>
                <w:szCs w:val="16"/>
                <w:color w:val="auto"/>
                <w:w w:val="72"/>
              </w:rPr>
              <w:t>☒</w:t>
            </w:r>
          </w:p>
        </w:tc>
        <w:tc>
          <w:tcPr>
            <w:tcW w:w="0" w:type="dxa"/>
            <w:vAlign w:val="bottom"/>
          </w:tcPr>
          <w:p>
            <w:pPr>
              <w:spacing w:after="0"/>
              <w:rPr>
                <w:sz w:val="1"/>
                <w:szCs w:val="1"/>
                <w:color w:val="auto"/>
              </w:rPr>
            </w:pPr>
          </w:p>
        </w:tc>
      </w:tr>
      <w:tr>
        <w:trPr>
          <w:trHeight w:val="185"/>
        </w:trPr>
        <w:tc>
          <w:tcPr>
            <w:tcW w:w="16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4220" w:type="dxa"/>
            <w:vAlign w:val="bottom"/>
          </w:tcPr>
          <w:p>
            <w:pPr>
              <w:ind w:left="2620"/>
              <w:spacing w:after="0"/>
              <w:rPr>
                <w:sz w:val="20"/>
                <w:szCs w:val="20"/>
                <w:color w:val="auto"/>
              </w:rPr>
            </w:pPr>
            <w:r>
              <w:rPr>
                <w:rFonts w:ascii="Arial" w:cs="Arial" w:eastAsia="Arial" w:hAnsi="Arial"/>
                <w:sz w:val="16"/>
                <w:szCs w:val="16"/>
                <w:color w:val="auto"/>
              </w:rPr>
              <w:t>Emerging growth</w:t>
            </w:r>
          </w:p>
        </w:tc>
        <w:tc>
          <w:tcPr>
            <w:tcW w:w="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6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4220" w:type="dxa"/>
            <w:vAlign w:val="bottom"/>
          </w:tcPr>
          <w:p>
            <w:pPr>
              <w:ind w:left="2620"/>
              <w:spacing w:after="0"/>
              <w:rPr>
                <w:sz w:val="20"/>
                <w:szCs w:val="20"/>
                <w:color w:val="auto"/>
              </w:rPr>
            </w:pPr>
            <w:r>
              <w:rPr>
                <w:rFonts w:ascii="Arial" w:cs="Arial" w:eastAsia="Arial" w:hAnsi="Arial"/>
                <w:sz w:val="16"/>
                <w:szCs w:val="16"/>
                <w:color w:val="auto"/>
              </w:rPr>
              <w:t>company</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right="300"/>
        <w:spacing w:after="0" w:line="275"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Symbol" w:cs="Segoe UI Symbol" w:eastAsia="Segoe UI Symbol" w:hAnsi="Segoe UI Symbol"/>
          <w:sz w:val="16"/>
          <w:szCs w:val="16"/>
          <w:color w:val="auto"/>
        </w:rPr>
        <w:t>☐</w:t>
      </w:r>
    </w:p>
    <w:p>
      <w:pPr>
        <w:spacing w:after="0" w:line="1" w:lineRule="exact"/>
        <w:rPr>
          <w:sz w:val="20"/>
          <w:szCs w:val="20"/>
          <w:color w:val="auto"/>
        </w:rPr>
      </w:pPr>
    </w:p>
    <w:p>
      <w:pPr>
        <w:ind w:right="180"/>
        <w:spacing w:after="0" w:line="229" w:lineRule="auto"/>
        <w:rPr>
          <w:sz w:val="20"/>
          <w:szCs w:val="20"/>
          <w:color w:val="auto"/>
        </w:rPr>
      </w:pPr>
      <w:r>
        <w:rPr>
          <w:rFonts w:ascii="Arial" w:cs="Arial" w:eastAsia="Arial" w:hAnsi="Arial"/>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registered public accounting firm that prepared or issued its audit report. </w:t>
      </w:r>
      <w:r>
        <w:rPr>
          <w:rFonts w:ascii="Segoe UI Symbol" w:cs="Segoe UI Symbol" w:eastAsia="Segoe UI Symbol" w:hAnsi="Segoe UI Symbol"/>
          <w:sz w:val="16"/>
          <w:szCs w:val="16"/>
          <w:color w:val="auto"/>
        </w:rPr>
        <w:t>☐</w:t>
      </w:r>
    </w:p>
    <w:p>
      <w:pPr>
        <w:spacing w:after="0" w:line="76" w:lineRule="exact"/>
        <w:rPr>
          <w:sz w:val="20"/>
          <w:szCs w:val="20"/>
          <w:color w:val="auto"/>
        </w:rPr>
      </w:pPr>
    </w:p>
    <w:p>
      <w:pPr>
        <w:ind w:right="460"/>
        <w:spacing w:after="0" w:line="356" w:lineRule="auto"/>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Symbol" w:cs="Segoe UI Symbol" w:eastAsia="Segoe UI Symbol" w:hAnsi="Segoe UI Symbol"/>
          <w:sz w:val="16"/>
          <w:szCs w:val="16"/>
          <w:color w:val="auto"/>
        </w:rPr>
        <w:t>☐</w:t>
      </w:r>
    </w:p>
    <w:p>
      <w:pPr>
        <w:sectPr>
          <w:pgSz w:w="12240" w:h="15840" w:orient="portrait"/>
          <w:cols w:equalWidth="0" w:num="1">
            <w:col w:w="9360"/>
          </w:cols>
          <w:pgMar w:left="1440" w:top="1440" w:right="1440" w:bottom="992" w:gutter="0" w:footer="0" w:header="0"/>
        </w:sectPr>
      </w:pPr>
    </w:p>
    <w:bookmarkStart w:id="147" w:name="page148"/>
    <w:bookmarkEnd w:id="147"/>
    <w:p>
      <w:pPr>
        <w:ind w:right="40"/>
        <w:spacing w:after="0" w:line="205" w:lineRule="auto"/>
        <w:rPr>
          <w:sz w:val="20"/>
          <w:szCs w:val="20"/>
          <w:color w:val="auto"/>
        </w:rPr>
      </w:pPr>
      <w:r>
        <w:rPr>
          <w:rFonts w:ascii="Arial" w:cs="Arial" w:eastAsia="Arial" w:hAnsi="Arial"/>
          <w:sz w:val="16"/>
          <w:szCs w:val="16"/>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spacing w:after="0" w:line="1" w:lineRule="exact"/>
        <w:rPr>
          <w:sz w:val="20"/>
          <w:szCs w:val="20"/>
          <w:color w:val="auto"/>
        </w:rPr>
      </w:pPr>
    </w:p>
    <w:p>
      <w:pPr>
        <w:spacing w:after="0"/>
        <w:rPr>
          <w:sz w:val="20"/>
          <w:szCs w:val="20"/>
          <w:color w:val="auto"/>
        </w:rPr>
      </w:pPr>
      <w:r>
        <w:rPr>
          <w:rFonts w:ascii="Segoe UI Symbol" w:cs="Segoe UI Symbol" w:eastAsia="Segoe UI Symbol" w:hAnsi="Segoe UI Symbol"/>
          <w:sz w:val="16"/>
          <w:szCs w:val="16"/>
          <w:color w:val="auto"/>
        </w:rPr>
        <w:t>☐</w:t>
      </w:r>
    </w:p>
    <w:p>
      <w:pPr>
        <w:spacing w:after="0" w:line="61" w:lineRule="exact"/>
        <w:rPr>
          <w:sz w:val="20"/>
          <w:szCs w:val="20"/>
          <w:color w:val="auto"/>
        </w:rPr>
      </w:pPr>
    </w:p>
    <w:p>
      <w:pPr>
        <w:spacing w:after="0"/>
        <w:tabs>
          <w:tab w:leader="none" w:pos="880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Segoe UI Symbol" w:cs="Segoe UI Symbol" w:eastAsia="Segoe UI Symbol" w:hAnsi="Segoe UI Symbol"/>
          <w:sz w:val="16"/>
          <w:szCs w:val="16"/>
          <w:color w:val="auto"/>
        </w:rPr>
        <w:t>☐</w:t>
      </w:r>
      <w:r>
        <w:rPr>
          <w:sz w:val="20"/>
          <w:szCs w:val="20"/>
          <w:color w:val="auto"/>
        </w:rPr>
        <w:tab/>
      </w:r>
      <w:r>
        <w:rPr>
          <w:rFonts w:ascii="Arial" w:cs="Arial" w:eastAsia="Arial" w:hAnsi="Arial"/>
          <w:sz w:val="15"/>
          <w:szCs w:val="15"/>
          <w:color w:val="auto"/>
        </w:rPr>
        <w:t xml:space="preserve">NO </w:t>
      </w:r>
      <w:r>
        <w:rPr>
          <w:rFonts w:ascii="Segoe UI Symbol" w:cs="Segoe UI Symbol" w:eastAsia="Segoe UI Symbol" w:hAnsi="Segoe UI Symbol"/>
          <w:sz w:val="15"/>
          <w:szCs w:val="15"/>
          <w:color w:val="auto"/>
        </w:rPr>
        <w:t>☒</w:t>
      </w:r>
    </w:p>
    <w:p>
      <w:pPr>
        <w:spacing w:after="0" w:line="235" w:lineRule="exact"/>
        <w:rPr>
          <w:sz w:val="20"/>
          <w:szCs w:val="20"/>
          <w:color w:val="auto"/>
        </w:rPr>
      </w:pPr>
    </w:p>
    <w:p>
      <w:pPr>
        <w:jc w:val="both"/>
        <w:ind w:right="140"/>
        <w:spacing w:after="0" w:line="262" w:lineRule="auto"/>
        <w:rPr>
          <w:sz w:val="20"/>
          <w:szCs w:val="20"/>
          <w:color w:val="auto"/>
        </w:rPr>
      </w:pPr>
      <w:r>
        <w:rPr>
          <w:rFonts w:ascii="Arial" w:cs="Arial" w:eastAsia="Arial" w:hAnsi="Arial"/>
          <w:sz w:val="16"/>
          <w:szCs w:val="16"/>
          <w:color w:val="auto"/>
        </w:rPr>
        <w:t>The aggregate market value of voting stock held by non-affiliates of the registrant on June 30, 2023, based on the closing price of $1.26 for shares of the registrant’s common stock as reported by the Nasdaq Global Market, was approximately $28.2 million. This calculation does not reflect a determination that certain persons are affiliates of the registrant for any other purposes.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of registrant’s Common Stock outstanding as of March 21, 2024 was 29,347,468.</w:t>
      </w:r>
    </w:p>
    <w:p>
      <w:pPr>
        <w:sectPr>
          <w:pgSz w:w="12240" w:h="15840" w:orient="portrait"/>
          <w:cols w:equalWidth="0" w:num="1">
            <w:col w:w="9360"/>
          </w:cols>
          <w:pgMar w:left="1440" w:top="1423" w:right="1440" w:bottom="1440" w:gutter="0" w:footer="0" w:header="0"/>
        </w:sectPr>
      </w:pPr>
    </w:p>
    <w:bookmarkStart w:id="148" w:name="page149"/>
    <w:bookmarkEnd w:id="148"/>
    <w:p>
      <w:pPr>
        <w:jc w:val="center"/>
        <w:spacing w:after="0"/>
        <w:rPr>
          <w:sz w:val="20"/>
          <w:szCs w:val="20"/>
          <w:color w:val="auto"/>
        </w:rPr>
      </w:pPr>
      <w:r>
        <w:rPr>
          <w:rFonts w:ascii="Arial" w:cs="Arial" w:eastAsia="Arial" w:hAnsi="Arial"/>
          <w:sz w:val="19"/>
          <w:szCs w:val="19"/>
          <w:b w:val="1"/>
          <w:bCs w:val="1"/>
          <w:color w:val="auto"/>
        </w:rPr>
        <w:t>EXPLANATORY NOTE</w:t>
      </w:r>
    </w:p>
    <w:p>
      <w:pPr>
        <w:spacing w:after="0" w:line="221" w:lineRule="exact"/>
        <w:rPr>
          <w:sz w:val="20"/>
          <w:szCs w:val="20"/>
          <w:color w:val="auto"/>
        </w:rPr>
      </w:pPr>
    </w:p>
    <w:p>
      <w:pPr>
        <w:spacing w:after="0" w:line="245" w:lineRule="auto"/>
        <w:rPr>
          <w:sz w:val="20"/>
          <w:szCs w:val="20"/>
          <w:color w:val="auto"/>
        </w:rPr>
      </w:pPr>
      <w:r>
        <w:rPr>
          <w:rFonts w:ascii="Arial" w:cs="Arial" w:eastAsia="Arial" w:hAnsi="Arial"/>
          <w:sz w:val="19"/>
          <w:szCs w:val="19"/>
          <w:color w:val="auto"/>
        </w:rPr>
        <w:t>Candel Therapeutics, Inc. is filing this Amendment No. 1 on Form 10-K/A (the “Form 10-K/A”) to the Company’s Annual Report on Form 10-K for the fiscal year ended December 31, 2023 (the “Original Form 10-K”), filed with the Securities and Exchange Commission (the “SEC”) on March 28, 2024, only for the purpose of including the Part III information required under the instructions to Form 10-K and the general rules and regulations under the Securities Exchange Act of 1934, as amended (the “Exchange Act”), which information was previously omitted from the Original Form 10-K in reliance on General Instruction G(3) to Form 10 -K, which permits the omitted information to be incorporated in the Original Form 10-K by reference from our definitive proxy statement if such statement is filed no later than 120 days after our fiscal year-end.</w:t>
      </w:r>
    </w:p>
    <w:p>
      <w:pPr>
        <w:spacing w:after="0" w:line="181" w:lineRule="exact"/>
        <w:rPr>
          <w:sz w:val="20"/>
          <w:szCs w:val="20"/>
          <w:color w:val="auto"/>
        </w:rPr>
      </w:pPr>
    </w:p>
    <w:p>
      <w:pPr>
        <w:ind w:right="40"/>
        <w:spacing w:after="0" w:line="251" w:lineRule="auto"/>
        <w:rPr>
          <w:sz w:val="20"/>
          <w:szCs w:val="20"/>
          <w:color w:val="auto"/>
        </w:rPr>
      </w:pPr>
      <w:r>
        <w:rPr>
          <w:rFonts w:ascii="Arial" w:cs="Arial" w:eastAsia="Arial" w:hAnsi="Arial"/>
          <w:sz w:val="19"/>
          <w:szCs w:val="19"/>
          <w:color w:val="auto"/>
        </w:rPr>
        <w:t>This Form 10-K/A amends and restates only Part III, Items 10, 11, 12, 13, and 14, and amends Part IV, Item 15 of the Original Form 10-K. In addition, this Form 10-K/A deletes the reference on the cover of the Original Form 10-K to the incorporation by reference of portions of our proxy statement into Part III of the Original Form 10-K. No other Items of the Original Form 10-K have been amended or revised in this Form 10-K/A, and all such other Items shall be as set forth in the Original Form 10-K.</w:t>
      </w:r>
    </w:p>
    <w:p>
      <w:pPr>
        <w:spacing w:after="0" w:line="170" w:lineRule="exact"/>
        <w:rPr>
          <w:sz w:val="20"/>
          <w:szCs w:val="20"/>
          <w:color w:val="auto"/>
        </w:rPr>
      </w:pPr>
    </w:p>
    <w:p>
      <w:pPr>
        <w:ind w:right="120"/>
        <w:spacing w:after="0" w:line="247" w:lineRule="auto"/>
        <w:rPr>
          <w:sz w:val="20"/>
          <w:szCs w:val="20"/>
          <w:color w:val="auto"/>
        </w:rPr>
      </w:pPr>
      <w:r>
        <w:rPr>
          <w:rFonts w:ascii="Arial" w:cs="Arial" w:eastAsia="Arial" w:hAnsi="Arial"/>
          <w:sz w:val="19"/>
          <w:szCs w:val="19"/>
          <w:color w:val="auto"/>
        </w:rPr>
        <w:t>In addition, pursuant to SEC rules, Item 15 of Part IV of the Original Form 10-K is hereby amended solely to include, as Exhibits 31.3 and 31.4, new certifications of our principal executive officer and principal financial officer pursuant to Rule 13a-14(a) under the Exchange Act. Because no financial statements are included in this Form 10-K/A and this Form 10-K/A does not contain or amend any disclosure with respect to Items 307 and 308 of Regulation S-K, paragraphs 3, 4, and 5 of such certifications have been omitted. We are not including new certifications required by Rule 13a-14(b) under the Exchange Act as no financial statements are included in this Form 10-K/A.</w:t>
      </w:r>
    </w:p>
    <w:p>
      <w:pPr>
        <w:spacing w:after="0" w:line="173" w:lineRule="exact"/>
        <w:rPr>
          <w:sz w:val="20"/>
          <w:szCs w:val="20"/>
          <w:color w:val="auto"/>
        </w:rPr>
      </w:pPr>
    </w:p>
    <w:p>
      <w:pPr>
        <w:ind w:right="140"/>
        <w:spacing w:after="0" w:line="248" w:lineRule="auto"/>
        <w:rPr>
          <w:sz w:val="20"/>
          <w:szCs w:val="20"/>
          <w:color w:val="auto"/>
        </w:rPr>
      </w:pPr>
      <w:r>
        <w:rPr>
          <w:rFonts w:ascii="Arial" w:cs="Arial" w:eastAsia="Arial" w:hAnsi="Arial"/>
          <w:sz w:val="19"/>
          <w:szCs w:val="19"/>
          <w:color w:val="auto"/>
        </w:rPr>
        <w:t>In addition, no other information has been updated for any subsequent events occurring after March 28, 2024, the date of the filing of the Original Form 10-K. Accordingly, this Form 10-K/A should be read in conjunction with the Original Form 10-K and our other filings made with the SEC subsequent to the filing of the Original Form 10-K. Unless the context otherwise requires, references in this Form 10-K/A to “Candel,” “Candel Therapeutics,” the “Company,” “we,” “our,” or “us” mean Candel Therapeutics, Inc., a Delaware corporation, and its consolidated subsidiaries.</w:t>
      </w:r>
    </w:p>
    <w:p>
      <w:pPr>
        <w:sectPr>
          <w:pgSz w:w="12240" w:h="15840" w:orient="portrait"/>
          <w:cols w:equalWidth="0" w:num="1">
            <w:col w:w="9360"/>
          </w:cols>
          <w:pgMar w:left="1440" w:top="1417" w:right="1440" w:bottom="1440" w:gutter="0" w:footer="0" w:header="0"/>
        </w:sectPr>
      </w:pPr>
    </w:p>
    <w:bookmarkStart w:id="149" w:name="page150"/>
    <w:bookmarkEnd w:id="149"/>
    <w:p>
      <w:pPr>
        <w:spacing w:after="0"/>
        <w:rPr>
          <w:sz w:val="20"/>
          <w:szCs w:val="20"/>
          <w:color w:val="auto"/>
        </w:rPr>
      </w:pPr>
      <w:r>
        <w:rPr>
          <w:rFonts w:ascii="Arial" w:cs="Arial" w:eastAsia="Arial" w:hAnsi="Arial"/>
          <w:sz w:val="19"/>
          <w:szCs w:val="19"/>
          <w:b w:val="1"/>
          <w:bCs w:val="1"/>
          <w:color w:val="auto"/>
        </w:rPr>
        <w:t>Table of Contents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0" w:type="dxa"/>
            <w:vAlign w:val="bottom"/>
            <w:vMerge w:val="restart"/>
          </w:tcPr>
          <w:p>
            <w:pPr>
              <w:spacing w:after="0"/>
              <w:rPr>
                <w:sz w:val="20"/>
                <w:szCs w:val="20"/>
                <w:color w:val="auto"/>
              </w:rPr>
            </w:pPr>
            <w:r>
              <w:rPr>
                <w:rFonts w:ascii="Arial" w:cs="Arial" w:eastAsia="Arial" w:hAnsi="Arial"/>
                <w:sz w:val="19"/>
                <w:szCs w:val="19"/>
                <w:b w:val="1"/>
                <w:bCs w:val="1"/>
                <w:color w:val="auto"/>
              </w:rPr>
              <w:t>PART</w:t>
            </w:r>
          </w:p>
        </w:tc>
        <w:tc>
          <w:tcPr>
            <w:tcW w:w="480" w:type="dxa"/>
            <w:vAlign w:val="bottom"/>
            <w:vMerge w:val="restart"/>
          </w:tcPr>
          <w:p>
            <w:pPr>
              <w:jc w:val="center"/>
              <w:ind w:left="65"/>
              <w:spacing w:after="0"/>
              <w:rPr>
                <w:sz w:val="20"/>
                <w:szCs w:val="20"/>
                <w:color w:val="auto"/>
              </w:rPr>
            </w:pPr>
            <w:r>
              <w:rPr>
                <w:rFonts w:ascii="Arial" w:cs="Arial" w:eastAsia="Arial" w:hAnsi="Arial"/>
                <w:sz w:val="19"/>
                <w:szCs w:val="19"/>
                <w:b w:val="1"/>
                <w:bCs w:val="1"/>
                <w:color w:val="auto"/>
              </w:rPr>
              <w:t>III</w:t>
            </w:r>
          </w:p>
        </w:tc>
        <w:tc>
          <w:tcPr>
            <w:tcW w:w="7400" w:type="dxa"/>
            <w:vAlign w:val="bottom"/>
          </w:tcPr>
          <w:p>
            <w:pPr>
              <w:spacing w:after="0"/>
              <w:rPr>
                <w:sz w:val="17"/>
                <w:szCs w:val="17"/>
                <w:color w:val="auto"/>
              </w:rPr>
            </w:pPr>
          </w:p>
        </w:tc>
        <w:tc>
          <w:tcPr>
            <w:tcW w:w="780" w:type="dxa"/>
            <w:vAlign w:val="bottom"/>
            <w:tcBorders>
              <w:bottom w:val="single" w:sz="8" w:color="auto"/>
            </w:tcBorders>
          </w:tcPr>
          <w:p>
            <w:pPr>
              <w:jc w:val="right"/>
              <w:ind w:right="107"/>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212"/>
        </w:trPr>
        <w:tc>
          <w:tcPr>
            <w:tcW w:w="70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700" w:type="dxa"/>
            <w:vAlign w:val="bottom"/>
          </w:tcPr>
          <w:p>
            <w:pPr>
              <w:ind w:left="140"/>
              <w:spacing w:after="0"/>
              <w:rPr>
                <w:sz w:val="20"/>
                <w:szCs w:val="20"/>
                <w:color w:val="auto"/>
              </w:rPr>
            </w:pPr>
            <w:r>
              <w:rPr>
                <w:rFonts w:ascii="Arial" w:cs="Arial" w:eastAsia="Arial" w:hAnsi="Arial"/>
                <w:sz w:val="19"/>
                <w:szCs w:val="19"/>
                <w:color w:val="auto"/>
              </w:rPr>
              <w:t>Item</w:t>
            </w:r>
          </w:p>
        </w:tc>
        <w:tc>
          <w:tcPr>
            <w:tcW w:w="480" w:type="dxa"/>
            <w:vAlign w:val="bottom"/>
          </w:tcPr>
          <w:p>
            <w:pPr>
              <w:jc w:val="center"/>
              <w:ind w:left="45"/>
              <w:spacing w:after="0"/>
              <w:rPr>
                <w:sz w:val="20"/>
                <w:szCs w:val="20"/>
                <w:color w:val="auto"/>
              </w:rPr>
            </w:pPr>
            <w:r>
              <w:rPr>
                <w:rFonts w:ascii="Arial" w:cs="Arial" w:eastAsia="Arial" w:hAnsi="Arial"/>
                <w:sz w:val="19"/>
                <w:szCs w:val="19"/>
                <w:color w:val="auto"/>
                <w:w w:val="98"/>
              </w:rPr>
              <w:t>10.</w:t>
            </w:r>
          </w:p>
        </w:tc>
        <w:tc>
          <w:tcPr>
            <w:tcW w:w="7400" w:type="dxa"/>
            <w:vAlign w:val="bottom"/>
          </w:tcPr>
          <w:p>
            <w:pPr>
              <w:ind w:left="20"/>
              <w:spacing w:after="0"/>
              <w:rPr>
                <w:sz w:val="20"/>
                <w:szCs w:val="20"/>
                <w:color w:val="auto"/>
              </w:rPr>
            </w:pPr>
            <w:r>
              <w:rPr>
                <w:rFonts w:ascii="Arial" w:cs="Arial" w:eastAsia="Arial" w:hAnsi="Arial"/>
                <w:sz w:val="19"/>
                <w:szCs w:val="19"/>
                <w:color w:val="auto"/>
              </w:rPr>
              <w:t>Directors, Executive Officers and Corporate Governance</w:t>
            </w:r>
          </w:p>
        </w:tc>
        <w:tc>
          <w:tcPr>
            <w:tcW w:w="780" w:type="dxa"/>
            <w:vAlign w:val="bottom"/>
          </w:tcPr>
          <w:p>
            <w:pPr>
              <w:jc w:val="right"/>
              <w:spacing w:after="0"/>
              <w:rPr>
                <w:sz w:val="20"/>
                <w:szCs w:val="20"/>
                <w:color w:val="auto"/>
              </w:rPr>
            </w:pPr>
            <w:r>
              <w:rPr>
                <w:rFonts w:ascii="Arial" w:cs="Arial" w:eastAsia="Arial" w:hAnsi="Arial"/>
                <w:sz w:val="19"/>
                <w:szCs w:val="19"/>
                <w:color w:val="auto"/>
              </w:rPr>
              <w:t>5</w:t>
            </w:r>
          </w:p>
        </w:tc>
        <w:tc>
          <w:tcPr>
            <w:tcW w:w="0" w:type="dxa"/>
            <w:vAlign w:val="bottom"/>
          </w:tcPr>
          <w:p>
            <w:pPr>
              <w:spacing w:after="0"/>
              <w:rPr>
                <w:sz w:val="1"/>
                <w:szCs w:val="1"/>
                <w:color w:val="auto"/>
              </w:rPr>
            </w:pPr>
          </w:p>
        </w:tc>
      </w:tr>
      <w:tr>
        <w:trPr>
          <w:trHeight w:val="233"/>
        </w:trPr>
        <w:tc>
          <w:tcPr>
            <w:tcW w:w="700" w:type="dxa"/>
            <w:vAlign w:val="bottom"/>
          </w:tcPr>
          <w:p>
            <w:pPr>
              <w:ind w:left="140"/>
              <w:spacing w:after="0"/>
              <w:rPr>
                <w:sz w:val="20"/>
                <w:szCs w:val="20"/>
                <w:color w:val="auto"/>
              </w:rPr>
            </w:pPr>
            <w:r>
              <w:rPr>
                <w:rFonts w:ascii="Arial" w:cs="Arial" w:eastAsia="Arial" w:hAnsi="Arial"/>
                <w:sz w:val="19"/>
                <w:szCs w:val="19"/>
                <w:color w:val="auto"/>
              </w:rPr>
              <w:t>Item</w:t>
            </w:r>
          </w:p>
        </w:tc>
        <w:tc>
          <w:tcPr>
            <w:tcW w:w="480" w:type="dxa"/>
            <w:vAlign w:val="bottom"/>
          </w:tcPr>
          <w:p>
            <w:pPr>
              <w:jc w:val="center"/>
              <w:ind w:left="45"/>
              <w:spacing w:after="0"/>
              <w:rPr>
                <w:sz w:val="20"/>
                <w:szCs w:val="20"/>
                <w:color w:val="auto"/>
              </w:rPr>
            </w:pPr>
            <w:r>
              <w:rPr>
                <w:rFonts w:ascii="Arial" w:cs="Arial" w:eastAsia="Arial" w:hAnsi="Arial"/>
                <w:sz w:val="19"/>
                <w:szCs w:val="19"/>
                <w:color w:val="auto"/>
                <w:w w:val="98"/>
              </w:rPr>
              <w:t>11.</w:t>
            </w:r>
          </w:p>
        </w:tc>
        <w:tc>
          <w:tcPr>
            <w:tcW w:w="7400" w:type="dxa"/>
            <w:vAlign w:val="bottom"/>
          </w:tcPr>
          <w:p>
            <w:pPr>
              <w:ind w:left="20"/>
              <w:spacing w:after="0"/>
              <w:rPr>
                <w:sz w:val="20"/>
                <w:szCs w:val="20"/>
                <w:color w:val="auto"/>
              </w:rPr>
            </w:pPr>
            <w:r>
              <w:rPr>
                <w:rFonts w:ascii="Arial" w:cs="Arial" w:eastAsia="Arial" w:hAnsi="Arial"/>
                <w:sz w:val="19"/>
                <w:szCs w:val="19"/>
                <w:color w:val="auto"/>
              </w:rPr>
              <w:t>Executive Compensation</w:t>
            </w:r>
          </w:p>
        </w:tc>
        <w:tc>
          <w:tcPr>
            <w:tcW w:w="780" w:type="dxa"/>
            <w:vAlign w:val="bottom"/>
          </w:tcPr>
          <w:p>
            <w:pPr>
              <w:jc w:val="right"/>
              <w:spacing w:after="0"/>
              <w:rPr>
                <w:sz w:val="20"/>
                <w:szCs w:val="20"/>
                <w:color w:val="auto"/>
              </w:rPr>
            </w:pPr>
            <w:r>
              <w:rPr>
                <w:rFonts w:ascii="Arial" w:cs="Arial" w:eastAsia="Arial" w:hAnsi="Arial"/>
                <w:sz w:val="19"/>
                <w:szCs w:val="19"/>
                <w:color w:val="auto"/>
              </w:rPr>
              <w:t>11</w:t>
            </w:r>
          </w:p>
        </w:tc>
        <w:tc>
          <w:tcPr>
            <w:tcW w:w="0" w:type="dxa"/>
            <w:vAlign w:val="bottom"/>
          </w:tcPr>
          <w:p>
            <w:pPr>
              <w:spacing w:after="0"/>
              <w:rPr>
                <w:sz w:val="1"/>
                <w:szCs w:val="1"/>
                <w:color w:val="auto"/>
              </w:rPr>
            </w:pPr>
          </w:p>
        </w:tc>
      </w:tr>
      <w:tr>
        <w:trPr>
          <w:trHeight w:val="217"/>
        </w:trPr>
        <w:tc>
          <w:tcPr>
            <w:tcW w:w="700" w:type="dxa"/>
            <w:vAlign w:val="bottom"/>
          </w:tcPr>
          <w:p>
            <w:pPr>
              <w:ind w:left="140"/>
              <w:spacing w:after="0" w:line="217" w:lineRule="exact"/>
              <w:rPr>
                <w:sz w:val="20"/>
                <w:szCs w:val="20"/>
                <w:color w:val="auto"/>
              </w:rPr>
            </w:pPr>
            <w:r>
              <w:rPr>
                <w:rFonts w:ascii="Arial" w:cs="Arial" w:eastAsia="Arial" w:hAnsi="Arial"/>
                <w:sz w:val="19"/>
                <w:szCs w:val="19"/>
                <w:color w:val="auto"/>
              </w:rPr>
              <w:t>Item</w:t>
            </w:r>
          </w:p>
        </w:tc>
        <w:tc>
          <w:tcPr>
            <w:tcW w:w="480" w:type="dxa"/>
            <w:vAlign w:val="bottom"/>
          </w:tcPr>
          <w:p>
            <w:pPr>
              <w:jc w:val="center"/>
              <w:ind w:left="45"/>
              <w:spacing w:after="0" w:line="217" w:lineRule="exact"/>
              <w:rPr>
                <w:sz w:val="20"/>
                <w:szCs w:val="20"/>
                <w:color w:val="auto"/>
              </w:rPr>
            </w:pPr>
            <w:r>
              <w:rPr>
                <w:rFonts w:ascii="Arial" w:cs="Arial" w:eastAsia="Arial" w:hAnsi="Arial"/>
                <w:sz w:val="19"/>
                <w:szCs w:val="19"/>
                <w:color w:val="auto"/>
                <w:w w:val="98"/>
              </w:rPr>
              <w:t>12.</w:t>
            </w:r>
          </w:p>
        </w:tc>
        <w:tc>
          <w:tcPr>
            <w:tcW w:w="7400" w:type="dxa"/>
            <w:vAlign w:val="bottom"/>
          </w:tcPr>
          <w:p>
            <w:pPr>
              <w:ind w:left="20"/>
              <w:spacing w:after="0" w:line="217" w:lineRule="exact"/>
              <w:rPr>
                <w:sz w:val="20"/>
                <w:szCs w:val="20"/>
                <w:color w:val="auto"/>
              </w:rPr>
            </w:pPr>
            <w:r>
              <w:rPr>
                <w:rFonts w:ascii="Arial" w:cs="Arial" w:eastAsia="Arial" w:hAnsi="Arial"/>
                <w:sz w:val="19"/>
                <w:szCs w:val="19"/>
                <w:color w:val="auto"/>
              </w:rPr>
              <w:t>Security Ownership of Certain Beneficial Owners and Management and Related</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7880" w:type="dxa"/>
            <w:vAlign w:val="bottom"/>
            <w:gridSpan w:val="2"/>
          </w:tcPr>
          <w:p>
            <w:pPr>
              <w:ind w:left="420"/>
              <w:spacing w:after="0"/>
              <w:rPr>
                <w:sz w:val="20"/>
                <w:szCs w:val="20"/>
                <w:color w:val="auto"/>
              </w:rPr>
            </w:pPr>
            <w:r>
              <w:rPr>
                <w:rFonts w:ascii="Arial" w:cs="Arial" w:eastAsia="Arial" w:hAnsi="Arial"/>
                <w:sz w:val="19"/>
                <w:szCs w:val="19"/>
                <w:color w:val="auto"/>
              </w:rPr>
              <w:t>Stockholder Matters</w:t>
            </w:r>
          </w:p>
        </w:tc>
        <w:tc>
          <w:tcPr>
            <w:tcW w:w="780" w:type="dxa"/>
            <w:vAlign w:val="bottom"/>
          </w:tcPr>
          <w:p>
            <w:pPr>
              <w:jc w:val="right"/>
              <w:spacing w:after="0"/>
              <w:rPr>
                <w:sz w:val="20"/>
                <w:szCs w:val="20"/>
                <w:color w:val="auto"/>
              </w:rPr>
            </w:pPr>
            <w:r>
              <w:rPr>
                <w:rFonts w:ascii="Arial" w:cs="Arial" w:eastAsia="Arial" w:hAnsi="Arial"/>
                <w:sz w:val="19"/>
                <w:szCs w:val="19"/>
                <w:color w:val="auto"/>
              </w:rPr>
              <w:t>19</w:t>
            </w:r>
          </w:p>
        </w:tc>
        <w:tc>
          <w:tcPr>
            <w:tcW w:w="0" w:type="dxa"/>
            <w:vAlign w:val="bottom"/>
          </w:tcPr>
          <w:p>
            <w:pPr>
              <w:spacing w:after="0"/>
              <w:rPr>
                <w:sz w:val="1"/>
                <w:szCs w:val="1"/>
                <w:color w:val="auto"/>
              </w:rPr>
            </w:pPr>
          </w:p>
        </w:tc>
      </w:tr>
      <w:tr>
        <w:trPr>
          <w:trHeight w:val="235"/>
        </w:trPr>
        <w:tc>
          <w:tcPr>
            <w:tcW w:w="700" w:type="dxa"/>
            <w:vAlign w:val="bottom"/>
          </w:tcPr>
          <w:p>
            <w:pPr>
              <w:ind w:left="140"/>
              <w:spacing w:after="0"/>
              <w:rPr>
                <w:sz w:val="20"/>
                <w:szCs w:val="20"/>
                <w:color w:val="auto"/>
              </w:rPr>
            </w:pPr>
            <w:r>
              <w:rPr>
                <w:rFonts w:ascii="Arial" w:cs="Arial" w:eastAsia="Arial" w:hAnsi="Arial"/>
                <w:sz w:val="19"/>
                <w:szCs w:val="19"/>
                <w:color w:val="auto"/>
              </w:rPr>
              <w:t>Item</w:t>
            </w:r>
          </w:p>
        </w:tc>
        <w:tc>
          <w:tcPr>
            <w:tcW w:w="480" w:type="dxa"/>
            <w:vAlign w:val="bottom"/>
          </w:tcPr>
          <w:p>
            <w:pPr>
              <w:jc w:val="center"/>
              <w:ind w:left="45"/>
              <w:spacing w:after="0"/>
              <w:rPr>
                <w:sz w:val="20"/>
                <w:szCs w:val="20"/>
                <w:color w:val="auto"/>
              </w:rPr>
            </w:pPr>
            <w:r>
              <w:rPr>
                <w:rFonts w:ascii="Arial" w:cs="Arial" w:eastAsia="Arial" w:hAnsi="Arial"/>
                <w:sz w:val="19"/>
                <w:szCs w:val="19"/>
                <w:color w:val="auto"/>
                <w:w w:val="98"/>
              </w:rPr>
              <w:t>13.</w:t>
            </w:r>
          </w:p>
        </w:tc>
        <w:tc>
          <w:tcPr>
            <w:tcW w:w="7400" w:type="dxa"/>
            <w:vAlign w:val="bottom"/>
          </w:tcPr>
          <w:p>
            <w:pPr>
              <w:ind w:left="20"/>
              <w:spacing w:after="0"/>
              <w:rPr>
                <w:sz w:val="20"/>
                <w:szCs w:val="20"/>
                <w:color w:val="auto"/>
              </w:rPr>
            </w:pPr>
            <w:r>
              <w:rPr>
                <w:rFonts w:ascii="Arial" w:cs="Arial" w:eastAsia="Arial" w:hAnsi="Arial"/>
                <w:sz w:val="19"/>
                <w:szCs w:val="19"/>
                <w:color w:val="auto"/>
              </w:rPr>
              <w:t>Certain Relationships and Related Transactions, and Director Independence</w:t>
            </w:r>
          </w:p>
        </w:tc>
        <w:tc>
          <w:tcPr>
            <w:tcW w:w="780" w:type="dxa"/>
            <w:vAlign w:val="bottom"/>
          </w:tcPr>
          <w:p>
            <w:pPr>
              <w:jc w:val="right"/>
              <w:spacing w:after="0"/>
              <w:rPr>
                <w:sz w:val="20"/>
                <w:szCs w:val="20"/>
                <w:color w:val="auto"/>
              </w:rPr>
            </w:pPr>
            <w:r>
              <w:rPr>
                <w:rFonts w:ascii="Arial" w:cs="Arial" w:eastAsia="Arial" w:hAnsi="Arial"/>
                <w:sz w:val="19"/>
                <w:szCs w:val="19"/>
                <w:color w:val="auto"/>
              </w:rPr>
              <w:t>21</w:t>
            </w:r>
          </w:p>
        </w:tc>
        <w:tc>
          <w:tcPr>
            <w:tcW w:w="0" w:type="dxa"/>
            <w:vAlign w:val="bottom"/>
          </w:tcPr>
          <w:p>
            <w:pPr>
              <w:spacing w:after="0"/>
              <w:rPr>
                <w:sz w:val="1"/>
                <w:szCs w:val="1"/>
                <w:color w:val="auto"/>
              </w:rPr>
            </w:pPr>
          </w:p>
        </w:tc>
      </w:tr>
      <w:tr>
        <w:trPr>
          <w:trHeight w:val="256"/>
        </w:trPr>
        <w:tc>
          <w:tcPr>
            <w:tcW w:w="700" w:type="dxa"/>
            <w:vAlign w:val="bottom"/>
          </w:tcPr>
          <w:p>
            <w:pPr>
              <w:ind w:left="140"/>
              <w:spacing w:after="0"/>
              <w:rPr>
                <w:sz w:val="20"/>
                <w:szCs w:val="20"/>
                <w:color w:val="auto"/>
              </w:rPr>
            </w:pPr>
            <w:r>
              <w:rPr>
                <w:rFonts w:ascii="Arial" w:cs="Arial" w:eastAsia="Arial" w:hAnsi="Arial"/>
                <w:sz w:val="19"/>
                <w:szCs w:val="19"/>
                <w:color w:val="auto"/>
              </w:rPr>
              <w:t>Item</w:t>
            </w:r>
          </w:p>
        </w:tc>
        <w:tc>
          <w:tcPr>
            <w:tcW w:w="480" w:type="dxa"/>
            <w:vAlign w:val="bottom"/>
          </w:tcPr>
          <w:p>
            <w:pPr>
              <w:jc w:val="center"/>
              <w:ind w:left="45"/>
              <w:spacing w:after="0"/>
              <w:rPr>
                <w:sz w:val="20"/>
                <w:szCs w:val="20"/>
                <w:color w:val="auto"/>
              </w:rPr>
            </w:pPr>
            <w:r>
              <w:rPr>
                <w:rFonts w:ascii="Arial" w:cs="Arial" w:eastAsia="Arial" w:hAnsi="Arial"/>
                <w:sz w:val="19"/>
                <w:szCs w:val="19"/>
                <w:color w:val="auto"/>
                <w:w w:val="98"/>
              </w:rPr>
              <w:t>14.</w:t>
            </w:r>
          </w:p>
        </w:tc>
        <w:tc>
          <w:tcPr>
            <w:tcW w:w="7400" w:type="dxa"/>
            <w:vAlign w:val="bottom"/>
          </w:tcPr>
          <w:p>
            <w:pPr>
              <w:ind w:left="20"/>
              <w:spacing w:after="0"/>
              <w:rPr>
                <w:sz w:val="20"/>
                <w:szCs w:val="20"/>
                <w:color w:val="auto"/>
              </w:rPr>
            </w:pPr>
            <w:r>
              <w:rPr>
                <w:rFonts w:ascii="Arial" w:cs="Arial" w:eastAsia="Arial" w:hAnsi="Arial"/>
                <w:sz w:val="19"/>
                <w:szCs w:val="19"/>
                <w:color w:val="auto"/>
              </w:rPr>
              <w:t>Principal Accounting Fees and Services</w:t>
            </w:r>
          </w:p>
        </w:tc>
        <w:tc>
          <w:tcPr>
            <w:tcW w:w="780" w:type="dxa"/>
            <w:vAlign w:val="bottom"/>
          </w:tcPr>
          <w:p>
            <w:pPr>
              <w:jc w:val="right"/>
              <w:spacing w:after="0"/>
              <w:rPr>
                <w:sz w:val="20"/>
                <w:szCs w:val="20"/>
                <w:color w:val="auto"/>
              </w:rPr>
            </w:pPr>
            <w:r>
              <w:rPr>
                <w:rFonts w:ascii="Arial" w:cs="Arial" w:eastAsia="Arial" w:hAnsi="Arial"/>
                <w:sz w:val="19"/>
                <w:szCs w:val="19"/>
                <w:color w:val="auto"/>
              </w:rPr>
              <w:t>23</w:t>
            </w:r>
          </w:p>
        </w:tc>
        <w:tc>
          <w:tcPr>
            <w:tcW w:w="0" w:type="dxa"/>
            <w:vAlign w:val="bottom"/>
          </w:tcPr>
          <w:p>
            <w:pPr>
              <w:spacing w:after="0"/>
              <w:rPr>
                <w:sz w:val="1"/>
                <w:szCs w:val="1"/>
                <w:color w:val="auto"/>
              </w:rPr>
            </w:pPr>
          </w:p>
        </w:tc>
      </w:tr>
      <w:tr>
        <w:trPr>
          <w:trHeight w:val="445"/>
        </w:trPr>
        <w:tc>
          <w:tcPr>
            <w:tcW w:w="700" w:type="dxa"/>
            <w:vAlign w:val="bottom"/>
          </w:tcPr>
          <w:p>
            <w:pPr>
              <w:spacing w:after="0"/>
              <w:rPr>
                <w:sz w:val="20"/>
                <w:szCs w:val="20"/>
                <w:color w:val="auto"/>
              </w:rPr>
            </w:pPr>
            <w:r>
              <w:rPr>
                <w:rFonts w:ascii="Arial" w:cs="Arial" w:eastAsia="Arial" w:hAnsi="Arial"/>
                <w:sz w:val="19"/>
                <w:szCs w:val="19"/>
                <w:b w:val="1"/>
                <w:bCs w:val="1"/>
                <w:color w:val="auto"/>
              </w:rPr>
              <w:t>PART</w:t>
            </w:r>
          </w:p>
        </w:tc>
        <w:tc>
          <w:tcPr>
            <w:tcW w:w="480" w:type="dxa"/>
            <w:vAlign w:val="bottom"/>
          </w:tcPr>
          <w:p>
            <w:pPr>
              <w:jc w:val="center"/>
              <w:ind w:left="85"/>
              <w:spacing w:after="0"/>
              <w:rPr>
                <w:sz w:val="20"/>
                <w:szCs w:val="20"/>
                <w:color w:val="auto"/>
              </w:rPr>
            </w:pPr>
            <w:r>
              <w:rPr>
                <w:rFonts w:ascii="Arial" w:cs="Arial" w:eastAsia="Arial" w:hAnsi="Arial"/>
                <w:sz w:val="19"/>
                <w:szCs w:val="19"/>
                <w:b w:val="1"/>
                <w:bCs w:val="1"/>
                <w:color w:val="auto"/>
                <w:w w:val="99"/>
              </w:rPr>
              <w:t>IV</w:t>
            </w:r>
          </w:p>
        </w:tc>
        <w:tc>
          <w:tcPr>
            <w:tcW w:w="7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00" w:type="dxa"/>
            <w:vAlign w:val="bottom"/>
          </w:tcPr>
          <w:p>
            <w:pPr>
              <w:ind w:left="140"/>
              <w:spacing w:after="0"/>
              <w:rPr>
                <w:sz w:val="20"/>
                <w:szCs w:val="20"/>
                <w:color w:val="auto"/>
              </w:rPr>
            </w:pPr>
            <w:r>
              <w:rPr>
                <w:rFonts w:ascii="Arial" w:cs="Arial" w:eastAsia="Arial" w:hAnsi="Arial"/>
                <w:sz w:val="19"/>
                <w:szCs w:val="19"/>
                <w:color w:val="auto"/>
              </w:rPr>
              <w:t>Item</w:t>
            </w:r>
          </w:p>
        </w:tc>
        <w:tc>
          <w:tcPr>
            <w:tcW w:w="480" w:type="dxa"/>
            <w:vAlign w:val="bottom"/>
          </w:tcPr>
          <w:p>
            <w:pPr>
              <w:jc w:val="center"/>
              <w:ind w:left="45"/>
              <w:spacing w:after="0"/>
              <w:rPr>
                <w:sz w:val="20"/>
                <w:szCs w:val="20"/>
                <w:color w:val="auto"/>
              </w:rPr>
            </w:pPr>
            <w:r>
              <w:rPr>
                <w:rFonts w:ascii="Arial" w:cs="Arial" w:eastAsia="Arial" w:hAnsi="Arial"/>
                <w:sz w:val="19"/>
                <w:szCs w:val="19"/>
                <w:color w:val="auto"/>
                <w:w w:val="98"/>
              </w:rPr>
              <w:t>15.</w:t>
            </w:r>
          </w:p>
        </w:tc>
        <w:tc>
          <w:tcPr>
            <w:tcW w:w="7400" w:type="dxa"/>
            <w:vAlign w:val="bottom"/>
          </w:tcPr>
          <w:p>
            <w:pPr>
              <w:ind w:left="20"/>
              <w:spacing w:after="0"/>
              <w:rPr>
                <w:sz w:val="20"/>
                <w:szCs w:val="20"/>
                <w:color w:val="auto"/>
              </w:rPr>
            </w:pPr>
            <w:r>
              <w:rPr>
                <w:rFonts w:ascii="Arial" w:cs="Arial" w:eastAsia="Arial" w:hAnsi="Arial"/>
                <w:sz w:val="19"/>
                <w:szCs w:val="19"/>
                <w:color w:val="auto"/>
              </w:rPr>
              <w:t>Exhibits, Financial Statement Schedules</w:t>
            </w:r>
          </w:p>
        </w:tc>
        <w:tc>
          <w:tcPr>
            <w:tcW w:w="780" w:type="dxa"/>
            <w:vAlign w:val="bottom"/>
          </w:tcPr>
          <w:p>
            <w:pPr>
              <w:jc w:val="right"/>
              <w:spacing w:after="0"/>
              <w:rPr>
                <w:sz w:val="20"/>
                <w:szCs w:val="20"/>
                <w:color w:val="auto"/>
              </w:rPr>
            </w:pPr>
            <w:r>
              <w:rPr>
                <w:rFonts w:ascii="Arial" w:cs="Arial" w:eastAsia="Arial" w:hAnsi="Arial"/>
                <w:sz w:val="19"/>
                <w:szCs w:val="19"/>
                <w:color w:val="auto"/>
              </w:rPr>
              <w:t>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w:t>
      </w:r>
    </w:p>
    <w:p>
      <w:pPr>
        <w:sectPr>
          <w:pgSz w:w="12240" w:h="15840" w:orient="portrait"/>
          <w:cols w:equalWidth="0" w:num="1">
            <w:col w:w="9360"/>
          </w:cols>
          <w:pgMar w:left="1440" w:top="1417" w:right="1440" w:bottom="1440" w:gutter="0" w:footer="0" w:header="0"/>
        </w:sectPr>
      </w:pPr>
    </w:p>
    <w:bookmarkStart w:id="150" w:name="page151"/>
    <w:bookmarkEnd w:id="150"/>
    <w:p>
      <w:pPr>
        <w:jc w:val="center"/>
        <w:spacing w:after="0"/>
        <w:rPr>
          <w:sz w:val="20"/>
          <w:szCs w:val="20"/>
          <w:color w:val="auto"/>
        </w:rPr>
      </w:pPr>
      <w:r>
        <w:rPr>
          <w:rFonts w:ascii="Arial" w:cs="Arial" w:eastAsia="Arial" w:hAnsi="Arial"/>
          <w:sz w:val="20"/>
          <w:szCs w:val="20"/>
          <w:b w:val="1"/>
          <w:bCs w:val="1"/>
          <w:color w:val="auto"/>
        </w:rPr>
        <w:t>PART III</w:t>
      </w:r>
    </w:p>
    <w:p>
      <w:pPr>
        <w:spacing w:after="0" w:line="37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10. Directors, Executive Officers and Corporate Governance.</w:t>
      </w:r>
    </w:p>
    <w:p>
      <w:pPr>
        <w:spacing w:after="0" w:line="325" w:lineRule="exact"/>
        <w:rPr>
          <w:sz w:val="20"/>
          <w:szCs w:val="20"/>
          <w:color w:val="auto"/>
        </w:rPr>
      </w:pPr>
    </w:p>
    <w:p>
      <w:pPr>
        <w:ind w:right="320"/>
        <w:spacing w:after="0" w:line="293" w:lineRule="auto"/>
        <w:rPr>
          <w:sz w:val="20"/>
          <w:szCs w:val="20"/>
          <w:color w:val="auto"/>
        </w:rPr>
      </w:pPr>
      <w:r>
        <w:rPr>
          <w:rFonts w:ascii="Arial" w:cs="Arial" w:eastAsia="Arial" w:hAnsi="Arial"/>
          <w:sz w:val="19"/>
          <w:szCs w:val="19"/>
          <w:color w:val="auto"/>
        </w:rPr>
        <w:t>The following table sets forth information regarding our executive officers and directors as of the date of this Form 10-K/A.</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240" w:type="dxa"/>
            <w:vAlign w:val="bottom"/>
            <w:tcBorders>
              <w:bottom w:val="single" w:sz="8" w:color="auto"/>
            </w:tcBorders>
          </w:tcPr>
          <w:p>
            <w:pPr>
              <w:ind w:left="1380"/>
              <w:spacing w:after="0"/>
              <w:rPr>
                <w:sz w:val="20"/>
                <w:szCs w:val="20"/>
                <w:color w:val="auto"/>
              </w:rPr>
            </w:pPr>
            <w:r>
              <w:rPr>
                <w:rFonts w:ascii="Arial" w:cs="Arial" w:eastAsia="Arial" w:hAnsi="Arial"/>
                <w:sz w:val="17"/>
                <w:szCs w:val="17"/>
                <w:b w:val="1"/>
                <w:bCs w:val="1"/>
                <w:color w:val="auto"/>
              </w:rPr>
              <w:t>Name</w:t>
            </w:r>
          </w:p>
        </w:tc>
        <w:tc>
          <w:tcPr>
            <w:tcW w:w="28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Age</w:t>
            </w:r>
          </w:p>
        </w:tc>
        <w:tc>
          <w:tcPr>
            <w:tcW w:w="220" w:type="dxa"/>
            <w:vAlign w:val="bottom"/>
            <w:tcBorders>
              <w:bottom w:val="single" w:sz="8" w:color="CFF0FC"/>
            </w:tcBorders>
          </w:tcPr>
          <w:p>
            <w:pPr>
              <w:spacing w:after="0"/>
              <w:rPr>
                <w:sz w:val="18"/>
                <w:szCs w:val="18"/>
                <w:color w:val="auto"/>
              </w:rPr>
            </w:pPr>
          </w:p>
        </w:tc>
        <w:tc>
          <w:tcPr>
            <w:tcW w:w="4880" w:type="dxa"/>
            <w:vAlign w:val="bottom"/>
            <w:tcBorders>
              <w:bottom w:val="single" w:sz="8" w:color="auto"/>
            </w:tcBorders>
          </w:tcPr>
          <w:p>
            <w:pPr>
              <w:ind w:left="2100"/>
              <w:spacing w:after="0"/>
              <w:rPr>
                <w:sz w:val="20"/>
                <w:szCs w:val="20"/>
                <w:color w:val="auto"/>
              </w:rPr>
            </w:pPr>
            <w:r>
              <w:rPr>
                <w:rFonts w:ascii="Arial" w:cs="Arial" w:eastAsia="Arial" w:hAnsi="Arial"/>
                <w:sz w:val="17"/>
                <w:szCs w:val="17"/>
                <w:b w:val="1"/>
                <w:bCs w:val="1"/>
                <w:color w:val="auto"/>
              </w:rPr>
              <w:t>Position</w:t>
            </w:r>
          </w:p>
        </w:tc>
      </w:tr>
      <w:tr>
        <w:trPr>
          <w:trHeight w:val="186"/>
        </w:trPr>
        <w:tc>
          <w:tcPr>
            <w:tcW w:w="3240" w:type="dxa"/>
            <w:vAlign w:val="bottom"/>
            <w:shd w:val="clear" w:color="auto" w:fill="CFF0FC"/>
          </w:tcPr>
          <w:p>
            <w:pPr>
              <w:ind w:left="100"/>
              <w:spacing w:after="0" w:line="186" w:lineRule="exact"/>
              <w:rPr>
                <w:sz w:val="20"/>
                <w:szCs w:val="20"/>
                <w:color w:val="auto"/>
              </w:rPr>
            </w:pPr>
            <w:r>
              <w:rPr>
                <w:rFonts w:ascii="Arial" w:cs="Arial" w:eastAsia="Arial" w:hAnsi="Arial"/>
                <w:sz w:val="17"/>
                <w:szCs w:val="17"/>
                <w:b w:val="1"/>
                <w:bCs w:val="1"/>
                <w:color w:val="auto"/>
              </w:rPr>
              <w:t>Executive Officers</w:t>
            </w:r>
          </w:p>
        </w:tc>
        <w:tc>
          <w:tcPr>
            <w:tcW w:w="2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880" w:type="dxa"/>
            <w:vAlign w:val="bottom"/>
            <w:shd w:val="clear" w:color="auto" w:fill="CFF0FC"/>
          </w:tcPr>
          <w:p>
            <w:pPr>
              <w:spacing w:after="0"/>
              <w:rPr>
                <w:sz w:val="16"/>
                <w:szCs w:val="16"/>
                <w:color w:val="auto"/>
              </w:rPr>
            </w:pPr>
          </w:p>
        </w:tc>
      </w:tr>
      <w:tr>
        <w:trPr>
          <w:trHeight w:val="197"/>
        </w:trPr>
        <w:tc>
          <w:tcPr>
            <w:tcW w:w="3240" w:type="dxa"/>
            <w:vAlign w:val="bottom"/>
          </w:tcPr>
          <w:p>
            <w:pPr>
              <w:ind w:left="100"/>
              <w:spacing w:after="0"/>
              <w:rPr>
                <w:sz w:val="20"/>
                <w:szCs w:val="20"/>
                <w:color w:val="auto"/>
              </w:rPr>
            </w:pPr>
            <w:r>
              <w:rPr>
                <w:rFonts w:ascii="Arial" w:cs="Arial" w:eastAsia="Arial" w:hAnsi="Arial"/>
                <w:sz w:val="17"/>
                <w:szCs w:val="17"/>
                <w:color w:val="auto"/>
              </w:rPr>
              <w:t>Paul Peter Tak, M.D., Ph.D., FMedSci</w:t>
            </w:r>
          </w:p>
        </w:tc>
        <w:tc>
          <w:tcPr>
            <w:tcW w:w="1020" w:type="dxa"/>
            <w:vAlign w:val="bottom"/>
            <w:gridSpan w:val="2"/>
          </w:tcPr>
          <w:p>
            <w:pPr>
              <w:jc w:val="center"/>
              <w:ind w:left="195"/>
              <w:spacing w:after="0"/>
              <w:rPr>
                <w:sz w:val="20"/>
                <w:szCs w:val="20"/>
                <w:color w:val="auto"/>
              </w:rPr>
            </w:pPr>
            <w:r>
              <w:rPr>
                <w:rFonts w:ascii="Arial" w:cs="Arial" w:eastAsia="Arial" w:hAnsi="Arial"/>
                <w:sz w:val="17"/>
                <w:szCs w:val="17"/>
                <w:color w:val="auto"/>
                <w:w w:val="94"/>
              </w:rPr>
              <w:t>64</w:t>
            </w:r>
          </w:p>
        </w:tc>
        <w:tc>
          <w:tcPr>
            <w:tcW w:w="220" w:type="dxa"/>
            <w:vAlign w:val="bottom"/>
          </w:tcPr>
          <w:p>
            <w:pPr>
              <w:spacing w:after="0"/>
              <w:rPr>
                <w:sz w:val="17"/>
                <w:szCs w:val="17"/>
                <w:color w:val="auto"/>
              </w:rPr>
            </w:pPr>
          </w:p>
        </w:tc>
        <w:tc>
          <w:tcPr>
            <w:tcW w:w="4880" w:type="dxa"/>
            <w:vAlign w:val="bottom"/>
          </w:tcPr>
          <w:p>
            <w:pPr>
              <w:ind w:left="120"/>
              <w:spacing w:after="0"/>
              <w:rPr>
                <w:sz w:val="20"/>
                <w:szCs w:val="20"/>
                <w:color w:val="auto"/>
              </w:rPr>
            </w:pPr>
            <w:r>
              <w:rPr>
                <w:rFonts w:ascii="Arial" w:cs="Arial" w:eastAsia="Arial" w:hAnsi="Arial"/>
                <w:sz w:val="17"/>
                <w:szCs w:val="17"/>
                <w:color w:val="auto"/>
              </w:rPr>
              <w:t>President, Chief Executive Officer, and Director</w:t>
            </w:r>
          </w:p>
        </w:tc>
      </w:tr>
      <w:tr>
        <w:trPr>
          <w:trHeight w:val="194"/>
        </w:trPr>
        <w:tc>
          <w:tcPr>
            <w:tcW w:w="3240" w:type="dxa"/>
            <w:vAlign w:val="bottom"/>
            <w:shd w:val="clear" w:color="auto" w:fill="CFF0FC"/>
          </w:tcPr>
          <w:p>
            <w:pPr>
              <w:ind w:left="100"/>
              <w:spacing w:after="0" w:line="194" w:lineRule="exact"/>
              <w:rPr>
                <w:sz w:val="20"/>
                <w:szCs w:val="20"/>
                <w:color w:val="auto"/>
              </w:rPr>
            </w:pPr>
            <w:r>
              <w:rPr>
                <w:rFonts w:ascii="Arial" w:cs="Arial" w:eastAsia="Arial" w:hAnsi="Arial"/>
                <w:sz w:val="17"/>
                <w:szCs w:val="17"/>
                <w:color w:val="auto"/>
              </w:rPr>
              <w:t>Charles Schoch</w:t>
            </w:r>
          </w:p>
        </w:tc>
        <w:tc>
          <w:tcPr>
            <w:tcW w:w="1020" w:type="dxa"/>
            <w:vAlign w:val="bottom"/>
            <w:gridSpan w:val="2"/>
            <w:shd w:val="clear" w:color="auto" w:fill="CFF0FC"/>
          </w:tcPr>
          <w:p>
            <w:pPr>
              <w:jc w:val="center"/>
              <w:ind w:left="195"/>
              <w:spacing w:after="0" w:line="194" w:lineRule="exact"/>
              <w:rPr>
                <w:sz w:val="20"/>
                <w:szCs w:val="20"/>
                <w:color w:val="auto"/>
              </w:rPr>
            </w:pPr>
            <w:r>
              <w:rPr>
                <w:rFonts w:ascii="Arial" w:cs="Arial" w:eastAsia="Arial" w:hAnsi="Arial"/>
                <w:sz w:val="17"/>
                <w:szCs w:val="17"/>
                <w:color w:val="auto"/>
                <w:w w:val="94"/>
              </w:rPr>
              <w:t>39</w:t>
            </w:r>
          </w:p>
        </w:tc>
        <w:tc>
          <w:tcPr>
            <w:tcW w:w="220" w:type="dxa"/>
            <w:vAlign w:val="bottom"/>
            <w:shd w:val="clear" w:color="auto" w:fill="CFF0FC"/>
          </w:tcPr>
          <w:p>
            <w:pPr>
              <w:spacing w:after="0"/>
              <w:rPr>
                <w:sz w:val="16"/>
                <w:szCs w:val="16"/>
                <w:color w:val="auto"/>
              </w:rPr>
            </w:pPr>
          </w:p>
        </w:tc>
        <w:tc>
          <w:tcPr>
            <w:tcW w:w="4880" w:type="dxa"/>
            <w:vAlign w:val="bottom"/>
            <w:shd w:val="clear" w:color="auto" w:fill="CFF0FC"/>
          </w:tcPr>
          <w:p>
            <w:pPr>
              <w:ind w:left="120"/>
              <w:spacing w:after="0" w:line="194" w:lineRule="exact"/>
              <w:rPr>
                <w:sz w:val="20"/>
                <w:szCs w:val="20"/>
                <w:color w:val="auto"/>
              </w:rPr>
            </w:pPr>
            <w:r>
              <w:rPr>
                <w:rFonts w:ascii="Arial" w:cs="Arial" w:eastAsia="Arial" w:hAnsi="Arial"/>
                <w:sz w:val="17"/>
                <w:szCs w:val="17"/>
                <w:color w:val="auto"/>
              </w:rPr>
              <w:t>Interim Chief Financial Officer</w:t>
            </w:r>
          </w:p>
        </w:tc>
      </w:tr>
      <w:tr>
        <w:trPr>
          <w:trHeight w:val="194"/>
        </w:trPr>
        <w:tc>
          <w:tcPr>
            <w:tcW w:w="3240" w:type="dxa"/>
            <w:vAlign w:val="bottom"/>
          </w:tcPr>
          <w:p>
            <w:pPr>
              <w:ind w:left="100"/>
              <w:spacing w:after="0" w:line="194" w:lineRule="exact"/>
              <w:rPr>
                <w:sz w:val="20"/>
                <w:szCs w:val="20"/>
                <w:color w:val="auto"/>
              </w:rPr>
            </w:pPr>
            <w:r>
              <w:rPr>
                <w:rFonts w:ascii="Arial" w:cs="Arial" w:eastAsia="Arial" w:hAnsi="Arial"/>
                <w:sz w:val="17"/>
                <w:szCs w:val="17"/>
                <w:color w:val="auto"/>
              </w:rPr>
              <w:t>Francesca Barone, M.D., Ph.D.</w:t>
            </w:r>
          </w:p>
        </w:tc>
        <w:tc>
          <w:tcPr>
            <w:tcW w:w="1020" w:type="dxa"/>
            <w:vAlign w:val="bottom"/>
            <w:gridSpan w:val="2"/>
          </w:tcPr>
          <w:p>
            <w:pPr>
              <w:jc w:val="center"/>
              <w:ind w:left="195"/>
              <w:spacing w:after="0" w:line="194" w:lineRule="exact"/>
              <w:rPr>
                <w:sz w:val="20"/>
                <w:szCs w:val="20"/>
                <w:color w:val="auto"/>
              </w:rPr>
            </w:pPr>
            <w:r>
              <w:rPr>
                <w:rFonts w:ascii="Arial" w:cs="Arial" w:eastAsia="Arial" w:hAnsi="Arial"/>
                <w:sz w:val="17"/>
                <w:szCs w:val="17"/>
                <w:color w:val="auto"/>
                <w:w w:val="94"/>
              </w:rPr>
              <w:t>47</w:t>
            </w:r>
          </w:p>
        </w:tc>
        <w:tc>
          <w:tcPr>
            <w:tcW w:w="220" w:type="dxa"/>
            <w:vAlign w:val="bottom"/>
          </w:tcPr>
          <w:p>
            <w:pPr>
              <w:spacing w:after="0"/>
              <w:rPr>
                <w:sz w:val="16"/>
                <w:szCs w:val="16"/>
                <w:color w:val="auto"/>
              </w:rPr>
            </w:pPr>
          </w:p>
        </w:tc>
        <w:tc>
          <w:tcPr>
            <w:tcW w:w="4880" w:type="dxa"/>
            <w:vAlign w:val="bottom"/>
          </w:tcPr>
          <w:p>
            <w:pPr>
              <w:ind w:left="120"/>
              <w:spacing w:after="0" w:line="194" w:lineRule="exact"/>
              <w:rPr>
                <w:sz w:val="20"/>
                <w:szCs w:val="20"/>
                <w:color w:val="auto"/>
              </w:rPr>
            </w:pPr>
            <w:r>
              <w:rPr>
                <w:rFonts w:ascii="Arial" w:cs="Arial" w:eastAsia="Arial" w:hAnsi="Arial"/>
                <w:sz w:val="17"/>
                <w:szCs w:val="17"/>
                <w:color w:val="auto"/>
              </w:rPr>
              <w:t>Chief Scientific Officer</w:t>
            </w:r>
          </w:p>
        </w:tc>
      </w:tr>
      <w:tr>
        <w:trPr>
          <w:trHeight w:val="197"/>
        </w:trPr>
        <w:tc>
          <w:tcPr>
            <w:tcW w:w="3240" w:type="dxa"/>
            <w:vAlign w:val="bottom"/>
            <w:shd w:val="clear" w:color="auto" w:fill="CFF0FC"/>
          </w:tcPr>
          <w:p>
            <w:pPr>
              <w:ind w:left="100"/>
              <w:spacing w:after="0"/>
              <w:rPr>
                <w:sz w:val="20"/>
                <w:szCs w:val="20"/>
                <w:color w:val="auto"/>
              </w:rPr>
            </w:pPr>
            <w:r>
              <w:rPr>
                <w:rFonts w:ascii="Arial" w:cs="Arial" w:eastAsia="Arial" w:hAnsi="Arial"/>
                <w:sz w:val="17"/>
                <w:szCs w:val="17"/>
                <w:color w:val="auto"/>
              </w:rPr>
              <w:t>W. Garrett Nichols, M.D., M.S.</w:t>
            </w:r>
          </w:p>
        </w:tc>
        <w:tc>
          <w:tcPr>
            <w:tcW w:w="280" w:type="dxa"/>
            <w:vAlign w:val="bottom"/>
            <w:shd w:val="clear" w:color="auto" w:fill="CFF0FC"/>
          </w:tcPr>
          <w:p>
            <w:pPr>
              <w:spacing w:after="0"/>
              <w:rPr>
                <w:sz w:val="17"/>
                <w:szCs w:val="17"/>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4"/>
              </w:rPr>
              <w:t>55</w:t>
            </w:r>
          </w:p>
        </w:tc>
        <w:tc>
          <w:tcPr>
            <w:tcW w:w="220" w:type="dxa"/>
            <w:vAlign w:val="bottom"/>
            <w:shd w:val="clear" w:color="auto" w:fill="CFF0FC"/>
          </w:tcPr>
          <w:p>
            <w:pPr>
              <w:spacing w:after="0"/>
              <w:rPr>
                <w:sz w:val="17"/>
                <w:szCs w:val="17"/>
                <w:color w:val="auto"/>
              </w:rPr>
            </w:pPr>
          </w:p>
        </w:tc>
        <w:tc>
          <w:tcPr>
            <w:tcW w:w="4880" w:type="dxa"/>
            <w:vAlign w:val="bottom"/>
            <w:shd w:val="clear" w:color="auto" w:fill="CFF0FC"/>
          </w:tcPr>
          <w:p>
            <w:pPr>
              <w:ind w:left="120"/>
              <w:spacing w:after="0"/>
              <w:rPr>
                <w:sz w:val="20"/>
                <w:szCs w:val="20"/>
                <w:color w:val="auto"/>
              </w:rPr>
            </w:pPr>
            <w:r>
              <w:rPr>
                <w:rFonts w:ascii="Arial" w:cs="Arial" w:eastAsia="Arial" w:hAnsi="Arial"/>
                <w:sz w:val="17"/>
                <w:szCs w:val="17"/>
                <w:color w:val="auto"/>
              </w:rPr>
              <w:t>Chief Medical Officer</w:t>
            </w:r>
          </w:p>
        </w:tc>
      </w:tr>
      <w:tr>
        <w:trPr>
          <w:trHeight w:val="194"/>
        </w:trPr>
        <w:tc>
          <w:tcPr>
            <w:tcW w:w="3240" w:type="dxa"/>
            <w:vAlign w:val="bottom"/>
          </w:tcPr>
          <w:p>
            <w:pPr>
              <w:ind w:left="100"/>
              <w:spacing w:after="0" w:line="194" w:lineRule="exact"/>
              <w:rPr>
                <w:sz w:val="20"/>
                <w:szCs w:val="20"/>
                <w:color w:val="auto"/>
              </w:rPr>
            </w:pPr>
            <w:r>
              <w:rPr>
                <w:rFonts w:ascii="Arial" w:cs="Arial" w:eastAsia="Arial" w:hAnsi="Arial"/>
                <w:sz w:val="17"/>
                <w:szCs w:val="17"/>
                <w:color w:val="auto"/>
              </w:rPr>
              <w:t>Seshu Tyagarajan, Ph.D., RAC</w:t>
            </w:r>
          </w:p>
        </w:tc>
        <w:tc>
          <w:tcPr>
            <w:tcW w:w="1020" w:type="dxa"/>
            <w:vAlign w:val="bottom"/>
            <w:gridSpan w:val="2"/>
          </w:tcPr>
          <w:p>
            <w:pPr>
              <w:jc w:val="center"/>
              <w:ind w:left="195"/>
              <w:spacing w:after="0" w:line="194" w:lineRule="exact"/>
              <w:rPr>
                <w:sz w:val="20"/>
                <w:szCs w:val="20"/>
                <w:color w:val="auto"/>
              </w:rPr>
            </w:pPr>
            <w:r>
              <w:rPr>
                <w:rFonts w:ascii="Arial" w:cs="Arial" w:eastAsia="Arial" w:hAnsi="Arial"/>
                <w:sz w:val="17"/>
                <w:szCs w:val="17"/>
                <w:color w:val="auto"/>
                <w:w w:val="94"/>
              </w:rPr>
              <w:t>56</w:t>
            </w:r>
          </w:p>
        </w:tc>
        <w:tc>
          <w:tcPr>
            <w:tcW w:w="220" w:type="dxa"/>
            <w:vAlign w:val="bottom"/>
          </w:tcPr>
          <w:p>
            <w:pPr>
              <w:spacing w:after="0"/>
              <w:rPr>
                <w:sz w:val="16"/>
                <w:szCs w:val="16"/>
                <w:color w:val="auto"/>
              </w:rPr>
            </w:pPr>
          </w:p>
        </w:tc>
        <w:tc>
          <w:tcPr>
            <w:tcW w:w="4880" w:type="dxa"/>
            <w:vAlign w:val="bottom"/>
          </w:tcPr>
          <w:p>
            <w:pPr>
              <w:ind w:left="120"/>
              <w:spacing w:after="0" w:line="194" w:lineRule="exact"/>
              <w:rPr>
                <w:sz w:val="20"/>
                <w:szCs w:val="20"/>
                <w:color w:val="auto"/>
              </w:rPr>
            </w:pPr>
            <w:r>
              <w:rPr>
                <w:rFonts w:ascii="Arial" w:cs="Arial" w:eastAsia="Arial" w:hAnsi="Arial"/>
                <w:sz w:val="17"/>
                <w:szCs w:val="17"/>
                <w:color w:val="auto"/>
              </w:rPr>
              <w:t>Chief Technical and Development Officer</w:t>
            </w:r>
          </w:p>
        </w:tc>
      </w:tr>
      <w:tr>
        <w:trPr>
          <w:trHeight w:val="197"/>
        </w:trPr>
        <w:tc>
          <w:tcPr>
            <w:tcW w:w="3240" w:type="dxa"/>
            <w:vAlign w:val="bottom"/>
            <w:shd w:val="clear" w:color="auto" w:fill="CFF0FC"/>
          </w:tcPr>
          <w:p>
            <w:pPr>
              <w:ind w:left="100"/>
              <w:spacing w:after="0"/>
              <w:rPr>
                <w:sz w:val="20"/>
                <w:szCs w:val="20"/>
                <w:color w:val="auto"/>
              </w:rPr>
            </w:pPr>
            <w:r>
              <w:rPr>
                <w:rFonts w:ascii="Arial" w:cs="Arial" w:eastAsia="Arial" w:hAnsi="Arial"/>
                <w:sz w:val="17"/>
                <w:szCs w:val="17"/>
                <w:b w:val="1"/>
                <w:bCs w:val="1"/>
                <w:color w:val="auto"/>
              </w:rPr>
              <w:t>Non-Employee Directors</w:t>
            </w:r>
          </w:p>
        </w:tc>
        <w:tc>
          <w:tcPr>
            <w:tcW w:w="2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880" w:type="dxa"/>
            <w:vAlign w:val="bottom"/>
            <w:shd w:val="clear" w:color="auto" w:fill="CFF0FC"/>
          </w:tcPr>
          <w:p>
            <w:pPr>
              <w:spacing w:after="0"/>
              <w:rPr>
                <w:sz w:val="17"/>
                <w:szCs w:val="17"/>
                <w:color w:val="auto"/>
              </w:rPr>
            </w:pPr>
          </w:p>
        </w:tc>
      </w:tr>
      <w:tr>
        <w:trPr>
          <w:trHeight w:val="194"/>
        </w:trPr>
        <w:tc>
          <w:tcPr>
            <w:tcW w:w="3240" w:type="dxa"/>
            <w:vAlign w:val="bottom"/>
          </w:tcPr>
          <w:p>
            <w:pPr>
              <w:ind w:left="100"/>
              <w:spacing w:after="0" w:line="194" w:lineRule="exact"/>
              <w:rPr>
                <w:sz w:val="20"/>
                <w:szCs w:val="20"/>
                <w:color w:val="auto"/>
              </w:rPr>
            </w:pPr>
            <w:r>
              <w:rPr>
                <w:rFonts w:ascii="Arial" w:cs="Arial" w:eastAsia="Arial" w:hAnsi="Arial"/>
                <w:sz w:val="17"/>
                <w:szCs w:val="17"/>
                <w:color w:val="auto"/>
              </w:rPr>
              <w:t>Paul B. Manning (2)</w:t>
            </w:r>
          </w:p>
        </w:tc>
        <w:tc>
          <w:tcPr>
            <w:tcW w:w="1020" w:type="dxa"/>
            <w:vAlign w:val="bottom"/>
            <w:gridSpan w:val="2"/>
          </w:tcPr>
          <w:p>
            <w:pPr>
              <w:jc w:val="center"/>
              <w:ind w:left="195"/>
              <w:spacing w:after="0" w:line="194" w:lineRule="exact"/>
              <w:rPr>
                <w:sz w:val="20"/>
                <w:szCs w:val="20"/>
                <w:color w:val="auto"/>
              </w:rPr>
            </w:pPr>
            <w:r>
              <w:rPr>
                <w:rFonts w:ascii="Arial" w:cs="Arial" w:eastAsia="Arial" w:hAnsi="Arial"/>
                <w:sz w:val="17"/>
                <w:szCs w:val="17"/>
                <w:color w:val="auto"/>
                <w:w w:val="94"/>
              </w:rPr>
              <w:t>68</w:t>
            </w:r>
          </w:p>
        </w:tc>
        <w:tc>
          <w:tcPr>
            <w:tcW w:w="220" w:type="dxa"/>
            <w:vAlign w:val="bottom"/>
          </w:tcPr>
          <w:p>
            <w:pPr>
              <w:spacing w:after="0"/>
              <w:rPr>
                <w:sz w:val="16"/>
                <w:szCs w:val="16"/>
                <w:color w:val="auto"/>
              </w:rPr>
            </w:pPr>
          </w:p>
        </w:tc>
        <w:tc>
          <w:tcPr>
            <w:tcW w:w="4880" w:type="dxa"/>
            <w:vAlign w:val="bottom"/>
          </w:tcPr>
          <w:p>
            <w:pPr>
              <w:ind w:left="120"/>
              <w:spacing w:after="0" w:line="194" w:lineRule="exact"/>
              <w:rPr>
                <w:sz w:val="20"/>
                <w:szCs w:val="20"/>
                <w:color w:val="auto"/>
              </w:rPr>
            </w:pPr>
            <w:r>
              <w:rPr>
                <w:rFonts w:ascii="Arial" w:cs="Arial" w:eastAsia="Arial" w:hAnsi="Arial"/>
                <w:sz w:val="17"/>
                <w:szCs w:val="17"/>
                <w:color w:val="auto"/>
              </w:rPr>
              <w:t>Chairman of the Board of Directors</w:t>
            </w:r>
          </w:p>
        </w:tc>
      </w:tr>
      <w:tr>
        <w:trPr>
          <w:trHeight w:val="178"/>
        </w:trPr>
        <w:tc>
          <w:tcPr>
            <w:tcW w:w="3240" w:type="dxa"/>
            <w:vAlign w:val="bottom"/>
            <w:shd w:val="clear" w:color="auto" w:fill="CFF0FC"/>
          </w:tcPr>
          <w:p>
            <w:pPr>
              <w:ind w:left="100"/>
              <w:spacing w:after="0" w:line="178" w:lineRule="exact"/>
              <w:rPr>
                <w:sz w:val="20"/>
                <w:szCs w:val="20"/>
                <w:color w:val="auto"/>
              </w:rPr>
            </w:pPr>
            <w:r>
              <w:rPr>
                <w:rFonts w:ascii="Arial" w:cs="Arial" w:eastAsia="Arial" w:hAnsi="Arial"/>
                <w:sz w:val="17"/>
                <w:szCs w:val="17"/>
                <w:color w:val="auto"/>
              </w:rPr>
              <w:t>Estuardo Aguilar-Cordova, M.D., inf.,</w:t>
            </w:r>
          </w:p>
        </w:tc>
        <w:tc>
          <w:tcPr>
            <w:tcW w:w="2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880" w:type="dxa"/>
            <w:vAlign w:val="bottom"/>
            <w:shd w:val="clear" w:color="auto" w:fill="CFF0FC"/>
          </w:tcPr>
          <w:p>
            <w:pPr>
              <w:spacing w:after="0"/>
              <w:rPr>
                <w:sz w:val="15"/>
                <w:szCs w:val="15"/>
                <w:color w:val="auto"/>
              </w:rPr>
            </w:pPr>
          </w:p>
        </w:tc>
      </w:tr>
      <w:tr>
        <w:trPr>
          <w:trHeight w:val="213"/>
        </w:trPr>
        <w:tc>
          <w:tcPr>
            <w:tcW w:w="3240" w:type="dxa"/>
            <w:vAlign w:val="bottom"/>
            <w:shd w:val="clear" w:color="auto" w:fill="CFF0FC"/>
          </w:tcPr>
          <w:p>
            <w:pPr>
              <w:ind w:left="100"/>
              <w:spacing w:after="0"/>
              <w:rPr>
                <w:sz w:val="20"/>
                <w:szCs w:val="20"/>
                <w:color w:val="auto"/>
              </w:rPr>
            </w:pPr>
            <w:r>
              <w:rPr>
                <w:rFonts w:ascii="Arial" w:cs="Arial" w:eastAsia="Arial" w:hAnsi="Arial"/>
                <w:sz w:val="17"/>
                <w:szCs w:val="17"/>
                <w:color w:val="auto"/>
              </w:rPr>
              <w:t>Ph.D.</w:t>
            </w: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4"/>
              </w:rPr>
              <w:t>66</w:t>
            </w:r>
          </w:p>
        </w:tc>
        <w:tc>
          <w:tcPr>
            <w:tcW w:w="220" w:type="dxa"/>
            <w:vAlign w:val="bottom"/>
            <w:shd w:val="clear" w:color="auto" w:fill="CFF0FC"/>
          </w:tcPr>
          <w:p>
            <w:pPr>
              <w:spacing w:after="0"/>
              <w:rPr>
                <w:sz w:val="18"/>
                <w:szCs w:val="18"/>
                <w:color w:val="auto"/>
              </w:rPr>
            </w:pPr>
          </w:p>
        </w:tc>
        <w:tc>
          <w:tcPr>
            <w:tcW w:w="4880" w:type="dxa"/>
            <w:vAlign w:val="bottom"/>
            <w:shd w:val="clear" w:color="auto" w:fill="CFF0FC"/>
          </w:tcPr>
          <w:p>
            <w:pPr>
              <w:ind w:left="120"/>
              <w:spacing w:after="0"/>
              <w:rPr>
                <w:sz w:val="20"/>
                <w:szCs w:val="20"/>
                <w:color w:val="auto"/>
              </w:rPr>
            </w:pPr>
            <w:r>
              <w:rPr>
                <w:rFonts w:ascii="Arial" w:cs="Arial" w:eastAsia="Arial" w:hAnsi="Arial"/>
                <w:sz w:val="17"/>
                <w:szCs w:val="17"/>
                <w:color w:val="auto"/>
              </w:rPr>
              <w:t>Director</w:t>
            </w:r>
          </w:p>
        </w:tc>
      </w:tr>
      <w:tr>
        <w:trPr>
          <w:trHeight w:val="197"/>
        </w:trPr>
        <w:tc>
          <w:tcPr>
            <w:tcW w:w="3240" w:type="dxa"/>
            <w:vAlign w:val="bottom"/>
          </w:tcPr>
          <w:p>
            <w:pPr>
              <w:ind w:left="100"/>
              <w:spacing w:after="0"/>
              <w:rPr>
                <w:sz w:val="20"/>
                <w:szCs w:val="20"/>
                <w:color w:val="auto"/>
              </w:rPr>
            </w:pPr>
            <w:r>
              <w:rPr>
                <w:rFonts w:ascii="Arial" w:cs="Arial" w:eastAsia="Arial" w:hAnsi="Arial"/>
                <w:sz w:val="17"/>
                <w:szCs w:val="17"/>
                <w:color w:val="auto"/>
              </w:rPr>
              <w:t>Edward J. Benz, Jr., M.D. (3)</w:t>
            </w:r>
          </w:p>
        </w:tc>
        <w:tc>
          <w:tcPr>
            <w:tcW w:w="1020" w:type="dxa"/>
            <w:vAlign w:val="bottom"/>
            <w:gridSpan w:val="2"/>
          </w:tcPr>
          <w:p>
            <w:pPr>
              <w:jc w:val="center"/>
              <w:ind w:left="195"/>
              <w:spacing w:after="0"/>
              <w:rPr>
                <w:sz w:val="20"/>
                <w:szCs w:val="20"/>
                <w:color w:val="auto"/>
              </w:rPr>
            </w:pPr>
            <w:r>
              <w:rPr>
                <w:rFonts w:ascii="Arial" w:cs="Arial" w:eastAsia="Arial" w:hAnsi="Arial"/>
                <w:sz w:val="17"/>
                <w:szCs w:val="17"/>
                <w:color w:val="auto"/>
                <w:w w:val="94"/>
              </w:rPr>
              <w:t>77</w:t>
            </w:r>
          </w:p>
        </w:tc>
        <w:tc>
          <w:tcPr>
            <w:tcW w:w="220" w:type="dxa"/>
            <w:vAlign w:val="bottom"/>
          </w:tcPr>
          <w:p>
            <w:pPr>
              <w:spacing w:after="0"/>
              <w:rPr>
                <w:sz w:val="17"/>
                <w:szCs w:val="17"/>
                <w:color w:val="auto"/>
              </w:rPr>
            </w:pPr>
          </w:p>
        </w:tc>
        <w:tc>
          <w:tcPr>
            <w:tcW w:w="4880" w:type="dxa"/>
            <w:vAlign w:val="bottom"/>
          </w:tcPr>
          <w:p>
            <w:pPr>
              <w:ind w:left="120"/>
              <w:spacing w:after="0"/>
              <w:rPr>
                <w:sz w:val="20"/>
                <w:szCs w:val="20"/>
                <w:color w:val="auto"/>
              </w:rPr>
            </w:pPr>
            <w:r>
              <w:rPr>
                <w:rFonts w:ascii="Arial" w:cs="Arial" w:eastAsia="Arial" w:hAnsi="Arial"/>
                <w:sz w:val="17"/>
                <w:szCs w:val="17"/>
                <w:color w:val="auto"/>
              </w:rPr>
              <w:t>Director</w:t>
            </w:r>
          </w:p>
        </w:tc>
      </w:tr>
      <w:tr>
        <w:trPr>
          <w:trHeight w:val="194"/>
        </w:trPr>
        <w:tc>
          <w:tcPr>
            <w:tcW w:w="3240" w:type="dxa"/>
            <w:vAlign w:val="bottom"/>
            <w:shd w:val="clear" w:color="auto" w:fill="CFF0FC"/>
          </w:tcPr>
          <w:p>
            <w:pPr>
              <w:ind w:left="100"/>
              <w:spacing w:after="0" w:line="194" w:lineRule="exact"/>
              <w:rPr>
                <w:sz w:val="20"/>
                <w:szCs w:val="20"/>
                <w:color w:val="auto"/>
              </w:rPr>
            </w:pPr>
            <w:r>
              <w:rPr>
                <w:rFonts w:ascii="Arial" w:cs="Arial" w:eastAsia="Arial" w:hAnsi="Arial"/>
                <w:sz w:val="17"/>
                <w:szCs w:val="17"/>
                <w:color w:val="auto"/>
              </w:rPr>
              <w:t>Renee Gaeta (1)</w:t>
            </w:r>
          </w:p>
        </w:tc>
        <w:tc>
          <w:tcPr>
            <w:tcW w:w="1020" w:type="dxa"/>
            <w:vAlign w:val="bottom"/>
            <w:gridSpan w:val="2"/>
            <w:shd w:val="clear" w:color="auto" w:fill="CFF0FC"/>
          </w:tcPr>
          <w:p>
            <w:pPr>
              <w:jc w:val="center"/>
              <w:ind w:left="195"/>
              <w:spacing w:after="0" w:line="194" w:lineRule="exact"/>
              <w:rPr>
                <w:sz w:val="20"/>
                <w:szCs w:val="20"/>
                <w:color w:val="auto"/>
              </w:rPr>
            </w:pPr>
            <w:r>
              <w:rPr>
                <w:rFonts w:ascii="Arial" w:cs="Arial" w:eastAsia="Arial" w:hAnsi="Arial"/>
                <w:sz w:val="17"/>
                <w:szCs w:val="17"/>
                <w:color w:val="auto"/>
                <w:w w:val="94"/>
              </w:rPr>
              <w:t>43</w:t>
            </w:r>
          </w:p>
        </w:tc>
        <w:tc>
          <w:tcPr>
            <w:tcW w:w="220" w:type="dxa"/>
            <w:vAlign w:val="bottom"/>
            <w:shd w:val="clear" w:color="auto" w:fill="CFF0FC"/>
          </w:tcPr>
          <w:p>
            <w:pPr>
              <w:spacing w:after="0"/>
              <w:rPr>
                <w:sz w:val="16"/>
                <w:szCs w:val="16"/>
                <w:color w:val="auto"/>
              </w:rPr>
            </w:pPr>
          </w:p>
        </w:tc>
        <w:tc>
          <w:tcPr>
            <w:tcW w:w="4880" w:type="dxa"/>
            <w:vAlign w:val="bottom"/>
            <w:shd w:val="clear" w:color="auto" w:fill="CFF0FC"/>
          </w:tcPr>
          <w:p>
            <w:pPr>
              <w:ind w:left="120"/>
              <w:spacing w:after="0" w:line="194" w:lineRule="exact"/>
              <w:rPr>
                <w:sz w:val="20"/>
                <w:szCs w:val="20"/>
                <w:color w:val="auto"/>
              </w:rPr>
            </w:pPr>
            <w:r>
              <w:rPr>
                <w:rFonts w:ascii="Arial" w:cs="Arial" w:eastAsia="Arial" w:hAnsi="Arial"/>
                <w:sz w:val="17"/>
                <w:szCs w:val="17"/>
                <w:color w:val="auto"/>
              </w:rPr>
              <w:t>Director</w:t>
            </w:r>
          </w:p>
        </w:tc>
      </w:tr>
      <w:tr>
        <w:trPr>
          <w:trHeight w:val="194"/>
        </w:trPr>
        <w:tc>
          <w:tcPr>
            <w:tcW w:w="3240" w:type="dxa"/>
            <w:vAlign w:val="bottom"/>
          </w:tcPr>
          <w:p>
            <w:pPr>
              <w:ind w:left="100"/>
              <w:spacing w:after="0" w:line="194" w:lineRule="exact"/>
              <w:rPr>
                <w:sz w:val="20"/>
                <w:szCs w:val="20"/>
                <w:color w:val="auto"/>
              </w:rPr>
            </w:pPr>
            <w:r>
              <w:rPr>
                <w:rFonts w:ascii="Arial" w:cs="Arial" w:eastAsia="Arial" w:hAnsi="Arial"/>
                <w:sz w:val="17"/>
                <w:szCs w:val="17"/>
                <w:color w:val="auto"/>
              </w:rPr>
              <w:t>Nicoletta Loggia, Ph.D., R.Ph. (3)</w:t>
            </w:r>
          </w:p>
        </w:tc>
        <w:tc>
          <w:tcPr>
            <w:tcW w:w="1020" w:type="dxa"/>
            <w:vAlign w:val="bottom"/>
            <w:gridSpan w:val="2"/>
          </w:tcPr>
          <w:p>
            <w:pPr>
              <w:jc w:val="center"/>
              <w:ind w:left="195"/>
              <w:spacing w:after="0" w:line="194" w:lineRule="exact"/>
              <w:rPr>
                <w:sz w:val="20"/>
                <w:szCs w:val="20"/>
                <w:color w:val="auto"/>
              </w:rPr>
            </w:pPr>
            <w:r>
              <w:rPr>
                <w:rFonts w:ascii="Arial" w:cs="Arial" w:eastAsia="Arial" w:hAnsi="Arial"/>
                <w:sz w:val="17"/>
                <w:szCs w:val="17"/>
                <w:color w:val="auto"/>
                <w:w w:val="94"/>
              </w:rPr>
              <w:t>56</w:t>
            </w:r>
          </w:p>
        </w:tc>
        <w:tc>
          <w:tcPr>
            <w:tcW w:w="220" w:type="dxa"/>
            <w:vAlign w:val="bottom"/>
          </w:tcPr>
          <w:p>
            <w:pPr>
              <w:spacing w:after="0"/>
              <w:rPr>
                <w:sz w:val="16"/>
                <w:szCs w:val="16"/>
                <w:color w:val="auto"/>
              </w:rPr>
            </w:pPr>
          </w:p>
        </w:tc>
        <w:tc>
          <w:tcPr>
            <w:tcW w:w="4880" w:type="dxa"/>
            <w:vAlign w:val="bottom"/>
          </w:tcPr>
          <w:p>
            <w:pPr>
              <w:ind w:left="120"/>
              <w:spacing w:after="0" w:line="194" w:lineRule="exact"/>
              <w:rPr>
                <w:sz w:val="20"/>
                <w:szCs w:val="20"/>
                <w:color w:val="auto"/>
              </w:rPr>
            </w:pPr>
            <w:r>
              <w:rPr>
                <w:rFonts w:ascii="Arial" w:cs="Arial" w:eastAsia="Arial" w:hAnsi="Arial"/>
                <w:sz w:val="17"/>
                <w:szCs w:val="17"/>
                <w:color w:val="auto"/>
              </w:rPr>
              <w:t>Director</w:t>
            </w:r>
          </w:p>
        </w:tc>
      </w:tr>
      <w:tr>
        <w:trPr>
          <w:trHeight w:val="197"/>
        </w:trPr>
        <w:tc>
          <w:tcPr>
            <w:tcW w:w="3240" w:type="dxa"/>
            <w:vAlign w:val="bottom"/>
            <w:shd w:val="clear" w:color="auto" w:fill="CFF0FC"/>
          </w:tcPr>
          <w:p>
            <w:pPr>
              <w:ind w:left="100"/>
              <w:spacing w:after="0"/>
              <w:rPr>
                <w:sz w:val="20"/>
                <w:szCs w:val="20"/>
                <w:color w:val="auto"/>
              </w:rPr>
            </w:pPr>
            <w:r>
              <w:rPr>
                <w:rFonts w:ascii="Arial" w:cs="Arial" w:eastAsia="Arial" w:hAnsi="Arial"/>
                <w:sz w:val="17"/>
                <w:szCs w:val="17"/>
                <w:color w:val="auto"/>
              </w:rPr>
              <w:t>Christopher Martell (1)(3)</w:t>
            </w:r>
          </w:p>
        </w:tc>
        <w:tc>
          <w:tcPr>
            <w:tcW w:w="1020" w:type="dxa"/>
            <w:vAlign w:val="bottom"/>
            <w:gridSpan w:val="2"/>
            <w:shd w:val="clear" w:color="auto" w:fill="CFF0FC"/>
          </w:tcPr>
          <w:p>
            <w:pPr>
              <w:jc w:val="center"/>
              <w:ind w:left="195"/>
              <w:spacing w:after="0"/>
              <w:rPr>
                <w:sz w:val="20"/>
                <w:szCs w:val="20"/>
                <w:color w:val="auto"/>
              </w:rPr>
            </w:pPr>
            <w:r>
              <w:rPr>
                <w:rFonts w:ascii="Arial" w:cs="Arial" w:eastAsia="Arial" w:hAnsi="Arial"/>
                <w:sz w:val="17"/>
                <w:szCs w:val="17"/>
                <w:color w:val="auto"/>
                <w:w w:val="94"/>
              </w:rPr>
              <w:t>45</w:t>
            </w:r>
          </w:p>
        </w:tc>
        <w:tc>
          <w:tcPr>
            <w:tcW w:w="220" w:type="dxa"/>
            <w:vAlign w:val="bottom"/>
            <w:shd w:val="clear" w:color="auto" w:fill="CFF0FC"/>
          </w:tcPr>
          <w:p>
            <w:pPr>
              <w:spacing w:after="0"/>
              <w:rPr>
                <w:sz w:val="17"/>
                <w:szCs w:val="17"/>
                <w:color w:val="auto"/>
              </w:rPr>
            </w:pPr>
          </w:p>
        </w:tc>
        <w:tc>
          <w:tcPr>
            <w:tcW w:w="4880" w:type="dxa"/>
            <w:vAlign w:val="bottom"/>
            <w:shd w:val="clear" w:color="auto" w:fill="CFF0FC"/>
          </w:tcPr>
          <w:p>
            <w:pPr>
              <w:ind w:left="120"/>
              <w:spacing w:after="0"/>
              <w:rPr>
                <w:sz w:val="20"/>
                <w:szCs w:val="20"/>
                <w:color w:val="auto"/>
              </w:rPr>
            </w:pPr>
            <w:r>
              <w:rPr>
                <w:rFonts w:ascii="Arial" w:cs="Arial" w:eastAsia="Arial" w:hAnsi="Arial"/>
                <w:sz w:val="17"/>
                <w:szCs w:val="17"/>
                <w:color w:val="auto"/>
              </w:rPr>
              <w:t>Director</w:t>
            </w:r>
          </w:p>
        </w:tc>
      </w:tr>
      <w:tr>
        <w:trPr>
          <w:trHeight w:val="194"/>
        </w:trPr>
        <w:tc>
          <w:tcPr>
            <w:tcW w:w="3240" w:type="dxa"/>
            <w:vAlign w:val="bottom"/>
          </w:tcPr>
          <w:p>
            <w:pPr>
              <w:ind w:left="100"/>
              <w:spacing w:after="0" w:line="194" w:lineRule="exact"/>
              <w:rPr>
                <w:sz w:val="20"/>
                <w:szCs w:val="20"/>
                <w:color w:val="auto"/>
              </w:rPr>
            </w:pPr>
            <w:r>
              <w:rPr>
                <w:rFonts w:ascii="Arial" w:cs="Arial" w:eastAsia="Arial" w:hAnsi="Arial"/>
                <w:sz w:val="17"/>
                <w:szCs w:val="17"/>
                <w:color w:val="auto"/>
              </w:rPr>
              <w:t>Gary J. Nabel, M.D., Ph.D. (3)</w:t>
            </w:r>
          </w:p>
        </w:tc>
        <w:tc>
          <w:tcPr>
            <w:tcW w:w="1020" w:type="dxa"/>
            <w:vAlign w:val="bottom"/>
            <w:gridSpan w:val="2"/>
          </w:tcPr>
          <w:p>
            <w:pPr>
              <w:jc w:val="center"/>
              <w:ind w:left="195"/>
              <w:spacing w:after="0" w:line="194" w:lineRule="exact"/>
              <w:rPr>
                <w:sz w:val="20"/>
                <w:szCs w:val="20"/>
                <w:color w:val="auto"/>
              </w:rPr>
            </w:pPr>
            <w:r>
              <w:rPr>
                <w:rFonts w:ascii="Arial" w:cs="Arial" w:eastAsia="Arial" w:hAnsi="Arial"/>
                <w:sz w:val="17"/>
                <w:szCs w:val="17"/>
                <w:color w:val="auto"/>
                <w:w w:val="94"/>
              </w:rPr>
              <w:t>70</w:t>
            </w:r>
          </w:p>
        </w:tc>
        <w:tc>
          <w:tcPr>
            <w:tcW w:w="220" w:type="dxa"/>
            <w:vAlign w:val="bottom"/>
          </w:tcPr>
          <w:p>
            <w:pPr>
              <w:spacing w:after="0"/>
              <w:rPr>
                <w:sz w:val="16"/>
                <w:szCs w:val="16"/>
                <w:color w:val="auto"/>
              </w:rPr>
            </w:pPr>
          </w:p>
        </w:tc>
        <w:tc>
          <w:tcPr>
            <w:tcW w:w="4880" w:type="dxa"/>
            <w:vAlign w:val="bottom"/>
          </w:tcPr>
          <w:p>
            <w:pPr>
              <w:ind w:left="120"/>
              <w:spacing w:after="0" w:line="194" w:lineRule="exact"/>
              <w:rPr>
                <w:sz w:val="20"/>
                <w:szCs w:val="20"/>
                <w:color w:val="auto"/>
              </w:rPr>
            </w:pPr>
            <w:r>
              <w:rPr>
                <w:rFonts w:ascii="Arial" w:cs="Arial" w:eastAsia="Arial" w:hAnsi="Arial"/>
                <w:sz w:val="17"/>
                <w:szCs w:val="17"/>
                <w:color w:val="auto"/>
              </w:rPr>
              <w:t>Director</w:t>
            </w:r>
          </w:p>
        </w:tc>
      </w:tr>
      <w:tr>
        <w:trPr>
          <w:trHeight w:val="197"/>
        </w:trPr>
        <w:tc>
          <w:tcPr>
            <w:tcW w:w="3240" w:type="dxa"/>
            <w:vAlign w:val="bottom"/>
            <w:shd w:val="clear" w:color="auto" w:fill="CFF0FC"/>
          </w:tcPr>
          <w:p>
            <w:pPr>
              <w:ind w:left="100"/>
              <w:spacing w:after="0"/>
              <w:rPr>
                <w:sz w:val="20"/>
                <w:szCs w:val="20"/>
                <w:color w:val="auto"/>
              </w:rPr>
            </w:pPr>
            <w:r>
              <w:rPr>
                <w:rFonts w:ascii="Arial" w:cs="Arial" w:eastAsia="Arial" w:hAnsi="Arial"/>
                <w:sz w:val="17"/>
                <w:szCs w:val="17"/>
                <w:color w:val="auto"/>
              </w:rPr>
              <w:t>Diem Nguyen, Ph.D. M.B.A. (1)(2)</w:t>
            </w:r>
          </w:p>
        </w:tc>
        <w:tc>
          <w:tcPr>
            <w:tcW w:w="1020" w:type="dxa"/>
            <w:vAlign w:val="bottom"/>
            <w:gridSpan w:val="2"/>
            <w:shd w:val="clear" w:color="auto" w:fill="CFF0FC"/>
          </w:tcPr>
          <w:p>
            <w:pPr>
              <w:jc w:val="center"/>
              <w:ind w:left="195"/>
              <w:spacing w:after="0"/>
              <w:rPr>
                <w:sz w:val="20"/>
                <w:szCs w:val="20"/>
                <w:color w:val="auto"/>
              </w:rPr>
            </w:pPr>
            <w:r>
              <w:rPr>
                <w:rFonts w:ascii="Arial" w:cs="Arial" w:eastAsia="Arial" w:hAnsi="Arial"/>
                <w:sz w:val="17"/>
                <w:szCs w:val="17"/>
                <w:color w:val="auto"/>
                <w:w w:val="94"/>
              </w:rPr>
              <w:t>52</w:t>
            </w:r>
          </w:p>
        </w:tc>
        <w:tc>
          <w:tcPr>
            <w:tcW w:w="220" w:type="dxa"/>
            <w:vAlign w:val="bottom"/>
            <w:shd w:val="clear" w:color="auto" w:fill="CFF0FC"/>
          </w:tcPr>
          <w:p>
            <w:pPr>
              <w:spacing w:after="0"/>
              <w:rPr>
                <w:sz w:val="17"/>
                <w:szCs w:val="17"/>
                <w:color w:val="auto"/>
              </w:rPr>
            </w:pPr>
          </w:p>
        </w:tc>
        <w:tc>
          <w:tcPr>
            <w:tcW w:w="4880" w:type="dxa"/>
            <w:vAlign w:val="bottom"/>
            <w:shd w:val="clear" w:color="auto" w:fill="CFF0FC"/>
          </w:tcPr>
          <w:p>
            <w:pPr>
              <w:ind w:left="120"/>
              <w:spacing w:after="0"/>
              <w:rPr>
                <w:sz w:val="20"/>
                <w:szCs w:val="20"/>
                <w:color w:val="auto"/>
              </w:rPr>
            </w:pPr>
            <w:r>
              <w:rPr>
                <w:rFonts w:ascii="Arial" w:cs="Arial" w:eastAsia="Arial" w:hAnsi="Arial"/>
                <w:sz w:val="17"/>
                <w:szCs w:val="17"/>
                <w:color w:val="auto"/>
              </w:rPr>
              <w:t>Director</w:t>
            </w:r>
          </w:p>
        </w:tc>
      </w:tr>
      <w:tr>
        <w:trPr>
          <w:trHeight w:val="230"/>
        </w:trPr>
        <w:tc>
          <w:tcPr>
            <w:tcW w:w="3240" w:type="dxa"/>
            <w:vAlign w:val="bottom"/>
          </w:tcPr>
          <w:p>
            <w:pPr>
              <w:ind w:left="100"/>
              <w:spacing w:after="0"/>
              <w:rPr>
                <w:sz w:val="20"/>
                <w:szCs w:val="20"/>
                <w:color w:val="auto"/>
              </w:rPr>
            </w:pPr>
            <w:r>
              <w:rPr>
                <w:rFonts w:ascii="Arial" w:cs="Arial" w:eastAsia="Arial" w:hAnsi="Arial"/>
                <w:sz w:val="17"/>
                <w:szCs w:val="17"/>
                <w:color w:val="auto"/>
              </w:rPr>
              <w:t>Joseph Papa (2)</w:t>
            </w:r>
          </w:p>
        </w:tc>
        <w:tc>
          <w:tcPr>
            <w:tcW w:w="1020" w:type="dxa"/>
            <w:vAlign w:val="bottom"/>
            <w:gridSpan w:val="2"/>
          </w:tcPr>
          <w:p>
            <w:pPr>
              <w:jc w:val="center"/>
              <w:ind w:left="195"/>
              <w:spacing w:after="0"/>
              <w:rPr>
                <w:sz w:val="20"/>
                <w:szCs w:val="20"/>
                <w:color w:val="auto"/>
              </w:rPr>
            </w:pPr>
            <w:r>
              <w:rPr>
                <w:rFonts w:ascii="Arial" w:cs="Arial" w:eastAsia="Arial" w:hAnsi="Arial"/>
                <w:sz w:val="17"/>
                <w:szCs w:val="17"/>
                <w:color w:val="auto"/>
                <w:w w:val="94"/>
              </w:rPr>
              <w:t>68</w:t>
            </w:r>
          </w:p>
        </w:tc>
        <w:tc>
          <w:tcPr>
            <w:tcW w:w="220" w:type="dxa"/>
            <w:vAlign w:val="bottom"/>
          </w:tcPr>
          <w:p>
            <w:pPr>
              <w:spacing w:after="0"/>
              <w:rPr>
                <w:sz w:val="20"/>
                <w:szCs w:val="20"/>
                <w:color w:val="auto"/>
              </w:rPr>
            </w:pPr>
          </w:p>
        </w:tc>
        <w:tc>
          <w:tcPr>
            <w:tcW w:w="4880" w:type="dxa"/>
            <w:vAlign w:val="bottom"/>
          </w:tcPr>
          <w:p>
            <w:pPr>
              <w:ind w:left="120"/>
              <w:spacing w:after="0"/>
              <w:rPr>
                <w:sz w:val="20"/>
                <w:szCs w:val="20"/>
                <w:color w:val="auto"/>
              </w:rPr>
            </w:pPr>
            <w:r>
              <w:rPr>
                <w:rFonts w:ascii="Arial" w:cs="Arial" w:eastAsia="Arial" w:hAnsi="Arial"/>
                <w:sz w:val="17"/>
                <w:szCs w:val="17"/>
                <w:color w:val="auto"/>
              </w:rPr>
              <w:t>Director</w:t>
            </w:r>
          </w:p>
        </w:tc>
      </w:tr>
    </w:tbl>
    <w:p>
      <w:pPr>
        <w:spacing w:after="0" w:line="200" w:lineRule="exact"/>
        <w:rPr>
          <w:sz w:val="20"/>
          <w:szCs w:val="20"/>
          <w:color w:val="auto"/>
        </w:rPr>
      </w:pPr>
    </w:p>
    <w:p>
      <w:pPr>
        <w:spacing w:after="0" w:line="209" w:lineRule="exact"/>
        <w:rPr>
          <w:sz w:val="20"/>
          <w:szCs w:val="20"/>
          <w:color w:val="auto"/>
        </w:rPr>
      </w:pPr>
    </w:p>
    <w:p>
      <w:pPr>
        <w:ind w:left="240" w:hanging="240"/>
        <w:spacing w:after="0"/>
        <w:tabs>
          <w:tab w:leader="none" w:pos="2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Member of audit committee.</w:t>
      </w:r>
    </w:p>
    <w:p>
      <w:pPr>
        <w:spacing w:after="0" w:line="87" w:lineRule="exact"/>
        <w:rPr>
          <w:rFonts w:ascii="Arial" w:cs="Arial" w:eastAsia="Arial" w:hAnsi="Arial"/>
          <w:sz w:val="16"/>
          <w:szCs w:val="16"/>
          <w:color w:val="auto"/>
        </w:rPr>
      </w:pPr>
    </w:p>
    <w:p>
      <w:pPr>
        <w:ind w:left="240" w:hanging="240"/>
        <w:spacing w:after="0"/>
        <w:tabs>
          <w:tab w:leader="none" w:pos="2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Member of compensation committee.</w:t>
      </w:r>
    </w:p>
    <w:p>
      <w:pPr>
        <w:spacing w:after="0" w:line="84" w:lineRule="exact"/>
        <w:rPr>
          <w:rFonts w:ascii="Arial" w:cs="Arial" w:eastAsia="Arial" w:hAnsi="Arial"/>
          <w:sz w:val="16"/>
          <w:szCs w:val="16"/>
          <w:color w:val="auto"/>
        </w:rPr>
      </w:pPr>
    </w:p>
    <w:p>
      <w:pPr>
        <w:ind w:left="240" w:hanging="240"/>
        <w:spacing w:after="0"/>
        <w:tabs>
          <w:tab w:leader="none" w:pos="2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Member of nominating and corporate governance committee.</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Executive officers</w:t>
      </w:r>
    </w:p>
    <w:p>
      <w:pPr>
        <w:spacing w:after="0" w:line="231" w:lineRule="exact"/>
        <w:rPr>
          <w:sz w:val="20"/>
          <w:szCs w:val="20"/>
          <w:color w:val="auto"/>
        </w:rPr>
      </w:pPr>
    </w:p>
    <w:p>
      <w:pPr>
        <w:ind w:right="40"/>
        <w:spacing w:after="0" w:line="239" w:lineRule="auto"/>
        <w:rPr>
          <w:sz w:val="20"/>
          <w:szCs w:val="20"/>
          <w:color w:val="auto"/>
        </w:rPr>
      </w:pPr>
      <w:r>
        <w:rPr>
          <w:rFonts w:ascii="Arial" w:cs="Arial" w:eastAsia="Arial" w:hAnsi="Arial"/>
          <w:sz w:val="19"/>
          <w:szCs w:val="19"/>
          <w:i w:val="1"/>
          <w:iCs w:val="1"/>
          <w:color w:val="auto"/>
        </w:rPr>
        <w:t>Paul Peter Tak, M.D., Ph.D., FMedSci</w:t>
      </w:r>
      <w:r>
        <w:rPr>
          <w:rFonts w:ascii="Arial" w:cs="Arial" w:eastAsia="Arial" w:hAnsi="Arial"/>
          <w:sz w:val="19"/>
          <w:szCs w:val="19"/>
          <w:color w:val="auto"/>
        </w:rPr>
        <w:t>, has served as President and Chief Executive Officer and as a member</w:t>
      </w:r>
      <w:r>
        <w:rPr>
          <w:rFonts w:ascii="Arial" w:cs="Arial" w:eastAsia="Arial" w:hAnsi="Arial"/>
          <w:sz w:val="19"/>
          <w:szCs w:val="19"/>
          <w:i w:val="1"/>
          <w:iCs w:val="1"/>
          <w:color w:val="auto"/>
        </w:rPr>
        <w:t xml:space="preserve"> </w:t>
      </w:r>
      <w:r>
        <w:rPr>
          <w:rFonts w:ascii="Arial" w:cs="Arial" w:eastAsia="Arial" w:hAnsi="Arial"/>
          <w:sz w:val="19"/>
          <w:szCs w:val="19"/>
          <w:color w:val="auto"/>
        </w:rPr>
        <w:t>of the board of directors of Candel since September 2020. He received his medical degree cum laude from the Free University in Amsterdam and was trained as an internist, rheumatologist and immunologist at Leiden University Medical Center, where he also received his Ph.D. He has been Clinical Associate Professor of Medicine at the University of California San Diego. Next, he served as Professor of Medicine and founding Chair of the Department of Clinical Immunology and Rheumatology at the Academic Medical Centre/University Medical Center Amsterdam. During this time, he founded Arthrogen b.v., a biotech company focused on gene therapy. He has published over 590 papers in peer-reviewed journals and received numerous awards. He has been elected Honorary Senior Visiting Fellow at the University of Cambridge and Fellow of the Academy of Medical Sciences (U.K.). At GSK plc, formerly known as GlaxoSmithKline, or GSK (NYSE: GSK), he served as Senior Vice President, Chief Immunology Officer, and Global Development Leader from 2011 to 2018. In his role as Global Head of a cluster of Therapy Area Units at GSK (Dermatology, ImmunoInflammation, Infectious Disease, and Oncology), he oversaw the creation of a portfolio of new medicines, including anti-CCL17 antibody, gepotidacin, belimumab sc (approved in 2017 [Benlysta</w:t>
      </w:r>
      <w:r>
        <w:rPr>
          <w:rFonts w:ascii="Arial" w:cs="Arial" w:eastAsia="Arial" w:hAnsi="Arial"/>
          <w:sz w:val="24"/>
          <w:szCs w:val="24"/>
          <w:color w:val="auto"/>
          <w:vertAlign w:val="superscript"/>
        </w:rPr>
        <w:t>®</w:t>
      </w:r>
      <w:r>
        <w:rPr>
          <w:rFonts w:ascii="Arial" w:cs="Arial" w:eastAsia="Arial" w:hAnsi="Arial"/>
          <w:sz w:val="19"/>
          <w:szCs w:val="19"/>
          <w:color w:val="auto"/>
        </w:rPr>
        <w:t xml:space="preserve"> sc]), mafodotin (approved in 2020 [Blenrep</w:t>
      </w:r>
      <w:r>
        <w:rPr>
          <w:rFonts w:ascii="Arial" w:cs="Arial" w:eastAsia="Arial" w:hAnsi="Arial"/>
          <w:sz w:val="24"/>
          <w:szCs w:val="24"/>
          <w:color w:val="auto"/>
          <w:vertAlign w:val="superscript"/>
        </w:rPr>
        <w:t>®</w:t>
      </w:r>
      <w:r>
        <w:rPr>
          <w:rFonts w:ascii="Arial" w:cs="Arial" w:eastAsia="Arial" w:hAnsi="Arial"/>
          <w:sz w:val="19"/>
          <w:szCs w:val="19"/>
          <w:color w:val="auto"/>
        </w:rPr>
        <w:t>]), cabotegravir/rilpivirine (approved in 2021 [Cabenuva</w:t>
      </w:r>
      <w:r>
        <w:rPr>
          <w:rFonts w:ascii="Arial" w:cs="Arial" w:eastAsia="Arial" w:hAnsi="Arial"/>
          <w:sz w:val="24"/>
          <w:szCs w:val="24"/>
          <w:color w:val="auto"/>
          <w:vertAlign w:val="superscript"/>
        </w:rPr>
        <w:t>®</w:t>
      </w:r>
      <w:r>
        <w:rPr>
          <w:rFonts w:ascii="Arial" w:cs="Arial" w:eastAsia="Arial" w:hAnsi="Arial"/>
          <w:sz w:val="19"/>
          <w:szCs w:val="19"/>
          <w:color w:val="auto"/>
        </w:rPr>
        <w:t>]), and tapinarof (acquired by Dermavant Sciences; approved in 2022 [VTAMAR</w:t>
      </w:r>
      <w:r>
        <w:rPr>
          <w:rFonts w:ascii="Arial" w:cs="Arial" w:eastAsia="Arial" w:hAnsi="Arial"/>
          <w:sz w:val="24"/>
          <w:szCs w:val="24"/>
          <w:color w:val="auto"/>
          <w:vertAlign w:val="superscript"/>
        </w:rPr>
        <w:t>®</w:t>
      </w:r>
      <w:r>
        <w:rPr>
          <w:rFonts w:ascii="Arial" w:cs="Arial" w:eastAsia="Arial" w:hAnsi="Arial"/>
          <w:sz w:val="19"/>
          <w:szCs w:val="19"/>
          <w:color w:val="auto"/>
        </w:rPr>
        <w:t>]). He was the Chair of the Scientific Review Board, the governing body accountable for the scientific assessment of GSK’s R&amp;D portfolio. He was also the President and CEO of Tempero Pharmaceuticals, which was integrated into GSK in 2015. From 2018 to 2020, Dr. Tak served as venture partner at Flagship Pioneering and also as President and CEO of Kintai Therapeutics (merged with Senda Biosciences). In addition, he has served as board director of Galvani Bioelectronics, ViiV Healthcare Ltd., and Omega Therapeutics. Currently, he is also on the board of Sitryx Therapeutics (co-founder), Levicept, and Citryll. He is a 2021 PharmaVOICE100 honoree (100 most inspiring people in life sciences). We believe Dr. Tak’s scientific expertise, extensive managerial and operational experience in the biotechnology industry, and familiarity with Candel as our Chief Executive Officer provide him with the appropriate set of skills to serve as a member of our board of directors.</w:t>
      </w:r>
    </w:p>
    <w:p>
      <w:pPr>
        <w:sectPr>
          <w:pgSz w:w="12240" w:h="15840" w:orient="portrait"/>
          <w:cols w:equalWidth="0" w:num="1">
            <w:col w:w="9360"/>
          </w:cols>
          <w:pgMar w:left="1440" w:top="1416" w:right="1440" w:bottom="991" w:gutter="0" w:footer="0" w:header="0"/>
        </w:sectPr>
      </w:pPr>
    </w:p>
    <w:bookmarkStart w:id="151" w:name="page152"/>
    <w:bookmarkEnd w:id="151"/>
    <w:p>
      <w:pPr>
        <w:spacing w:after="0" w:line="187" w:lineRule="exact"/>
        <w:rPr>
          <w:sz w:val="20"/>
          <w:szCs w:val="20"/>
          <w:color w:val="auto"/>
        </w:rPr>
      </w:pPr>
    </w:p>
    <w:p>
      <w:pPr>
        <w:ind w:right="120"/>
        <w:spacing w:after="0" w:line="245" w:lineRule="auto"/>
        <w:rPr>
          <w:sz w:val="20"/>
          <w:szCs w:val="20"/>
          <w:color w:val="auto"/>
        </w:rPr>
      </w:pPr>
      <w:r>
        <w:rPr>
          <w:rFonts w:ascii="Arial" w:cs="Arial" w:eastAsia="Arial" w:hAnsi="Arial"/>
          <w:sz w:val="19"/>
          <w:szCs w:val="19"/>
          <w:i w:val="1"/>
          <w:iCs w:val="1"/>
          <w:color w:val="auto"/>
        </w:rPr>
        <w:t xml:space="preserve">Charles Schoch </w:t>
      </w:r>
      <w:r>
        <w:rPr>
          <w:rFonts w:ascii="Arial" w:cs="Arial" w:eastAsia="Arial" w:hAnsi="Arial"/>
          <w:sz w:val="19"/>
          <w:szCs w:val="19"/>
          <w:color w:val="auto"/>
        </w:rPr>
        <w:t>has served as Candel’s interim Chief Financial Officer, principal financial officer and principal</w:t>
      </w:r>
      <w:r>
        <w:rPr>
          <w:rFonts w:ascii="Arial" w:cs="Arial" w:eastAsia="Arial" w:hAnsi="Arial"/>
          <w:sz w:val="19"/>
          <w:szCs w:val="19"/>
          <w:i w:val="1"/>
          <w:iCs w:val="1"/>
          <w:color w:val="auto"/>
        </w:rPr>
        <w:t xml:space="preserve"> </w:t>
      </w:r>
      <w:r>
        <w:rPr>
          <w:rFonts w:ascii="Arial" w:cs="Arial" w:eastAsia="Arial" w:hAnsi="Arial"/>
          <w:sz w:val="19"/>
          <w:szCs w:val="19"/>
          <w:color w:val="auto"/>
        </w:rPr>
        <w:t>accounting officer, since January 2024. He previously served as Candel’s Vice President of Finance and Corporate Controller from March 2023 to January 2024. Mr. Schoch joined Candel in November 2021 as Corporate Controller and has served in various financial reporting and accounting positions of increasing responsibility. Prior to joining Candel, Mr. Schoch was the Corporate Controller at Corbus Pharmaceuticals from September 2020 to November 2021 and previously worked in the Health Industry assurance practice of PricewaterhouseCoopers from September 2013 to August 2020. Mr. Schoch holds an M.B.A. and M.S.A. from Northeastern University and a B.S. in Business Administration with a concentration in Finance from Elon University. Mr. Schoch is a Certified Public Accountant in the Commonwealth of Massachusetts.</w:t>
      </w:r>
    </w:p>
    <w:p>
      <w:pPr>
        <w:spacing w:after="0" w:line="196" w:lineRule="exact"/>
        <w:rPr>
          <w:sz w:val="20"/>
          <w:szCs w:val="20"/>
          <w:color w:val="auto"/>
        </w:rPr>
      </w:pPr>
    </w:p>
    <w:p>
      <w:pPr>
        <w:ind w:right="60"/>
        <w:spacing w:after="0" w:line="252" w:lineRule="auto"/>
        <w:rPr>
          <w:sz w:val="20"/>
          <w:szCs w:val="20"/>
          <w:color w:val="auto"/>
        </w:rPr>
      </w:pPr>
      <w:r>
        <w:rPr>
          <w:rFonts w:ascii="Arial" w:cs="Arial" w:eastAsia="Arial" w:hAnsi="Arial"/>
          <w:sz w:val="19"/>
          <w:szCs w:val="19"/>
          <w:i w:val="1"/>
          <w:iCs w:val="1"/>
          <w:color w:val="auto"/>
        </w:rPr>
        <w:t>Francesca Barone, M.D., Ph.D.</w:t>
      </w:r>
      <w:r>
        <w:rPr>
          <w:rFonts w:ascii="Arial" w:cs="Arial" w:eastAsia="Arial" w:hAnsi="Arial"/>
          <w:sz w:val="19"/>
          <w:szCs w:val="19"/>
          <w:color w:val="auto"/>
        </w:rPr>
        <w:t>, has been Candel’s Chief Scientific Officer since February 2022 and previously</w:t>
      </w:r>
      <w:r>
        <w:rPr>
          <w:rFonts w:ascii="Arial" w:cs="Arial" w:eastAsia="Arial" w:hAnsi="Arial"/>
          <w:sz w:val="19"/>
          <w:szCs w:val="19"/>
          <w:i w:val="1"/>
          <w:iCs w:val="1"/>
          <w:color w:val="auto"/>
        </w:rPr>
        <w:t xml:space="preserve"> </w:t>
      </w:r>
      <w:r>
        <w:rPr>
          <w:rFonts w:ascii="Arial" w:cs="Arial" w:eastAsia="Arial" w:hAnsi="Arial"/>
          <w:sz w:val="19"/>
          <w:szCs w:val="19"/>
          <w:color w:val="auto"/>
        </w:rPr>
        <w:t>served as our Vice President, Head of Research from November 2020 to February 2022. She joined Candel in November 2020 as head of experimental medicine and discovery, overseeing the implementation of biological measures of outcome and biomarker studies in the clinical pipeline, and directing the design of Candel’s novel discovery platform. Before joining Candel, Dr. Barone served as VP and Head of Experimental Medicine at Kintai Therapeutics, Inc, a Flagship Pioneering, Inc. company, from May 2019 through its merger into Senda Biosciences, Inc., in November 2021. Prior to moving to industry, Dr. Barone served as Reader (Associate Professor) in Experimental Rheumatology at the University of Birmingham (UK) from February 2010 until December 2019. During her tenure she also served as Academic Director of Business Engagement for the College of Medical and Dental Sciences and Director of the laboratories for Immuno-phenotyping in the Institute of Translational Medicine. She has published extensively in peer-reviewed journals, was the recipient of two fellowships to support her research program and led efforts to establish collaborative alliances between the University of Birmingham and world leader pharmacology industries. She received her medical degree cum laude from the University of Rome, Sapienza and was trained in the same university as a Rheumatologist. She received her Ph.D. at Kings College, London.</w:t>
      </w:r>
    </w:p>
    <w:p>
      <w:pPr>
        <w:spacing w:after="0" w:line="189" w:lineRule="exact"/>
        <w:rPr>
          <w:sz w:val="20"/>
          <w:szCs w:val="20"/>
          <w:color w:val="auto"/>
        </w:rPr>
      </w:pPr>
    </w:p>
    <w:p>
      <w:pPr>
        <w:ind w:right="40"/>
        <w:spacing w:after="0" w:line="253" w:lineRule="auto"/>
        <w:rPr>
          <w:sz w:val="20"/>
          <w:szCs w:val="20"/>
          <w:color w:val="auto"/>
        </w:rPr>
      </w:pPr>
      <w:r>
        <w:rPr>
          <w:rFonts w:ascii="Arial" w:cs="Arial" w:eastAsia="Arial" w:hAnsi="Arial"/>
          <w:sz w:val="19"/>
          <w:szCs w:val="19"/>
          <w:i w:val="1"/>
          <w:iCs w:val="1"/>
          <w:color w:val="auto"/>
        </w:rPr>
        <w:t>W. Garrett Nichols, M.D., M.S.</w:t>
      </w:r>
      <w:r>
        <w:rPr>
          <w:rFonts w:ascii="Arial" w:cs="Arial" w:eastAsia="Arial" w:hAnsi="Arial"/>
          <w:sz w:val="19"/>
          <w:szCs w:val="19"/>
          <w:color w:val="auto"/>
        </w:rPr>
        <w:t>, has been Candel’s Chief Medical Officer since September 2022. Dr. Nichols</w:t>
      </w:r>
      <w:r>
        <w:rPr>
          <w:rFonts w:ascii="Arial" w:cs="Arial" w:eastAsia="Arial" w:hAnsi="Arial"/>
          <w:sz w:val="19"/>
          <w:szCs w:val="19"/>
          <w:i w:val="1"/>
          <w:iCs w:val="1"/>
          <w:color w:val="auto"/>
        </w:rPr>
        <w:t xml:space="preserve"> </w:t>
      </w:r>
      <w:r>
        <w:rPr>
          <w:rFonts w:ascii="Arial" w:cs="Arial" w:eastAsia="Arial" w:hAnsi="Arial"/>
          <w:sz w:val="19"/>
          <w:szCs w:val="19"/>
          <w:color w:val="auto"/>
        </w:rPr>
        <w:t>has also served as the Chief Medical Officer of Istari Oncology, Inc. since April 2020. Previously, Dr. Nichols served as the Chief Medical Officer of Chimerix, Inc., from September 2014 until April 2020. From April 2014 until September 2014, Dr. Nichols was Head of Global Development of ViiV Healthcare, LTD. Dr. Nichols served in various positions of increasing responsibility at GSK from December 2008 until April 2014, most recently serving as Vice President of Clinical Development and Medicine Development Leader for Dolutegravir (Tivicay, S/GSK1349572, HIV Integrase Inhibitor). Dr. Nichols received an M.D. from Duke University School of Medicine, an M.S. in Epidemiology and Biostatistics from the University of Washington, and a B.A. from the University of Virginia.</w:t>
      </w:r>
    </w:p>
    <w:p>
      <w:pPr>
        <w:spacing w:after="0" w:line="181" w:lineRule="exact"/>
        <w:rPr>
          <w:sz w:val="20"/>
          <w:szCs w:val="20"/>
          <w:color w:val="auto"/>
        </w:rPr>
      </w:pPr>
    </w:p>
    <w:p>
      <w:pPr>
        <w:ind w:right="40"/>
        <w:spacing w:after="0" w:line="235" w:lineRule="auto"/>
        <w:rPr>
          <w:sz w:val="20"/>
          <w:szCs w:val="20"/>
          <w:color w:val="auto"/>
        </w:rPr>
      </w:pPr>
      <w:r>
        <w:rPr>
          <w:rFonts w:ascii="Arial" w:cs="Arial" w:eastAsia="Arial" w:hAnsi="Arial"/>
          <w:sz w:val="19"/>
          <w:szCs w:val="19"/>
          <w:i w:val="1"/>
          <w:iCs w:val="1"/>
          <w:color w:val="auto"/>
        </w:rPr>
        <w:t>Seshu Tyagarajan, Ph.D., RAC</w:t>
      </w:r>
      <w:r>
        <w:rPr>
          <w:rFonts w:ascii="Arial" w:cs="Arial" w:eastAsia="Arial" w:hAnsi="Arial"/>
          <w:sz w:val="19"/>
          <w:szCs w:val="19"/>
          <w:color w:val="auto"/>
        </w:rPr>
        <w:t>, has been Chief Technical and Development Officer at Candel Therapeutics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since April 2022. She brings over two decades of technical, manufacturing and development experience in biologics and cell and gene therapies (CGT). Before joining Candel, Dr. Tyagarajan served as Executive Director and Global Head, Late Stage CMC Strategy for CGT at Novartis AG, or Novartis (NYSE: NVS), from August 2020 to February 2022. She also served as the Business Leader of Microsoft-NVS AI Partnership at Novartis from August 2019 to March 2021. Prior to that, Dr. Tyagarajan served as Director and Global Program CMC Team Leader for CAR-T at Novartis from June 2014 to July 2020. As a member of the Novartis leadership team, she was responsible for building a CGT pipeline by integrating, development and manufacturing, and for driving clinical and commercial manufacturing strategy for the CAR-T platform. She successfully led several BLAs/MAAs and INDs and was a key contributor to the groundbreaking BLA submission for Kymriah </w:t>
      </w:r>
      <w:r>
        <w:rPr>
          <w:rFonts w:ascii="Arial" w:cs="Arial" w:eastAsia="Arial" w:hAnsi="Arial"/>
          <w:sz w:val="24"/>
          <w:szCs w:val="24"/>
          <w:color w:val="auto"/>
          <w:vertAlign w:val="superscript"/>
        </w:rPr>
        <w:t>®</w:t>
      </w:r>
      <w:r>
        <w:rPr>
          <w:rFonts w:ascii="Arial" w:cs="Arial" w:eastAsia="Arial" w:hAnsi="Arial"/>
          <w:sz w:val="19"/>
          <w:szCs w:val="19"/>
          <w:color w:val="auto"/>
        </w:rPr>
        <w:t>, the first ever CAR-T therapy approved by the FDA. Prior to Novartis, Dr. Tyagarajan held roles of increasing responsibility at Merck &amp; Co Inc. (NYSE: MRK), Roche Holding AG (OTCM: RRHBY), Biogen Idec (now Biogen Inc. (Nasdaq: BIIB)), and ImClone, a subsidiary of Eli Lilly and Co. (NYSE: LLY).</w:t>
      </w:r>
    </w:p>
    <w:p>
      <w:pPr>
        <w:ind w:right="40"/>
        <w:spacing w:after="0" w:line="282" w:lineRule="auto"/>
        <w:rPr>
          <w:sz w:val="20"/>
          <w:szCs w:val="20"/>
          <w:color w:val="auto"/>
        </w:rPr>
      </w:pPr>
      <w:r>
        <w:rPr>
          <w:rFonts w:ascii="Arial" w:cs="Arial" w:eastAsia="Arial" w:hAnsi="Arial"/>
          <w:sz w:val="19"/>
          <w:szCs w:val="19"/>
          <w:color w:val="auto"/>
        </w:rPr>
        <w:t>Dr. Tyagarajan holds a Ph.D. in Chemical and Biochemical Engineering from Rutgers University and an M.S. in Bioengineering from Purdue University.</w:t>
      </w: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Non-Employee Directors</w:t>
      </w:r>
    </w:p>
    <w:p>
      <w:pPr>
        <w:spacing w:after="0" w:line="281" w:lineRule="exact"/>
        <w:rPr>
          <w:sz w:val="20"/>
          <w:szCs w:val="20"/>
          <w:color w:val="auto"/>
        </w:rPr>
      </w:pPr>
    </w:p>
    <w:p>
      <w:pPr>
        <w:ind w:right="220"/>
        <w:spacing w:after="0" w:line="293" w:lineRule="auto"/>
        <w:rPr>
          <w:sz w:val="20"/>
          <w:szCs w:val="20"/>
          <w:color w:val="auto"/>
        </w:rPr>
      </w:pPr>
      <w:r>
        <w:rPr>
          <w:rFonts w:ascii="Arial" w:cs="Arial" w:eastAsia="Arial" w:hAnsi="Arial"/>
          <w:sz w:val="19"/>
          <w:szCs w:val="19"/>
          <w:i w:val="1"/>
          <w:iCs w:val="1"/>
          <w:color w:val="auto"/>
        </w:rPr>
        <w:t xml:space="preserve">Paul B. Manning </w:t>
      </w:r>
      <w:r>
        <w:rPr>
          <w:rFonts w:ascii="Arial" w:cs="Arial" w:eastAsia="Arial" w:hAnsi="Arial"/>
          <w:sz w:val="19"/>
          <w:szCs w:val="19"/>
          <w:color w:val="auto"/>
        </w:rPr>
        <w:t>has served as a member of Candel’s board of directors since November 2018. Mr. Manning</w:t>
      </w:r>
      <w:r>
        <w:rPr>
          <w:rFonts w:ascii="Arial" w:cs="Arial" w:eastAsia="Arial" w:hAnsi="Arial"/>
          <w:sz w:val="19"/>
          <w:szCs w:val="19"/>
          <w:i w:val="1"/>
          <w:iCs w:val="1"/>
          <w:color w:val="auto"/>
        </w:rPr>
        <w:t xml:space="preserve"> </w:t>
      </w:r>
      <w:r>
        <w:rPr>
          <w:rFonts w:ascii="Arial" w:cs="Arial" w:eastAsia="Arial" w:hAnsi="Arial"/>
          <w:sz w:val="19"/>
          <w:szCs w:val="19"/>
          <w:color w:val="auto"/>
        </w:rPr>
        <w:t>currently serves as the Chief Executive Officer of PBM Capital Group, LLC, or PBM Capital, a private equity</w:t>
      </w:r>
    </w:p>
    <w:p>
      <w:pPr>
        <w:sectPr>
          <w:pgSz w:w="12240" w:h="15840" w:orient="portrait"/>
          <w:cols w:equalWidth="0" w:num="1">
            <w:col w:w="9360"/>
          </w:cols>
          <w:pgMar w:left="1440" w:top="1440" w:right="1440" w:bottom="1014" w:gutter="0" w:footer="0" w:header="0"/>
        </w:sectPr>
      </w:pPr>
    </w:p>
    <w:bookmarkStart w:id="152" w:name="page153"/>
    <w:bookmarkEnd w:id="152"/>
    <w:p>
      <w:pPr>
        <w:ind w:right="20"/>
        <w:spacing w:after="0" w:line="255" w:lineRule="auto"/>
        <w:rPr>
          <w:sz w:val="20"/>
          <w:szCs w:val="20"/>
          <w:color w:val="auto"/>
        </w:rPr>
      </w:pPr>
      <w:r>
        <w:rPr>
          <w:rFonts w:ascii="Arial" w:cs="Arial" w:eastAsia="Arial" w:hAnsi="Arial"/>
          <w:sz w:val="19"/>
          <w:szCs w:val="19"/>
          <w:color w:val="auto"/>
        </w:rPr>
        <w:t>investment firm in the business of investing in healthcare and life-science related companies, which he founded in 2010. Mr. Manning is a member of the board of directors of Liquidia Corporation (Nasdaq: LQDA) and Taysha Gene Therapies, Inc. (Nasdaq: TSHA), and he currently serves as Chairman of the board of directors of Verrica Pharmaceuticals Inc. (Nasdaq: VRCA). He previously served on the board of directors of Dova Pharmaceuticals, Inc., a biopharmaceutical company, from September 2016 to November 2019, and AveXis, Inc., a gene therapy company, from April 2014 to May 2018. Mr. Manning received a B.S. in microbiology from the University of Massachusetts. We believe Mr. Manning’s 30 years of managerial and operational experience in the healthcare industry and as an investor in healthcare related companies provides him with the appropriate set of skills to serve as a member of our board of directors.</w:t>
      </w:r>
    </w:p>
    <w:p>
      <w:pPr>
        <w:spacing w:after="0" w:line="232" w:lineRule="exact"/>
        <w:rPr>
          <w:sz w:val="20"/>
          <w:szCs w:val="20"/>
          <w:color w:val="auto"/>
        </w:rPr>
      </w:pPr>
    </w:p>
    <w:p>
      <w:pPr>
        <w:spacing w:after="0" w:line="252" w:lineRule="auto"/>
        <w:rPr>
          <w:sz w:val="20"/>
          <w:szCs w:val="20"/>
          <w:color w:val="auto"/>
        </w:rPr>
      </w:pPr>
      <w:r>
        <w:rPr>
          <w:rFonts w:ascii="Arial" w:cs="Arial" w:eastAsia="Arial" w:hAnsi="Arial"/>
          <w:sz w:val="19"/>
          <w:szCs w:val="19"/>
          <w:i w:val="1"/>
          <w:iCs w:val="1"/>
          <w:color w:val="auto"/>
        </w:rPr>
        <w:t>Estuardo Aguilar-Cordova, M.D., inf., Ph.D.</w:t>
      </w:r>
      <w:r>
        <w:rPr>
          <w:rFonts w:ascii="Arial" w:cs="Arial" w:eastAsia="Arial" w:hAnsi="Arial"/>
          <w:sz w:val="19"/>
          <w:szCs w:val="19"/>
          <w:color w:val="auto"/>
        </w:rPr>
        <w:t>, is Candel’s Founder, previously served as Candel’s Chief</w:t>
      </w:r>
      <w:r>
        <w:rPr>
          <w:rFonts w:ascii="Arial" w:cs="Arial" w:eastAsia="Arial" w:hAnsi="Arial"/>
          <w:sz w:val="19"/>
          <w:szCs w:val="19"/>
          <w:i w:val="1"/>
          <w:iCs w:val="1"/>
          <w:color w:val="auto"/>
        </w:rPr>
        <w:t xml:space="preserve"> </w:t>
      </w:r>
      <w:r>
        <w:rPr>
          <w:rFonts w:ascii="Arial" w:cs="Arial" w:eastAsia="Arial" w:hAnsi="Arial"/>
          <w:sz w:val="19"/>
          <w:szCs w:val="19"/>
          <w:color w:val="auto"/>
        </w:rPr>
        <w:t>Scientific Officer from September 2020 to February 2022 and as Candel’s Chief Executive Officer from 2002 until September 2020, and has served as a member of Candel’s board of directors since 2003. He has more than 30 years of experience in the fields of biotherapeutics, cancer research and drug development, including serving as principal or co-investigator in more than 25 clinical trials ranging from Phase I to Phase III. Prior to starting Candel, Dr. Aguilar-Cordova held academic positions for nearly two decades. Most recently, he was deputy director of the Harvard Gene Therapy Initiative at Harvard Medical School in Boston and was a faculty member in Pediatrics, Hematology-Oncology at Baylor College of Medicine in Houston. He has served on numerous national oversight committees, including roles as chairman and member of the NIH Recombinant Advisory Committee (RAC), as a consultant to the FDA Biological Response Modifiers Advisory Committee (BRMAC), and as a member of the Vaccine and Related Products Advisory Committee (VRPAC). Dr. Aguilar-Cordova has also held other appointments including president of the Latin American Gene Therapy Society. Dr. Aguilar-Cordova has published more than 80 peer- reviewed scientific publications and book chapters, is on the editorial board of various professional journals and is an inventor on several patent applications. Dr. Aguilar-Cordova has an undergraduate degree in Biology and Chemistry from California State University, Bakersfield, an M.D. Inf. from the University del Valle de Guatemala and a Ph.D. from the University of California, Davis. We believe Dr. Aguilar-Cordova’s experience and expertise in the fields of hematology and oncology, and his knowledge of Candel as a Founder and former executive officer provide him with the appropriate set of skills to serve as a member of our board of directors.</w:t>
      </w:r>
    </w:p>
    <w:p>
      <w:pPr>
        <w:spacing w:after="0" w:line="200"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i w:val="1"/>
          <w:iCs w:val="1"/>
          <w:color w:val="auto"/>
        </w:rPr>
        <w:t>Edward J. Benz, Jr., M.D.</w:t>
      </w:r>
      <w:r>
        <w:rPr>
          <w:rFonts w:ascii="Arial" w:cs="Arial" w:eastAsia="Arial" w:hAnsi="Arial"/>
          <w:sz w:val="18"/>
          <w:szCs w:val="18"/>
          <w:color w:val="auto"/>
        </w:rPr>
        <w:t>, has served as a member of Candel’s board of directors since September 2017. Dr.</w:t>
      </w:r>
      <w:r>
        <w:rPr>
          <w:rFonts w:ascii="Arial" w:cs="Arial" w:eastAsia="Arial" w:hAnsi="Arial"/>
          <w:sz w:val="18"/>
          <w:szCs w:val="18"/>
          <w:i w:val="1"/>
          <w:iCs w:val="1"/>
          <w:color w:val="auto"/>
        </w:rPr>
        <w:t xml:space="preserve"> </w:t>
      </w:r>
      <w:r>
        <w:rPr>
          <w:rFonts w:ascii="Arial" w:cs="Arial" w:eastAsia="Arial" w:hAnsi="Arial"/>
          <w:sz w:val="18"/>
          <w:szCs w:val="18"/>
          <w:color w:val="auto"/>
        </w:rPr>
        <w:t>Benz is the President and CEO Emeritus of the Dana-Farber Cancer Institute and a member of the Dana - Farber Cancer Institute Board of Directors. Dr. Benz is an expert in blood disorders and is board certified in both hematology and internal medicine. He is an active clinical hematologist and a National Institutes of Health, or NIH, funded researcher with a focus on the molecular basis and genetics around inherited blood disorders. From October 2000 until his retirement in October 2016, Dr. Benz served as President and CEO of Dana-Faber Cancer Institute and the Richard and Susan Smith Professor of Medicine and Professor of Genetics at Harvard Medical School. Prior to his role at Dana-Farber, Dr. Benz served as chairman for the Department of Medicine and Sir William Osler Professor of Medicine at Johns Hopkins University School of Medicine, as well as physician in chief at Johns Hopkins Hospital. Dr. Benz has also served as President of the American Society of Hematology, the Association of American Cancer Institutes, the American Society for Clinical Investigation, the American Clinical and Climatological Society, and the Friends of the National Institute of Nursing Research. Over the course of his career, Dr. Benz has authored more than 300 articles, books, reviews and abstracts and has received numerous awards. Dr. Benz serves on the board of directors of Deciphera Pharmaceuticals, Inc. (Nasdaq: DCPH), and CoRegen, Inc., and he serves on our Research Advisory Board. Dr. Benz previously served on the board of directors of F Star Therapeutics, Inc. (formerly Nasdaq: FSTX) and Renovacor (formerly NYSE: RCOR). We believe Dr. Benz’s experience in the field of hematology and blood disorders provides him with the appropriate set of skills to serve as a member of our board of directors.</w:t>
      </w:r>
    </w:p>
    <w:p>
      <w:pPr>
        <w:spacing w:after="0" w:line="200" w:lineRule="exact"/>
        <w:rPr>
          <w:sz w:val="20"/>
          <w:szCs w:val="20"/>
          <w:color w:val="auto"/>
        </w:rPr>
      </w:pPr>
    </w:p>
    <w:p>
      <w:pPr>
        <w:spacing w:after="0" w:line="214" w:lineRule="exact"/>
        <w:rPr>
          <w:sz w:val="20"/>
          <w:szCs w:val="20"/>
          <w:color w:val="auto"/>
        </w:rPr>
      </w:pPr>
    </w:p>
    <w:p>
      <w:pPr>
        <w:ind w:right="180"/>
        <w:spacing w:after="0" w:line="270" w:lineRule="auto"/>
        <w:rPr>
          <w:sz w:val="20"/>
          <w:szCs w:val="20"/>
          <w:color w:val="auto"/>
        </w:rPr>
      </w:pPr>
      <w:r>
        <w:rPr>
          <w:rFonts w:ascii="Arial" w:cs="Arial" w:eastAsia="Arial" w:hAnsi="Arial"/>
          <w:sz w:val="18"/>
          <w:szCs w:val="18"/>
          <w:i w:val="1"/>
          <w:iCs w:val="1"/>
          <w:color w:val="auto"/>
        </w:rPr>
        <w:t xml:space="preserve">Renee Gaeta </w:t>
      </w:r>
      <w:r>
        <w:rPr>
          <w:rFonts w:ascii="Arial" w:cs="Arial" w:eastAsia="Arial" w:hAnsi="Arial"/>
          <w:sz w:val="18"/>
          <w:szCs w:val="18"/>
          <w:color w:val="auto"/>
        </w:rPr>
        <w:t>has served as a member of Candel’s board of directors since August 2022. Ms. Gaeta also</w:t>
      </w:r>
      <w:r>
        <w:rPr>
          <w:rFonts w:ascii="Arial" w:cs="Arial" w:eastAsia="Arial" w:hAnsi="Arial"/>
          <w:sz w:val="18"/>
          <w:szCs w:val="18"/>
          <w:i w:val="1"/>
          <w:iCs w:val="1"/>
          <w:color w:val="auto"/>
        </w:rPr>
        <w:t xml:space="preserve"> </w:t>
      </w:r>
      <w:r>
        <w:rPr>
          <w:rFonts w:ascii="Arial" w:cs="Arial" w:eastAsia="Arial" w:hAnsi="Arial"/>
          <w:sz w:val="18"/>
          <w:szCs w:val="18"/>
          <w:color w:val="auto"/>
        </w:rPr>
        <w:t>serves as the Chief Financial Officer of Shockwave Medical (NASDAQ: SWAV), a position she has held since February 2024. Prior to that, from July 2021 to February 2024, Ms. Gaeta served as Chief Financial Officer of Eko Devices, Inc., a private company focused on cardiopulmonary digital health solutions, a position she has held since July 2021. Prior to that, from July 2017 to July 2021, Ms. Gaeta was Chief Financial Officer at Establishment Labs Holdings, Inc., a publicly traded global medical device company focused on aesthetic technologies. From August 2014 to June 2017, Ms. Gaeta was Vice President and Corporate Controller at</w:t>
      </w:r>
    </w:p>
    <w:p>
      <w:pPr>
        <w:sectPr>
          <w:pgSz w:w="12240" w:h="15840" w:orient="portrait"/>
          <w:cols w:equalWidth="0" w:num="1">
            <w:col w:w="9360"/>
          </w:cols>
          <w:pgMar w:left="1440" w:top="1430" w:right="1440" w:bottom="1006" w:gutter="0" w:footer="0" w:header="0"/>
        </w:sectPr>
      </w:pPr>
    </w:p>
    <w:bookmarkStart w:id="153" w:name="page154"/>
    <w:bookmarkEnd w:id="153"/>
    <w:p>
      <w:pPr>
        <w:spacing w:after="0" w:line="252" w:lineRule="auto"/>
        <w:rPr>
          <w:sz w:val="20"/>
          <w:szCs w:val="20"/>
          <w:color w:val="auto"/>
        </w:rPr>
      </w:pPr>
      <w:r>
        <w:rPr>
          <w:rFonts w:ascii="Arial" w:cs="Arial" w:eastAsia="Arial" w:hAnsi="Arial"/>
          <w:sz w:val="19"/>
          <w:szCs w:val="19"/>
          <w:color w:val="auto"/>
        </w:rPr>
        <w:t>Sientra, Inc., a publicly traded global medical aesthetics company, where she was a member of the executive team and headed the finance department. From 2004 to 2014, Ms. Gaeta worked at KPMG, LLP, or KPMG. Ms. Gaeta held various positions at KPMG, most recently as an Advisory Director in the Transactions and Restructuring Group. Ms. Gaeta also served as a director of SeaSpine Holdings Corp (Nasdaq: SPNE) from February 2019 until January 2023, when it was acquired by Orthofix Medical Inc. (Nasdaq: OFIX). Ms. Gaeta received her B.S., cum laude, in Accounting from Loyola Marymount University and is a Certified Public Accountant in the State of California. We believe Ms. Gaeta’s extensive experience and expertise in financial operations, particularly in the medical device industry, provide her with the appropriate set of skills to serve as a member of our board of directors.</w:t>
      </w:r>
    </w:p>
    <w:p>
      <w:pPr>
        <w:spacing w:after="0" w:line="187" w:lineRule="exact"/>
        <w:rPr>
          <w:sz w:val="20"/>
          <w:szCs w:val="20"/>
          <w:color w:val="auto"/>
        </w:rPr>
      </w:pPr>
    </w:p>
    <w:p>
      <w:pPr>
        <w:ind w:right="20"/>
        <w:spacing w:after="0" w:line="253" w:lineRule="auto"/>
        <w:rPr>
          <w:sz w:val="20"/>
          <w:szCs w:val="20"/>
          <w:color w:val="auto"/>
        </w:rPr>
      </w:pPr>
      <w:r>
        <w:rPr>
          <w:rFonts w:ascii="Arial" w:cs="Arial" w:eastAsia="Arial" w:hAnsi="Arial"/>
          <w:sz w:val="19"/>
          <w:szCs w:val="19"/>
          <w:i w:val="1"/>
          <w:iCs w:val="1"/>
          <w:color w:val="auto"/>
        </w:rPr>
        <w:t>Nicoletta Loggia, Ph.D., R.Ph.</w:t>
      </w:r>
      <w:r>
        <w:rPr>
          <w:rFonts w:ascii="Arial" w:cs="Arial" w:eastAsia="Arial" w:hAnsi="Arial"/>
          <w:sz w:val="19"/>
          <w:szCs w:val="19"/>
          <w:color w:val="auto"/>
        </w:rPr>
        <w:t>, has served as a member of Candel’s board of directors since June 2023. Dr.</w:t>
      </w:r>
      <w:r>
        <w:rPr>
          <w:rFonts w:ascii="Arial" w:cs="Arial" w:eastAsia="Arial" w:hAnsi="Arial"/>
          <w:sz w:val="19"/>
          <w:szCs w:val="19"/>
          <w:i w:val="1"/>
          <w:iCs w:val="1"/>
          <w:color w:val="auto"/>
        </w:rPr>
        <w:t xml:space="preserve"> </w:t>
      </w:r>
      <w:r>
        <w:rPr>
          <w:rFonts w:ascii="Arial" w:cs="Arial" w:eastAsia="Arial" w:hAnsi="Arial"/>
          <w:sz w:val="19"/>
          <w:szCs w:val="19"/>
          <w:color w:val="auto"/>
        </w:rPr>
        <w:t>Loggia also serves as chief technical officer of Orchard Therapeutics plc (Nasdaq: ORTX), a position she has held since September 2021. Prior to that, from 2004 to August 2021, Dr. Loggia served in various positions at Novartis AG (NYSE: NVS), most recently as Global Head of Cell and Gene Therapies from April 2020 to August 2021, as Global Head of Technical Development Biologics and Cell Gene Therapies from January 2019 to April 2020, and as Global Head of Technical Development of Novel Biologic Entities and Early Phase Project Management from 2015 until December 2018. Earlier in her career, Dr. Loggia served as a Formulation Senior and Principal Scientist at Pfizer (NYSE: PFE). Dr. Loggia is also an advisory board member of Sarcura GmbH, a position she has held since May 2022. Dr. Loggia received her master’s degree in Chemistry and Pharmaceutical Technologies, and her Ph.D. in Pharmaceutical Technologies, from the University of Pavia. Dr. Loggia also received her accreditation from the Startup Board Member Academy of the École polytechnique fédérale de Lausanne. We believe Dr. Loggia’s experience and expertise in biopharmaceutical manufacturing and technical operations provides her with the appropriate set of skills to serve as a member of our board of directors.</w:t>
      </w:r>
    </w:p>
    <w:p>
      <w:pPr>
        <w:spacing w:after="0" w:line="185" w:lineRule="exact"/>
        <w:rPr>
          <w:sz w:val="20"/>
          <w:szCs w:val="20"/>
          <w:color w:val="auto"/>
        </w:rPr>
      </w:pPr>
    </w:p>
    <w:p>
      <w:pPr>
        <w:spacing w:after="0" w:line="244" w:lineRule="auto"/>
        <w:rPr>
          <w:sz w:val="20"/>
          <w:szCs w:val="20"/>
          <w:color w:val="auto"/>
        </w:rPr>
      </w:pPr>
      <w:r>
        <w:rPr>
          <w:rFonts w:ascii="Arial" w:cs="Arial" w:eastAsia="Arial" w:hAnsi="Arial"/>
          <w:sz w:val="19"/>
          <w:szCs w:val="19"/>
          <w:i w:val="1"/>
          <w:iCs w:val="1"/>
          <w:color w:val="auto"/>
        </w:rPr>
        <w:t xml:space="preserve">Christopher Martell </w:t>
      </w:r>
      <w:r>
        <w:rPr>
          <w:rFonts w:ascii="Arial" w:cs="Arial" w:eastAsia="Arial" w:hAnsi="Arial"/>
          <w:sz w:val="19"/>
          <w:szCs w:val="19"/>
          <w:color w:val="auto"/>
        </w:rPr>
        <w:t>has served as a member of Candel’s board of directors since November 2018. Mr. Martell</w:t>
      </w:r>
      <w:r>
        <w:rPr>
          <w:rFonts w:ascii="Arial" w:cs="Arial" w:eastAsia="Arial" w:hAnsi="Arial"/>
          <w:sz w:val="19"/>
          <w:szCs w:val="19"/>
          <w:i w:val="1"/>
          <w:iCs w:val="1"/>
          <w:color w:val="auto"/>
        </w:rPr>
        <w:t xml:space="preserve"> </w:t>
      </w:r>
      <w:r>
        <w:rPr>
          <w:rFonts w:ascii="Arial" w:cs="Arial" w:eastAsia="Arial" w:hAnsi="Arial"/>
          <w:sz w:val="19"/>
          <w:szCs w:val="19"/>
          <w:color w:val="auto"/>
        </w:rPr>
        <w:t>is the manager of GTAM1 2012 ADV LLC and an investor at Martell Capital. Previously, Mr. Martell was a Partner at PBM Capital in 2018. Prior to joining PBM Capital, Mr. Martell had an 18-year career at J.P. Morgan where he was a managing director in the Healthcare Investment Banking and Mergers and Acquisitions groups. He led the execution of a wide range of transactions including mergers and acquisitions, spin-offs and corporate separations, initial public offerings and equity and debt financings for medical device, life science tool and diagnostic, pharmaceutical and biotechnology companies. Mr. Martell graduated from Yale University with a B.A. in Ethics, Politics and Economics. We believe Mr. Martell’s broad financial and investment banking experience, financial and transactional expertise and acumen in mergers and acquisitions and complex financial transactions provides him with the appropriate set of skills to serve as a member of our board of directors.</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Gary J. Nabel, M.D., Ph.D.</w:t>
      </w:r>
      <w:r>
        <w:rPr>
          <w:rFonts w:ascii="Arial" w:cs="Arial" w:eastAsia="Arial" w:hAnsi="Arial"/>
          <w:sz w:val="19"/>
          <w:szCs w:val="19"/>
          <w:color w:val="auto"/>
        </w:rPr>
        <w:t>, has served as a member of Candel’s board of directors since August 2022.</w:t>
      </w:r>
    </w:p>
    <w:p>
      <w:pPr>
        <w:ind w:right="140"/>
        <w:spacing w:after="0" w:line="242" w:lineRule="auto"/>
        <w:rPr>
          <w:sz w:val="20"/>
          <w:szCs w:val="20"/>
          <w:color w:val="auto"/>
        </w:rPr>
      </w:pPr>
      <w:r>
        <w:rPr>
          <w:rFonts w:ascii="Arial" w:cs="Arial" w:eastAsia="Arial" w:hAnsi="Arial"/>
          <w:sz w:val="19"/>
          <w:szCs w:val="19"/>
          <w:color w:val="auto"/>
        </w:rPr>
        <w:t>Dr. Nabel, a renowned virologist and immunologist, has served as Chief Innovation Officer of OPKO Health, Inc., or OPKO Health (Nasdaq: OPK), and as a member of its board of directors since May 2022. Dr. Nabel also serves as President and Chief Executive Officer of ModeX Therapeutics, Inc., or ModeX, a wholly-owned subsidiary of OPKO Health, since November 2020 when he co-founded ModeX prior to its merger with OPKO Health. Dr. Nabel previously served as Chief Scientific Officer and Senior Vice President of Sanofi, S.A. from 2012 to November 2020, where he directed the breakthrough laboratory that developed tri -specific products now in early clinical development. He was the founding director of the National Institute of Health’s Vaccine Research Center, working on vaccines and broadly neutralizing antibodies against HIV, influenza, SARS, Ebola, Chikungunya and Epstein-Barr virus. He was previously an investigator at the Howard Hughes Medical Institute at the University of Michigan from 1987 to 1999. In recognition of his expertise at the forefront of virology, immunology, gene therapy and molecular biology, Dr. Nabel was elected to the National Academy of Medicine, is a fellow of the American Association of Physicians and the American Academy of Arts Sciences, and was awarded the Geoffrey Beene Builders of Science Award from Research!America. He has served on the board of Siga Technologies, Inc. (Nasdaq: SIGA) since 2021. Dr. Nabel graduated magna cum laude from Harvard College in 1975 and completed his Ph.D. in 1980 and his M.D. two years later, each from Harvard, followed by a post-doctoral fellowship at the Whitehead Institute. We believe Dr. Nabel’s broad experience in leadership roles and expertise in the pharmaceutical and biotechnology industries provide him with the appropriate set of skills to serve as a member of our board of directors.</w:t>
      </w:r>
    </w:p>
    <w:p>
      <w:pPr>
        <w:sectPr>
          <w:pgSz w:w="12240" w:h="15840" w:orient="portrait"/>
          <w:cols w:equalWidth="0" w:num="1">
            <w:col w:w="9360"/>
          </w:cols>
          <w:pgMar w:left="1440" w:top="1427" w:right="1440" w:bottom="1440" w:gutter="0" w:footer="0" w:header="0"/>
        </w:sectPr>
      </w:pPr>
    </w:p>
    <w:bookmarkStart w:id="154" w:name="page155"/>
    <w:bookmarkEnd w:id="154"/>
    <w:p>
      <w:pPr>
        <w:spacing w:after="0" w:line="242" w:lineRule="auto"/>
        <w:rPr>
          <w:sz w:val="20"/>
          <w:szCs w:val="20"/>
          <w:color w:val="auto"/>
        </w:rPr>
      </w:pPr>
      <w:r>
        <w:rPr>
          <w:rFonts w:ascii="Arial" w:cs="Arial" w:eastAsia="Arial" w:hAnsi="Arial"/>
          <w:sz w:val="19"/>
          <w:szCs w:val="19"/>
          <w:i w:val="1"/>
          <w:iCs w:val="1"/>
          <w:color w:val="auto"/>
        </w:rPr>
        <w:t>Diem Nguyen, Ph.D., M.B.A.</w:t>
      </w:r>
      <w:r>
        <w:rPr>
          <w:rFonts w:ascii="Arial" w:cs="Arial" w:eastAsia="Arial" w:hAnsi="Arial"/>
          <w:sz w:val="19"/>
          <w:szCs w:val="19"/>
          <w:color w:val="auto"/>
        </w:rPr>
        <w:t>, has served as a member of Candel’s board of directors since July 2021. Dr.</w:t>
      </w:r>
      <w:r>
        <w:rPr>
          <w:rFonts w:ascii="Arial" w:cs="Arial" w:eastAsia="Arial" w:hAnsi="Arial"/>
          <w:sz w:val="19"/>
          <w:szCs w:val="19"/>
          <w:i w:val="1"/>
          <w:iCs w:val="1"/>
          <w:color w:val="auto"/>
        </w:rPr>
        <w:t xml:space="preserve"> </w:t>
      </w:r>
      <w:r>
        <w:rPr>
          <w:rFonts w:ascii="Arial" w:cs="Arial" w:eastAsia="Arial" w:hAnsi="Arial"/>
          <w:sz w:val="19"/>
          <w:szCs w:val="19"/>
          <w:color w:val="auto"/>
        </w:rPr>
        <w:t>Nguyen also serves as the Chief Executive Officer of SIGA Technologies, Inc. (Nasdaq: SIGA), a position she has held since January 2024. Prior to that, from October 2020 to January 2024, Dr. Nguyen served as the Chief Executive Officer and member of the board of directors of Xalud Therapeutics, Inc., a private biotechnology company, which is majority-owned by PBM Capital. Previously, Dr. Nguyen was the Executive Vice President of PPD, Inc. a leading global clinical research organization providing drug development services, a position she held from April 2018 to April 2020. Since 2008, Dr. Nguyen has held various leadership roles at Pfizer Inc. (NYSE: PFE), last serving as Global President, Americas of Pfizer Essential Health from January 2017 to March 2018. Dr. Nguyen is a director at Verrica Pharmaceuticals Inc. (Nasdaq: VRCA), Vitara Biomedical, Inc. and Children’s Hospital of Philadelphia. She received a B.A. in Chemistry with Specialization in Biochemistry and a Ph.D. in Biochemistry and Molecular Genetics from the University of Virginia, and an M.B.A. in General Management from the University of Virginia’s Darden Graduate School of Business Administration. We believe that Dr. Nguyen’s managerial, commercial and medical experience in the pharmaceutical industry provides her with the appropriate set of skills to serve as a member of our board of directors.</w:t>
      </w:r>
    </w:p>
    <w:p>
      <w:pPr>
        <w:spacing w:after="0" w:line="193" w:lineRule="exact"/>
        <w:rPr>
          <w:sz w:val="20"/>
          <w:szCs w:val="20"/>
          <w:color w:val="auto"/>
        </w:rPr>
      </w:pPr>
    </w:p>
    <w:p>
      <w:pPr>
        <w:ind w:right="20"/>
        <w:spacing w:after="0" w:line="242" w:lineRule="auto"/>
        <w:rPr>
          <w:sz w:val="20"/>
          <w:szCs w:val="20"/>
          <w:color w:val="auto"/>
        </w:rPr>
      </w:pPr>
      <w:r>
        <w:rPr>
          <w:rFonts w:ascii="Arial" w:cs="Arial" w:eastAsia="Arial" w:hAnsi="Arial"/>
          <w:sz w:val="19"/>
          <w:szCs w:val="19"/>
          <w:i w:val="1"/>
          <w:iCs w:val="1"/>
          <w:color w:val="auto"/>
        </w:rPr>
        <w:t xml:space="preserve">Joseph C. Papa </w:t>
      </w:r>
      <w:r>
        <w:rPr>
          <w:rFonts w:ascii="Arial" w:cs="Arial" w:eastAsia="Arial" w:hAnsi="Arial"/>
          <w:sz w:val="19"/>
          <w:szCs w:val="19"/>
          <w:color w:val="auto"/>
        </w:rPr>
        <w:t>has served as a member of Candel’s board of directors since August 2022. Mr. Papa also</w:t>
      </w:r>
      <w:r>
        <w:rPr>
          <w:rFonts w:ascii="Arial" w:cs="Arial" w:eastAsia="Arial" w:hAnsi="Arial"/>
          <w:sz w:val="19"/>
          <w:szCs w:val="19"/>
          <w:i w:val="1"/>
          <w:iCs w:val="1"/>
          <w:color w:val="auto"/>
        </w:rPr>
        <w:t xml:space="preserve"> </w:t>
      </w:r>
      <w:r>
        <w:rPr>
          <w:rFonts w:ascii="Arial" w:cs="Arial" w:eastAsia="Arial" w:hAnsi="Arial"/>
          <w:sz w:val="19"/>
          <w:szCs w:val="19"/>
          <w:color w:val="auto"/>
        </w:rPr>
        <w:t>serves as the Chief Executive Officer of Emergent BioSolutions (NYSE: EBS), a position he has held since February 2024. Mr. Papa previously served as the interim Chief Executive Officer of Bausch + Lomb Corporation (NYSE: BLCO) from July 2022 to March 2023, and he previously served as chairman of the board of directors and Chief Executive Officer of Bausch + Lomb Corporation from May 2022 to July 2022. Mr. Papa also served as chairman of the board of directors and Chief Executive Officer of Bausch Health Companies Inc. (NYSE: BHC) from May 2016 to May 2022. Mr. Papa has more than 35 years of experience in the pharmaceutical, healthcare and specialty pharmaceutical industries, including 20 years of branded prescription drug experience. He served as the Chief Executive Officer of Perrigo Company plc, or Perrigo, from 2006 to April 2016, where he also served as chairman of the board of directors from 2007 to April 2016. Prior to joining Perrigo, Mr. Papa served from 2004 to 2006 as chairman and Chief Executive Officer of the Pharmaceutical and Technologies Services segment of Cardinal Health, Inc. From 2001 to 2004, he served as President and Chief Operating Officer of Watson Pharmaceuticals, Inc., or Watson. Prior to joining Watson, Mr. Papa held management positions at DuPont Pharmaceuticals, Pharmacia/Searle and Novartis AG. Mr. Papa joined the board of directors of Prometheus Biosciences, Inc. (Nasdaq: RXDX), a publicly traded biopharmaceutical company, in August 2020, and previously served as a director of Smith &amp; Nephew plc (NYSE: SNN), a publicly traded medical device company, from 2008 to April 2018. Mr. Papa holds a B.S. in pharmacy from the University of Connecticut and an M.B.A. from Northwestern University’s Kellogg Graduate School of Management. We believe Mr. Papa’s substantial leadership experience in the pharmaceutical industry provides him with the appropriate set of skills to serve as a member of our board of directors.</w:t>
      </w: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Family Relationships</w:t>
      </w:r>
    </w:p>
    <w:p>
      <w:pPr>
        <w:spacing w:after="0" w:line="253" w:lineRule="exact"/>
        <w:rPr>
          <w:sz w:val="20"/>
          <w:szCs w:val="20"/>
          <w:color w:val="auto"/>
        </w:rPr>
      </w:pPr>
    </w:p>
    <w:p>
      <w:pPr>
        <w:spacing w:after="0"/>
        <w:rPr>
          <w:sz w:val="20"/>
          <w:szCs w:val="20"/>
          <w:color w:val="auto"/>
        </w:rPr>
      </w:pPr>
      <w:r>
        <w:rPr>
          <w:rFonts w:ascii="Arial" w:cs="Arial" w:eastAsia="Arial" w:hAnsi="Arial"/>
          <w:sz w:val="19"/>
          <w:szCs w:val="19"/>
          <w:color w:val="auto"/>
        </w:rPr>
        <w:t>There are no family relationships among any of our directors or executive officers.</w:t>
      </w:r>
    </w:p>
    <w:p>
      <w:pPr>
        <w:spacing w:after="0" w:line="24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Delinquent Section 16(a) Reports</w:t>
      </w:r>
    </w:p>
    <w:p>
      <w:pPr>
        <w:spacing w:after="0" w:line="243" w:lineRule="exact"/>
        <w:rPr>
          <w:sz w:val="20"/>
          <w:szCs w:val="20"/>
          <w:color w:val="auto"/>
        </w:rPr>
      </w:pPr>
    </w:p>
    <w:p>
      <w:pPr>
        <w:ind w:right="40"/>
        <w:spacing w:after="0" w:line="274" w:lineRule="auto"/>
        <w:rPr>
          <w:sz w:val="20"/>
          <w:szCs w:val="20"/>
          <w:color w:val="auto"/>
        </w:rPr>
      </w:pPr>
      <w:r>
        <w:rPr>
          <w:rFonts w:ascii="Arial" w:cs="Arial" w:eastAsia="Arial" w:hAnsi="Arial"/>
          <w:sz w:val="19"/>
          <w:szCs w:val="19"/>
          <w:color w:val="auto"/>
        </w:rPr>
        <w:t>Section 16(a) of the Exchange Act requires our directors, executive officers and beneficial owners of more than 10% of our equity securities to file reports of holdings and transactions in securities of the Company with the SEC.</w:t>
      </w:r>
    </w:p>
    <w:p>
      <w:pPr>
        <w:spacing w:after="0" w:line="173" w:lineRule="exact"/>
        <w:rPr>
          <w:sz w:val="20"/>
          <w:szCs w:val="20"/>
          <w:color w:val="auto"/>
        </w:rPr>
      </w:pPr>
    </w:p>
    <w:p>
      <w:pPr>
        <w:ind w:right="260"/>
        <w:spacing w:after="0" w:line="273" w:lineRule="auto"/>
        <w:rPr>
          <w:sz w:val="20"/>
          <w:szCs w:val="20"/>
          <w:color w:val="auto"/>
        </w:rPr>
      </w:pPr>
      <w:r>
        <w:rPr>
          <w:rFonts w:ascii="Arial" w:cs="Arial" w:eastAsia="Arial" w:hAnsi="Arial"/>
          <w:sz w:val="19"/>
          <w:szCs w:val="19"/>
          <w:color w:val="auto"/>
        </w:rPr>
        <w:t>Based solely on a review of Forms 3, 4 and 5 and any amendments thereto filed electronically with the Securities and Exchange Commission with respect to the most recent fiscal year and written representations from the reporting persons, we believe all Section 16(a) filing requirements were satisfied in 2023.</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Code of Business Conduct and Ethics</w:t>
      </w:r>
    </w:p>
    <w:p>
      <w:pPr>
        <w:spacing w:after="0" w:line="245" w:lineRule="exact"/>
        <w:rPr>
          <w:sz w:val="20"/>
          <w:szCs w:val="20"/>
          <w:color w:val="auto"/>
        </w:rPr>
      </w:pPr>
    </w:p>
    <w:p>
      <w:pPr>
        <w:ind w:right="200"/>
        <w:spacing w:after="0" w:line="266" w:lineRule="auto"/>
        <w:rPr>
          <w:sz w:val="20"/>
          <w:szCs w:val="20"/>
          <w:color w:val="auto"/>
        </w:rPr>
      </w:pPr>
      <w:r>
        <w:rPr>
          <w:rFonts w:ascii="Arial" w:cs="Arial" w:eastAsia="Arial" w:hAnsi="Arial"/>
          <w:sz w:val="19"/>
          <w:szCs w:val="19"/>
          <w:color w:val="auto"/>
        </w:rPr>
        <w:t>Our board of directors has adopted a Code of Business Conduct and Ethics. The Code of Business Conduct and Ethics applies to all of our employees, officers (including our principal executive officer, principal financial officer, principal accounting officer or controller or persons performing similar functions), agents and representatives, including directors and consultants.</w:t>
      </w:r>
    </w:p>
    <w:p>
      <w:pPr>
        <w:sectPr>
          <w:pgSz w:w="12240" w:h="15840" w:orient="portrait"/>
          <w:cols w:equalWidth="0" w:num="1">
            <w:col w:w="9360"/>
          </w:cols>
          <w:pgMar w:left="1440" w:top="1420" w:right="1440" w:bottom="1078" w:gutter="0" w:footer="0" w:header="0"/>
        </w:sectPr>
      </w:pPr>
    </w:p>
    <w:bookmarkStart w:id="155" w:name="page156"/>
    <w:bookmarkEnd w:id="155"/>
    <w:p>
      <w:pPr>
        <w:ind w:right="80"/>
        <w:spacing w:after="0" w:line="263" w:lineRule="auto"/>
        <w:rPr>
          <w:sz w:val="20"/>
          <w:szCs w:val="20"/>
          <w:color w:val="auto"/>
        </w:rPr>
      </w:pPr>
      <w:r>
        <w:rPr>
          <w:rFonts w:ascii="Arial" w:cs="Arial" w:eastAsia="Arial" w:hAnsi="Arial"/>
          <w:sz w:val="19"/>
          <w:szCs w:val="19"/>
          <w:color w:val="auto"/>
        </w:rPr>
        <w:t xml:space="preserve">The full text of our Code of Business Conduct and Ethics is posted on our website at </w:t>
      </w:r>
      <w:r>
        <w:rPr>
          <w:rFonts w:ascii="Arial" w:cs="Arial" w:eastAsia="Arial" w:hAnsi="Arial"/>
          <w:sz w:val="19"/>
          <w:szCs w:val="19"/>
          <w:i w:val="1"/>
          <w:iCs w:val="1"/>
          <w:color w:val="auto"/>
        </w:rPr>
        <w:t>ir.candeltx.com</w:t>
      </w:r>
      <w:r>
        <w:rPr>
          <w:rFonts w:ascii="Arial" w:cs="Arial" w:eastAsia="Arial" w:hAnsi="Arial"/>
          <w:sz w:val="19"/>
          <w:szCs w:val="19"/>
          <w:color w:val="auto"/>
        </w:rPr>
        <w:t>. We intend to disclose future amendments to certain provisions of our Code of Business Conduct and Ethics on our website. The inclusion of our website address in this Form 10-K/A does not include or incorporate by reference the information on our website into this Form 10-K/A or into the Original Form 10-K, and you should not consider that information a part of this Form 10-K/A or the Original Form 10-K.</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Compensation Recovery Policy</w:t>
      </w:r>
    </w:p>
    <w:p>
      <w:pPr>
        <w:spacing w:after="0" w:line="245" w:lineRule="exact"/>
        <w:rPr>
          <w:sz w:val="20"/>
          <w:szCs w:val="20"/>
          <w:color w:val="auto"/>
        </w:rPr>
      </w:pPr>
    </w:p>
    <w:p>
      <w:pPr>
        <w:ind w:right="100"/>
        <w:spacing w:after="0" w:line="258" w:lineRule="auto"/>
        <w:rPr>
          <w:sz w:val="20"/>
          <w:szCs w:val="20"/>
          <w:color w:val="auto"/>
        </w:rPr>
      </w:pPr>
      <w:r>
        <w:rPr>
          <w:rFonts w:ascii="Arial" w:cs="Arial" w:eastAsia="Arial" w:hAnsi="Arial"/>
          <w:sz w:val="19"/>
          <w:szCs w:val="19"/>
          <w:color w:val="auto"/>
        </w:rPr>
        <w:t>In light of the SEC’s adoption of final clawback rules in October 2022 and the Nasdaq’s adoption of final listing standards consistent with the SEC rules, we adopted a Compensation Recovery Policy effective as of October 2, 2023. If we are required to prepare an accounting restatement due to material non-compliance with any financial reporting requirements, the Compensation Recovery Policy requires (subject to certain limited exceptions described in the policy and permitted by the final clawback rules) that we recover erroneously awarded compensation received by any current or former executive officer in the three fiscal years prior to the date we were required to restate our financial statements that is in excess of the amount that would have been received based on the restated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Audit Committee</w:t>
      </w:r>
    </w:p>
    <w:p>
      <w:pPr>
        <w:spacing w:after="0" w:line="245" w:lineRule="exact"/>
        <w:rPr>
          <w:sz w:val="20"/>
          <w:szCs w:val="20"/>
          <w:color w:val="auto"/>
        </w:rPr>
      </w:pPr>
    </w:p>
    <w:p>
      <w:pPr>
        <w:ind w:right="100"/>
        <w:spacing w:after="0" w:line="261" w:lineRule="auto"/>
        <w:rPr>
          <w:sz w:val="20"/>
          <w:szCs w:val="20"/>
          <w:color w:val="auto"/>
        </w:rPr>
      </w:pPr>
      <w:r>
        <w:rPr>
          <w:rFonts w:ascii="Arial" w:cs="Arial" w:eastAsia="Arial" w:hAnsi="Arial"/>
          <w:sz w:val="19"/>
          <w:szCs w:val="19"/>
          <w:color w:val="auto"/>
        </w:rPr>
        <w:t>The members of our audit committee are Christopher Martell, Renee Gaeta and Diem Nguyen, Ph.D., M.B.A. Mr. Martell is the chair of the audit committee. Our board of directors has determined that all members of our audit committee meet the requirements for financial literacy under the applicable rules and regulations of the SEC and the Nasdaq listing rules and that Ms. Gaeta is an “audit committee financial expert” (within the meaning of applicable SEC regulations). Each of the members of the audit committee is independent pursuant to applicable Nasdaq listing standards.</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Recommendation of Director Nominees by Stockholders</w:t>
      </w:r>
    </w:p>
    <w:p>
      <w:pPr>
        <w:spacing w:after="0" w:line="243" w:lineRule="exact"/>
        <w:rPr>
          <w:sz w:val="20"/>
          <w:szCs w:val="20"/>
          <w:color w:val="auto"/>
        </w:rPr>
      </w:pPr>
    </w:p>
    <w:p>
      <w:pPr>
        <w:ind w:right="40"/>
        <w:spacing w:after="0" w:line="295" w:lineRule="auto"/>
        <w:rPr>
          <w:sz w:val="20"/>
          <w:szCs w:val="20"/>
          <w:color w:val="auto"/>
        </w:rPr>
      </w:pPr>
      <w:r>
        <w:rPr>
          <w:rFonts w:ascii="Arial" w:cs="Arial" w:eastAsia="Arial" w:hAnsi="Arial"/>
          <w:sz w:val="19"/>
          <w:szCs w:val="19"/>
          <w:color w:val="auto"/>
        </w:rPr>
        <w:t>There have been no material changes to the procedures by which our stockholders may recommend nominees to the board of directors.</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Limitations on Liability and Indemnification</w:t>
      </w:r>
    </w:p>
    <w:p>
      <w:pPr>
        <w:spacing w:after="0" w:line="243" w:lineRule="exact"/>
        <w:rPr>
          <w:sz w:val="20"/>
          <w:szCs w:val="20"/>
          <w:color w:val="auto"/>
        </w:rPr>
      </w:pPr>
    </w:p>
    <w:p>
      <w:pPr>
        <w:ind w:right="80"/>
        <w:spacing w:after="0" w:line="261" w:lineRule="auto"/>
        <w:rPr>
          <w:sz w:val="20"/>
          <w:szCs w:val="20"/>
          <w:color w:val="auto"/>
        </w:rPr>
      </w:pPr>
      <w:r>
        <w:rPr>
          <w:rFonts w:ascii="Arial" w:cs="Arial" w:eastAsia="Arial" w:hAnsi="Arial"/>
          <w:sz w:val="19"/>
          <w:szCs w:val="19"/>
          <w:color w:val="auto"/>
        </w:rPr>
        <w:t>As permitted by Delaware law, provisions in our amended and restated certificate of incorporation and amended and restated bylaws limit or eliminate the personal liability of directors for a breach of their fiduciary duty of care as a director. The duty of care generally requires that, when acting on behalf of the corporation, a director exercise an informed business judgment based on all material information reasonably available to him or her. Consequently, a director will not be personally liable to us or our stockholders for monetary damages or breach of fiduciary duty as a director, except for liability for:</w:t>
      </w:r>
    </w:p>
    <w:p>
      <w:pPr>
        <w:spacing w:after="0" w:line="230" w:lineRule="exact"/>
        <w:rPr>
          <w:sz w:val="20"/>
          <w:szCs w:val="20"/>
          <w:color w:val="auto"/>
        </w:rPr>
      </w:pPr>
    </w:p>
    <w:p>
      <w:pPr>
        <w:ind w:left="720" w:hanging="360"/>
        <w:spacing w:after="0"/>
        <w:tabs>
          <w:tab w:leader="none" w:pos="720" w:val="left"/>
        </w:tabs>
        <w:numPr>
          <w:ilvl w:val="0"/>
          <w:numId w:val="96"/>
        </w:numPr>
        <w:rPr>
          <w:rFonts w:ascii="Arial" w:cs="Arial" w:eastAsia="Arial" w:hAnsi="Arial"/>
          <w:sz w:val="19"/>
          <w:szCs w:val="19"/>
          <w:color w:val="auto"/>
        </w:rPr>
      </w:pPr>
      <w:r>
        <w:rPr>
          <w:rFonts w:ascii="Arial" w:cs="Arial" w:eastAsia="Arial" w:hAnsi="Arial"/>
          <w:sz w:val="19"/>
          <w:szCs w:val="19"/>
          <w:color w:val="auto"/>
        </w:rPr>
        <w:t>any breach of the director’s duty of loyalty to us or our stockholders;</w:t>
      </w:r>
    </w:p>
    <w:p>
      <w:pPr>
        <w:spacing w:after="0" w:line="57" w:lineRule="exact"/>
        <w:rPr>
          <w:rFonts w:ascii="Arial" w:cs="Arial" w:eastAsia="Arial" w:hAnsi="Arial"/>
          <w:sz w:val="19"/>
          <w:szCs w:val="19"/>
          <w:color w:val="auto"/>
        </w:rPr>
      </w:pPr>
    </w:p>
    <w:p>
      <w:pPr>
        <w:ind w:left="720" w:right="240" w:hanging="360"/>
        <w:spacing w:after="0" w:line="303" w:lineRule="auto"/>
        <w:tabs>
          <w:tab w:leader="none" w:pos="720" w:val="left"/>
        </w:tabs>
        <w:numPr>
          <w:ilvl w:val="0"/>
          <w:numId w:val="96"/>
        </w:numPr>
        <w:rPr>
          <w:rFonts w:ascii="Arial" w:cs="Arial" w:eastAsia="Arial" w:hAnsi="Arial"/>
          <w:sz w:val="19"/>
          <w:szCs w:val="19"/>
          <w:color w:val="auto"/>
        </w:rPr>
      </w:pPr>
      <w:r>
        <w:rPr>
          <w:rFonts w:ascii="Arial" w:cs="Arial" w:eastAsia="Arial" w:hAnsi="Arial"/>
          <w:sz w:val="19"/>
          <w:szCs w:val="19"/>
          <w:color w:val="auto"/>
        </w:rPr>
        <w:t>any act or omission not in good faith or that involves intentional misconduct or a knowing violation of law;</w:t>
      </w:r>
    </w:p>
    <w:p>
      <w:pPr>
        <w:ind w:left="720" w:right="600" w:hanging="360"/>
        <w:spacing w:after="0" w:line="303" w:lineRule="auto"/>
        <w:tabs>
          <w:tab w:leader="none" w:pos="720" w:val="left"/>
        </w:tabs>
        <w:numPr>
          <w:ilvl w:val="0"/>
          <w:numId w:val="96"/>
        </w:numPr>
        <w:rPr>
          <w:rFonts w:ascii="Arial" w:cs="Arial" w:eastAsia="Arial" w:hAnsi="Arial"/>
          <w:sz w:val="19"/>
          <w:szCs w:val="19"/>
          <w:color w:val="auto"/>
        </w:rPr>
      </w:pPr>
      <w:r>
        <w:rPr>
          <w:rFonts w:ascii="Arial" w:cs="Arial" w:eastAsia="Arial" w:hAnsi="Arial"/>
          <w:sz w:val="19"/>
          <w:szCs w:val="19"/>
          <w:color w:val="auto"/>
        </w:rPr>
        <w:t>any act related to unlawful stock repurchases, redemptions or other distributions or payments of dividends; or</w:t>
      </w:r>
    </w:p>
    <w:p>
      <w:pPr>
        <w:ind w:left="720" w:hanging="360"/>
        <w:spacing w:after="0"/>
        <w:tabs>
          <w:tab w:leader="none" w:pos="720" w:val="left"/>
        </w:tabs>
        <w:numPr>
          <w:ilvl w:val="0"/>
          <w:numId w:val="96"/>
        </w:numPr>
        <w:rPr>
          <w:rFonts w:ascii="Arial" w:cs="Arial" w:eastAsia="Arial" w:hAnsi="Arial"/>
          <w:sz w:val="19"/>
          <w:szCs w:val="19"/>
          <w:color w:val="auto"/>
        </w:rPr>
      </w:pPr>
      <w:r>
        <w:rPr>
          <w:rFonts w:ascii="Arial" w:cs="Arial" w:eastAsia="Arial" w:hAnsi="Arial"/>
          <w:sz w:val="19"/>
          <w:szCs w:val="19"/>
          <w:color w:val="auto"/>
        </w:rPr>
        <w:t>any transaction from which the director derived an improper personal benefit.</w:t>
      </w:r>
    </w:p>
    <w:p>
      <w:pPr>
        <w:spacing w:after="0" w:line="242" w:lineRule="exact"/>
        <w:rPr>
          <w:sz w:val="20"/>
          <w:szCs w:val="20"/>
          <w:color w:val="auto"/>
        </w:rPr>
      </w:pPr>
    </w:p>
    <w:p>
      <w:pPr>
        <w:ind w:right="40"/>
        <w:spacing w:after="0" w:line="263" w:lineRule="auto"/>
        <w:rPr>
          <w:sz w:val="20"/>
          <w:szCs w:val="20"/>
          <w:color w:val="auto"/>
        </w:rPr>
      </w:pPr>
      <w:r>
        <w:rPr>
          <w:rFonts w:ascii="Arial" w:cs="Arial" w:eastAsia="Arial" w:hAnsi="Arial"/>
          <w:sz w:val="19"/>
          <w:szCs w:val="19"/>
          <w:color w:val="auto"/>
        </w:rPr>
        <w:t>These limitations of liability do not limit or eliminate our rights or any stockholder’s rights to seek non-monetary relief, such as injunctive relief or rescission. These provisions will not alter a director’s liability under other laws, such as the federal securities laws or other state or federal laws. Our amended and restated certificate of incorporation also authorizes us to indemnify our officers, directors and other agents to the fullest extent permitted under Delaware law.</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color w:val="auto"/>
        </w:rPr>
        <w:t>As permitted by Delaware law, our amended and restated bylaws provide that:</w:t>
      </w:r>
    </w:p>
    <w:p>
      <w:pPr>
        <w:sectPr>
          <w:pgSz w:w="12240" w:h="15840" w:orient="portrait"/>
          <w:cols w:equalWidth="0" w:num="1">
            <w:col w:w="9360"/>
          </w:cols>
          <w:pgMar w:left="1440" w:top="1432" w:right="1440" w:bottom="1159" w:gutter="0" w:footer="0" w:header="0"/>
        </w:sectPr>
      </w:pPr>
    </w:p>
    <w:bookmarkStart w:id="156" w:name="page157"/>
    <w:bookmarkEnd w:id="156"/>
    <w:p>
      <w:pPr>
        <w:spacing w:after="0" w:line="38" w:lineRule="exact"/>
        <w:rPr>
          <w:sz w:val="20"/>
          <w:szCs w:val="20"/>
          <w:color w:val="auto"/>
        </w:rPr>
      </w:pPr>
    </w:p>
    <w:p>
      <w:pPr>
        <w:ind w:left="720" w:right="140" w:hanging="360"/>
        <w:spacing w:after="0" w:line="303" w:lineRule="auto"/>
        <w:tabs>
          <w:tab w:leader="none" w:pos="720" w:val="left"/>
        </w:tabs>
        <w:numPr>
          <w:ilvl w:val="0"/>
          <w:numId w:val="97"/>
        </w:numPr>
        <w:rPr>
          <w:rFonts w:ascii="Arial" w:cs="Arial" w:eastAsia="Arial" w:hAnsi="Arial"/>
          <w:sz w:val="19"/>
          <w:szCs w:val="19"/>
          <w:color w:val="auto"/>
        </w:rPr>
      </w:pPr>
      <w:r>
        <w:rPr>
          <w:rFonts w:ascii="Arial" w:cs="Arial" w:eastAsia="Arial" w:hAnsi="Arial"/>
          <w:sz w:val="19"/>
          <w:szCs w:val="19"/>
          <w:color w:val="auto"/>
        </w:rPr>
        <w:t>we will indemnify our directors, officers, employees and other agents to the fullest extent permitted by law;</w:t>
      </w:r>
    </w:p>
    <w:p>
      <w:pPr>
        <w:ind w:left="720" w:right="280" w:hanging="360"/>
        <w:spacing w:after="0" w:line="303" w:lineRule="auto"/>
        <w:tabs>
          <w:tab w:leader="none" w:pos="720" w:val="left"/>
        </w:tabs>
        <w:numPr>
          <w:ilvl w:val="0"/>
          <w:numId w:val="97"/>
        </w:numPr>
        <w:rPr>
          <w:rFonts w:ascii="Arial" w:cs="Arial" w:eastAsia="Arial" w:hAnsi="Arial"/>
          <w:sz w:val="19"/>
          <w:szCs w:val="19"/>
          <w:color w:val="auto"/>
        </w:rPr>
      </w:pPr>
      <w:r>
        <w:rPr>
          <w:rFonts w:ascii="Arial" w:cs="Arial" w:eastAsia="Arial" w:hAnsi="Arial"/>
          <w:sz w:val="19"/>
          <w:szCs w:val="19"/>
          <w:color w:val="auto"/>
        </w:rPr>
        <w:t>we must advance expenses to our directors and officers, and may advance expenses to our employees and other agents, in connection with a legal proceeding to the fullest extent permitted by law; and</w:t>
      </w:r>
    </w:p>
    <w:p>
      <w:pPr>
        <w:ind w:left="720" w:hanging="360"/>
        <w:spacing w:after="0"/>
        <w:tabs>
          <w:tab w:leader="none" w:pos="720" w:val="left"/>
        </w:tabs>
        <w:numPr>
          <w:ilvl w:val="0"/>
          <w:numId w:val="97"/>
        </w:numPr>
        <w:rPr>
          <w:rFonts w:ascii="Arial" w:cs="Arial" w:eastAsia="Arial" w:hAnsi="Arial"/>
          <w:sz w:val="19"/>
          <w:szCs w:val="19"/>
          <w:color w:val="auto"/>
        </w:rPr>
      </w:pPr>
      <w:r>
        <w:rPr>
          <w:rFonts w:ascii="Arial" w:cs="Arial" w:eastAsia="Arial" w:hAnsi="Arial"/>
          <w:sz w:val="19"/>
          <w:szCs w:val="19"/>
          <w:color w:val="auto"/>
        </w:rPr>
        <w:t>the rights provided in our amended and restated bylaws are not exclusive.</w:t>
      </w:r>
    </w:p>
    <w:p>
      <w:pPr>
        <w:spacing w:after="0" w:line="242" w:lineRule="exact"/>
        <w:rPr>
          <w:sz w:val="20"/>
          <w:szCs w:val="20"/>
          <w:color w:val="auto"/>
        </w:rPr>
      </w:pPr>
    </w:p>
    <w:p>
      <w:pPr>
        <w:ind w:right="40"/>
        <w:spacing w:after="0" w:line="261" w:lineRule="auto"/>
        <w:rPr>
          <w:sz w:val="20"/>
          <w:szCs w:val="20"/>
          <w:color w:val="auto"/>
        </w:rPr>
      </w:pPr>
      <w:r>
        <w:rPr>
          <w:rFonts w:ascii="Arial" w:cs="Arial" w:eastAsia="Arial" w:hAnsi="Arial"/>
          <w:sz w:val="19"/>
          <w:szCs w:val="19"/>
          <w:color w:val="auto"/>
        </w:rPr>
        <w:t>If Delaware law is amended to authorize corporate action further eliminating or limiting the personal liability of a director or officer, then the liability of our directors or officers will be so eliminated or limited to the fullest extent permitted by Delaware law, as so amended. Our amended and restated bylaws will also permit us to secure insurance on behalf of any officer, director, employee or other agent for any liability arising out of his or her actions in connection with their services to us, regardless of whether our bylaws permit such indemnification. We have obtained such insurance.</w:t>
      </w:r>
    </w:p>
    <w:p>
      <w:pPr>
        <w:spacing w:after="0" w:line="185" w:lineRule="exact"/>
        <w:rPr>
          <w:sz w:val="20"/>
          <w:szCs w:val="20"/>
          <w:color w:val="auto"/>
        </w:rPr>
      </w:pPr>
    </w:p>
    <w:p>
      <w:pPr>
        <w:ind w:right="40"/>
        <w:spacing w:after="0" w:line="273" w:lineRule="auto"/>
        <w:rPr>
          <w:sz w:val="20"/>
          <w:szCs w:val="20"/>
          <w:color w:val="auto"/>
        </w:rPr>
      </w:pPr>
      <w:r>
        <w:rPr>
          <w:rFonts w:ascii="Arial" w:cs="Arial" w:eastAsia="Arial" w:hAnsi="Arial"/>
          <w:sz w:val="18"/>
          <w:szCs w:val="18"/>
          <w:color w:val="auto"/>
        </w:rPr>
        <w:t>In addition to the indemnification that is provided for in our amended and restated certificate of incorporation and amended and restated bylaws, we have entered into indemnification agreements with each of our directors and executive officers, which may be broader than the specific indemnification provisions contained in the Delaware General Corporation Law. These indemnification agreements may require us, among other things, to indemnify our directors and executive officers for some expenses, including attorneys’ fees, expenses, judgments, fines and settlement amounts incurred by a director or executive officer in any action or proceeding arising out of his service as one of our directors or executive officers or any other company or enterprise to which the person provides services at our request. We believe that these provisions and agreements are necessary to attract and retain qualified individuals to serve as directors and executive officers.</w:t>
      </w:r>
    </w:p>
    <w:p>
      <w:pPr>
        <w:spacing w:after="0" w:line="180" w:lineRule="exact"/>
        <w:rPr>
          <w:sz w:val="20"/>
          <w:szCs w:val="20"/>
          <w:color w:val="auto"/>
        </w:rPr>
      </w:pPr>
    </w:p>
    <w:p>
      <w:pPr>
        <w:ind w:right="180"/>
        <w:spacing w:after="0" w:line="274" w:lineRule="auto"/>
        <w:rPr>
          <w:sz w:val="20"/>
          <w:szCs w:val="20"/>
          <w:color w:val="auto"/>
        </w:rPr>
      </w:pPr>
      <w:r>
        <w:rPr>
          <w:rFonts w:ascii="Arial" w:cs="Arial" w:eastAsia="Arial" w:hAnsi="Arial"/>
          <w:sz w:val="19"/>
          <w:szCs w:val="19"/>
          <w:color w:val="auto"/>
        </w:rPr>
        <w:t>This description of the indemnification provisions of our amended and restated certificate of incorporation, our amended and restated bylaws and our indemnification agreements is qualified in its entirety by reference to these documents, each of which is attached as an exhibit to the Original Form 10-K.</w:t>
      </w:r>
    </w:p>
    <w:p>
      <w:pPr>
        <w:spacing w:after="0" w:line="171" w:lineRule="exact"/>
        <w:rPr>
          <w:sz w:val="20"/>
          <w:szCs w:val="20"/>
          <w:color w:val="auto"/>
        </w:rPr>
      </w:pPr>
    </w:p>
    <w:p>
      <w:pPr>
        <w:ind w:right="40"/>
        <w:spacing w:after="0" w:line="267" w:lineRule="auto"/>
        <w:rPr>
          <w:sz w:val="20"/>
          <w:szCs w:val="20"/>
          <w:color w:val="auto"/>
        </w:rPr>
      </w:pPr>
      <w:r>
        <w:rPr>
          <w:rFonts w:ascii="Arial" w:cs="Arial" w:eastAsia="Arial" w:hAnsi="Arial"/>
          <w:sz w:val="19"/>
          <w:szCs w:val="19"/>
          <w:color w:val="auto"/>
        </w:rPr>
        <w:t>Insofar as indemnification for liabilities arising under the Securities Act of 1933, as amended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177" w:lineRule="exact"/>
        <w:rPr>
          <w:sz w:val="20"/>
          <w:szCs w:val="20"/>
          <w:color w:val="auto"/>
        </w:rPr>
      </w:pPr>
    </w:p>
    <w:p>
      <w:pPr>
        <w:ind w:right="140"/>
        <w:spacing w:after="0" w:line="274" w:lineRule="auto"/>
        <w:rPr>
          <w:sz w:val="20"/>
          <w:szCs w:val="20"/>
          <w:color w:val="auto"/>
        </w:rPr>
      </w:pPr>
      <w:r>
        <w:rPr>
          <w:rFonts w:ascii="Arial" w:cs="Arial" w:eastAsia="Arial" w:hAnsi="Arial"/>
          <w:sz w:val="19"/>
          <w:szCs w:val="19"/>
          <w:color w:val="auto"/>
        </w:rPr>
        <w:t>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11. Executive Compensation.</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Executive Compensation Overview</w:t>
      </w:r>
    </w:p>
    <w:p>
      <w:pPr>
        <w:spacing w:after="0" w:line="75" w:lineRule="exact"/>
        <w:rPr>
          <w:sz w:val="20"/>
          <w:szCs w:val="20"/>
          <w:color w:val="auto"/>
        </w:rPr>
      </w:pPr>
    </w:p>
    <w:p>
      <w:pPr>
        <w:ind w:right="60"/>
        <w:spacing w:after="0" w:line="259" w:lineRule="auto"/>
        <w:rPr>
          <w:sz w:val="20"/>
          <w:szCs w:val="20"/>
          <w:color w:val="auto"/>
        </w:rPr>
      </w:pPr>
      <w:r>
        <w:rPr>
          <w:rFonts w:ascii="Arial" w:cs="Arial" w:eastAsia="Arial" w:hAnsi="Arial"/>
          <w:sz w:val="19"/>
          <w:szCs w:val="19"/>
          <w:color w:val="auto"/>
        </w:rPr>
        <w:t>As an emerging growth company, we have opted to comply with the executive compensation disclosure rules applicable to “smaller reporting companies,” as such term is defined in the rules promulgated under the Securities Act. This section provides an overview of the compensation awarded to and earned by each individual who served as our principal executive officer at any time during the year ended December 31, 2023 and to our next two most highly compensated executive officers in respect of their service to our company for our year ended December 31, 2023. We refer to these individuals as our named executive officers. Our named executive officers are:</w:t>
      </w:r>
    </w:p>
    <w:p>
      <w:pPr>
        <w:spacing w:after="0" w:line="236" w:lineRule="exact"/>
        <w:rPr>
          <w:sz w:val="20"/>
          <w:szCs w:val="20"/>
          <w:color w:val="auto"/>
        </w:rPr>
      </w:pPr>
    </w:p>
    <w:p>
      <w:pPr>
        <w:ind w:left="720" w:hanging="360"/>
        <w:spacing w:after="0"/>
        <w:tabs>
          <w:tab w:leader="none" w:pos="720" w:val="left"/>
        </w:tabs>
        <w:numPr>
          <w:ilvl w:val="0"/>
          <w:numId w:val="98"/>
        </w:numPr>
        <w:rPr>
          <w:rFonts w:ascii="Arial" w:cs="Arial" w:eastAsia="Arial" w:hAnsi="Arial"/>
          <w:sz w:val="19"/>
          <w:szCs w:val="19"/>
          <w:color w:val="auto"/>
        </w:rPr>
      </w:pPr>
      <w:r>
        <w:rPr>
          <w:rFonts w:ascii="Arial" w:cs="Arial" w:eastAsia="Arial" w:hAnsi="Arial"/>
          <w:sz w:val="19"/>
          <w:szCs w:val="19"/>
          <w:color w:val="auto"/>
        </w:rPr>
        <w:t>Paul Peter Tak, M.D., Ph.D., FMedSci, our President and Chief Executive Officer;</w:t>
      </w:r>
    </w:p>
    <w:p>
      <w:pPr>
        <w:spacing w:after="0" w:line="57" w:lineRule="exact"/>
        <w:rPr>
          <w:rFonts w:ascii="Arial" w:cs="Arial" w:eastAsia="Arial" w:hAnsi="Arial"/>
          <w:sz w:val="19"/>
          <w:szCs w:val="19"/>
          <w:color w:val="auto"/>
        </w:rPr>
      </w:pPr>
    </w:p>
    <w:p>
      <w:pPr>
        <w:ind w:left="720" w:hanging="360"/>
        <w:spacing w:after="0"/>
        <w:tabs>
          <w:tab w:leader="none" w:pos="720" w:val="left"/>
        </w:tabs>
        <w:numPr>
          <w:ilvl w:val="0"/>
          <w:numId w:val="98"/>
        </w:numPr>
        <w:rPr>
          <w:rFonts w:ascii="Arial" w:cs="Arial" w:eastAsia="Arial" w:hAnsi="Arial"/>
          <w:sz w:val="19"/>
          <w:szCs w:val="19"/>
          <w:color w:val="auto"/>
        </w:rPr>
      </w:pPr>
      <w:r>
        <w:rPr>
          <w:rFonts w:ascii="Arial" w:cs="Arial" w:eastAsia="Arial" w:hAnsi="Arial"/>
          <w:sz w:val="19"/>
          <w:szCs w:val="19"/>
          <w:color w:val="auto"/>
        </w:rPr>
        <w:t>Francesca Barone, M.D., Ph.D., our Chief Scientific Officer; and</w:t>
      </w:r>
    </w:p>
    <w:p>
      <w:pPr>
        <w:spacing w:after="0" w:line="57" w:lineRule="exact"/>
        <w:rPr>
          <w:rFonts w:ascii="Arial" w:cs="Arial" w:eastAsia="Arial" w:hAnsi="Arial"/>
          <w:sz w:val="19"/>
          <w:szCs w:val="19"/>
          <w:color w:val="auto"/>
        </w:rPr>
      </w:pPr>
    </w:p>
    <w:p>
      <w:pPr>
        <w:ind w:left="720" w:hanging="360"/>
        <w:spacing w:after="0"/>
        <w:tabs>
          <w:tab w:leader="none" w:pos="720" w:val="left"/>
        </w:tabs>
        <w:numPr>
          <w:ilvl w:val="0"/>
          <w:numId w:val="98"/>
        </w:numPr>
        <w:rPr>
          <w:rFonts w:ascii="Arial" w:cs="Arial" w:eastAsia="Arial" w:hAnsi="Arial"/>
          <w:sz w:val="19"/>
          <w:szCs w:val="19"/>
          <w:color w:val="auto"/>
        </w:rPr>
      </w:pPr>
      <w:r>
        <w:rPr>
          <w:rFonts w:ascii="Arial" w:cs="Arial" w:eastAsia="Arial" w:hAnsi="Arial"/>
          <w:sz w:val="19"/>
          <w:szCs w:val="19"/>
          <w:color w:val="auto"/>
        </w:rPr>
        <w:t>Jason A. Amello, our former Chief Financial Officer, Treasurer and Secretary.*</w:t>
      </w:r>
    </w:p>
    <w:p>
      <w:pPr>
        <w:sectPr>
          <w:pgSz w:w="12240" w:h="15840" w:orient="portrait"/>
          <w:cols w:equalWidth="0" w:num="1">
            <w:col w:w="9360"/>
          </w:cols>
          <w:pgMar w:left="1440" w:top="1440" w:right="1440" w:bottom="1440" w:gutter="0" w:footer="0" w:header="0"/>
        </w:sectPr>
      </w:pPr>
    </w:p>
    <w:bookmarkStart w:id="157" w:name="page158"/>
    <w:bookmarkEnd w:id="157"/>
    <w:p>
      <w:pPr>
        <w:ind w:left="720" w:right="1580"/>
        <w:spacing w:after="0" w:line="283" w:lineRule="auto"/>
        <w:tabs>
          <w:tab w:leader="none" w:pos="8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Mr. Amello resigned as Chief Financial Officer, Treasurer and Secretary and his employment with the Company terminated effective as of January 12, 2024.</w:t>
      </w:r>
    </w:p>
    <w:p>
      <w:pPr>
        <w:spacing w:after="0" w:line="167" w:lineRule="exact"/>
        <w:rPr>
          <w:sz w:val="20"/>
          <w:szCs w:val="20"/>
          <w:color w:val="auto"/>
        </w:rPr>
      </w:pPr>
    </w:p>
    <w:p>
      <w:pPr>
        <w:ind w:right="1180"/>
        <w:spacing w:after="0" w:line="274" w:lineRule="auto"/>
        <w:rPr>
          <w:sz w:val="20"/>
          <w:szCs w:val="20"/>
          <w:color w:val="auto"/>
        </w:rPr>
      </w:pPr>
      <w:r>
        <w:rPr>
          <w:rFonts w:ascii="Arial" w:cs="Arial" w:eastAsia="Arial" w:hAnsi="Arial"/>
          <w:sz w:val="18"/>
          <w:szCs w:val="18"/>
          <w:color w:val="auto"/>
        </w:rPr>
        <w:t>Our executive compensation program is based on a pay -for-performance philosophy. Compensation for our executive officers is composed primarily of the following main components: base salary, bonus and equity incentives in the form of stock options. Our executive officers, like all full-time employees, are eligible to participate in our health and welfare benefit plans. We evaluate our compensation values and philosophy and compensation plans and arrangements as circumstances require. At a minimum, we review executive compensation annually with input from a compensation consultant. As part of this review process, the board of directors and the compensation committee apply our values and philosophy, while considering the compensation levels needed to ensure our executive compensation program remains competitive. We will also review whether we are meeting our retention objectives and the potential cost of replacing a key employee.</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Compensation Table</w:t>
      </w:r>
    </w:p>
    <w:p>
      <w:pPr>
        <w:spacing w:after="0" w:line="124" w:lineRule="exact"/>
        <w:rPr>
          <w:sz w:val="20"/>
          <w:szCs w:val="20"/>
          <w:color w:val="auto"/>
        </w:rPr>
      </w:pPr>
    </w:p>
    <w:p>
      <w:pPr>
        <w:ind w:right="1160"/>
        <w:spacing w:after="0" w:line="262" w:lineRule="auto"/>
        <w:rPr>
          <w:sz w:val="20"/>
          <w:szCs w:val="20"/>
          <w:color w:val="auto"/>
        </w:rPr>
      </w:pPr>
      <w:r>
        <w:rPr>
          <w:rFonts w:ascii="Arial" w:cs="Arial" w:eastAsia="Arial" w:hAnsi="Arial"/>
          <w:sz w:val="20"/>
          <w:szCs w:val="20"/>
          <w:color w:val="auto"/>
        </w:rPr>
        <w:t>The following table sets forth information regarding compensation awarded to and earned by our named executive officers for services rendered to us in all capacities during our years ended December 31, 2023 and 2022.</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6"/>
              </w:rPr>
              <w:t>Stock</w:t>
            </w:r>
          </w:p>
        </w:tc>
        <w:tc>
          <w:tcPr>
            <w:tcW w:w="5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Option</w:t>
            </w:r>
          </w:p>
        </w:tc>
        <w:tc>
          <w:tcPr>
            <w:tcW w:w="22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Non-Equity</w:t>
            </w: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Nonqualified</w:t>
            </w:r>
          </w:p>
        </w:tc>
        <w:tc>
          <w:tcPr>
            <w:tcW w:w="100" w:type="dxa"/>
            <w:vAlign w:val="bottom"/>
          </w:tcPr>
          <w:p>
            <w:pPr>
              <w:spacing w:after="0"/>
              <w:rPr>
                <w:sz w:val="16"/>
                <w:szCs w:val="16"/>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rPr>
              <w:t>All Other</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Plan</w:t>
            </w: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Deferred</w:t>
            </w:r>
          </w:p>
        </w:tc>
        <w:tc>
          <w:tcPr>
            <w:tcW w:w="1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760" w:type="dxa"/>
            <w:vAlign w:val="bottom"/>
            <w:gridSpan w:val="3"/>
          </w:tcPr>
          <w:p>
            <w:pPr>
              <w:jc w:val="center"/>
              <w:ind w:left="40"/>
              <w:spacing w:after="0"/>
              <w:rPr>
                <w:sz w:val="20"/>
                <w:szCs w:val="20"/>
                <w:color w:val="auto"/>
              </w:rPr>
            </w:pPr>
            <w:r>
              <w:rPr>
                <w:rFonts w:ascii="Arial" w:cs="Arial" w:eastAsia="Arial" w:hAnsi="Arial"/>
                <w:sz w:val="16"/>
                <w:szCs w:val="16"/>
                <w:b w:val="1"/>
                <w:bCs w:val="1"/>
                <w:color w:val="auto"/>
                <w:w w:val="99"/>
              </w:rPr>
              <w:t>Name and Principal</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Arial" w:cs="Arial" w:eastAsia="Arial" w:hAnsi="Arial"/>
                <w:sz w:val="16"/>
                <w:szCs w:val="16"/>
                <w:b w:val="1"/>
                <w:bCs w:val="1"/>
                <w:color w:val="auto"/>
                <w:w w:val="99"/>
              </w:rPr>
              <w:t>Salary</w:t>
            </w:r>
          </w:p>
        </w:tc>
        <w:tc>
          <w:tcPr>
            <w:tcW w:w="200" w:type="dxa"/>
            <w:vAlign w:val="bottom"/>
          </w:tcPr>
          <w:p>
            <w:pPr>
              <w:spacing w:after="0"/>
              <w:rPr>
                <w:sz w:val="16"/>
                <w:szCs w:val="16"/>
                <w:color w:val="auto"/>
              </w:rPr>
            </w:pPr>
          </w:p>
        </w:tc>
        <w:tc>
          <w:tcPr>
            <w:tcW w:w="720" w:type="dxa"/>
            <w:vAlign w:val="bottom"/>
            <w:gridSpan w:val="2"/>
          </w:tcPr>
          <w:p>
            <w:pPr>
              <w:spacing w:after="0"/>
              <w:rPr>
                <w:sz w:val="20"/>
                <w:szCs w:val="20"/>
                <w:color w:val="auto"/>
              </w:rPr>
            </w:pPr>
            <w:r>
              <w:rPr>
                <w:rFonts w:ascii="Arial" w:cs="Arial" w:eastAsia="Arial" w:hAnsi="Arial"/>
                <w:sz w:val="16"/>
                <w:szCs w:val="16"/>
                <w:b w:val="1"/>
                <w:bCs w:val="1"/>
                <w:color w:val="auto"/>
              </w:rPr>
              <w:t>Bonus</w:t>
            </w:r>
          </w:p>
        </w:tc>
        <w:tc>
          <w:tcPr>
            <w:tcW w:w="8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Awards</w:t>
            </w:r>
          </w:p>
        </w:tc>
        <w:tc>
          <w:tcPr>
            <w:tcW w:w="580" w:type="dxa"/>
            <w:vAlign w:val="bottom"/>
          </w:tcPr>
          <w:p>
            <w:pPr>
              <w:jc w:val="center"/>
              <w:spacing w:after="0"/>
              <w:rPr>
                <w:sz w:val="20"/>
                <w:szCs w:val="20"/>
                <w:color w:val="auto"/>
              </w:rPr>
            </w:pPr>
            <w:r>
              <w:rPr>
                <w:rFonts w:ascii="Arial" w:cs="Arial" w:eastAsia="Arial" w:hAnsi="Arial"/>
                <w:sz w:val="16"/>
                <w:szCs w:val="16"/>
                <w:b w:val="1"/>
                <w:bCs w:val="1"/>
                <w:color w:val="auto"/>
              </w:rPr>
              <w:t>Awards</w:t>
            </w:r>
          </w:p>
        </w:tc>
        <w:tc>
          <w:tcPr>
            <w:tcW w:w="15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8"/>
              </w:rPr>
              <w:t>Compensation</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Compensation</w:t>
            </w:r>
          </w:p>
        </w:tc>
        <w:tc>
          <w:tcPr>
            <w:tcW w:w="10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Compensation</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20" w:type="dxa"/>
            <w:vAlign w:val="bottom"/>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Position</w:t>
            </w: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7"/>
              </w:rPr>
              <w:t>Year</w:t>
            </w:r>
          </w:p>
        </w:tc>
        <w:tc>
          <w:tcPr>
            <w:tcW w:w="22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Arial" w:cs="Arial" w:eastAsia="Arial" w:hAnsi="Arial"/>
                <w:sz w:val="16"/>
                <w:szCs w:val="16"/>
                <w:b w:val="1"/>
                <w:bCs w:val="1"/>
                <w:color w:val="auto"/>
                <w:w w:val="97"/>
              </w:rPr>
              <w:t>($)(1)</w:t>
            </w:r>
          </w:p>
        </w:tc>
        <w:tc>
          <w:tcPr>
            <w:tcW w:w="22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Arial" w:cs="Arial" w:eastAsia="Arial" w:hAnsi="Arial"/>
                <w:sz w:val="16"/>
                <w:szCs w:val="16"/>
                <w:b w:val="1"/>
                <w:bCs w:val="1"/>
                <w:color w:val="auto"/>
              </w:rPr>
              <w:t>($)(1)</w:t>
            </w:r>
          </w:p>
        </w:tc>
        <w:tc>
          <w:tcPr>
            <w:tcW w:w="1320" w:type="dxa"/>
            <w:vAlign w:val="bottom"/>
            <w:gridSpan w:val="2"/>
          </w:tcPr>
          <w:p>
            <w:pPr>
              <w:jc w:val="center"/>
              <w:ind w:left="140"/>
              <w:spacing w:after="0"/>
              <w:rPr>
                <w:sz w:val="20"/>
                <w:szCs w:val="20"/>
                <w:color w:val="auto"/>
              </w:rPr>
            </w:pPr>
            <w:r>
              <w:rPr>
                <w:rFonts w:ascii="Arial" w:cs="Arial" w:eastAsia="Arial" w:hAnsi="Arial"/>
                <w:sz w:val="16"/>
                <w:szCs w:val="16"/>
                <w:b w:val="1"/>
                <w:bCs w:val="1"/>
                <w:color w:val="auto"/>
                <w:w w:val="97"/>
              </w:rPr>
              <w:t>($)(2)</w:t>
            </w:r>
          </w:p>
        </w:tc>
        <w:tc>
          <w:tcPr>
            <w:tcW w:w="220" w:type="dxa"/>
            <w:vAlign w:val="bottom"/>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Earnings ($)</w:t>
            </w:r>
          </w:p>
        </w:tc>
        <w:tc>
          <w:tcPr>
            <w:tcW w:w="1220" w:type="dxa"/>
            <w:vAlign w:val="bottom"/>
            <w:gridSpan w:val="2"/>
          </w:tcPr>
          <w:p>
            <w:pPr>
              <w:jc w:val="center"/>
              <w:ind w:left="20"/>
              <w:spacing w:after="0"/>
              <w:rPr>
                <w:sz w:val="20"/>
                <w:szCs w:val="20"/>
                <w:color w:val="auto"/>
              </w:rPr>
            </w:pPr>
            <w:r>
              <w:rPr>
                <w:rFonts w:ascii="Arial" w:cs="Arial" w:eastAsia="Arial" w:hAnsi="Arial"/>
                <w:sz w:val="16"/>
                <w:szCs w:val="16"/>
                <w:b w:val="1"/>
                <w:bCs w:val="1"/>
                <w:color w:val="auto"/>
              </w:rPr>
              <w:t>($)(3)</w:t>
            </w:r>
          </w:p>
        </w:tc>
        <w:tc>
          <w:tcPr>
            <w:tcW w:w="22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w:t>
            </w:r>
          </w:p>
        </w:tc>
        <w:tc>
          <w:tcPr>
            <w:tcW w:w="0" w:type="dxa"/>
            <w:vAlign w:val="bottom"/>
          </w:tcPr>
          <w:p>
            <w:pPr>
              <w:spacing w:after="0"/>
              <w:rPr>
                <w:sz w:val="1"/>
                <w:szCs w:val="1"/>
                <w:color w:val="auto"/>
              </w:rPr>
            </w:pPr>
          </w:p>
        </w:tc>
      </w:tr>
      <w:tr>
        <w:trPr>
          <w:trHeight w:val="170"/>
        </w:trPr>
        <w:tc>
          <w:tcPr>
            <w:tcW w:w="1260" w:type="dxa"/>
            <w:vAlign w:val="bottom"/>
            <w:gridSpan w:val="2"/>
            <w:shd w:val="clear" w:color="auto" w:fill="CFF0FC"/>
          </w:tcPr>
          <w:p>
            <w:pPr>
              <w:ind w:left="100"/>
              <w:spacing w:after="0" w:line="170" w:lineRule="exact"/>
              <w:rPr>
                <w:sz w:val="20"/>
                <w:szCs w:val="20"/>
                <w:color w:val="auto"/>
              </w:rPr>
            </w:pPr>
            <w:r>
              <w:rPr>
                <w:rFonts w:ascii="Arial" w:cs="Arial" w:eastAsia="Arial" w:hAnsi="Arial"/>
                <w:sz w:val="16"/>
                <w:szCs w:val="16"/>
                <w:i w:val="1"/>
                <w:iCs w:val="1"/>
                <w:color w:val="auto"/>
                <w:shd w:val="clear" w:color="auto" w:fill="CFF0FC"/>
              </w:rPr>
              <w:t>Paul Peter Tak,</w:t>
            </w:r>
          </w:p>
        </w:tc>
        <w:tc>
          <w:tcPr>
            <w:tcW w:w="500" w:type="dxa"/>
            <w:vAlign w:val="bottom"/>
            <w:shd w:val="clear" w:color="auto" w:fill="CFF0FC"/>
          </w:tcPr>
          <w:p>
            <w:pPr>
              <w:spacing w:after="0" w:line="170" w:lineRule="exact"/>
              <w:rPr>
                <w:sz w:val="20"/>
                <w:szCs w:val="20"/>
                <w:color w:val="auto"/>
              </w:rPr>
            </w:pPr>
            <w:r>
              <w:rPr>
                <w:rFonts w:ascii="Arial" w:cs="Arial" w:eastAsia="Arial" w:hAnsi="Arial"/>
                <w:sz w:val="16"/>
                <w:szCs w:val="16"/>
                <w:i w:val="1"/>
                <w:iCs w:val="1"/>
                <w:color w:val="auto"/>
                <w:shd w:val="clear" w:color="auto" w:fill="CFF0FC"/>
              </w:rPr>
              <w:t>M.D.,</w:t>
            </w:r>
          </w:p>
        </w:tc>
        <w:tc>
          <w:tcPr>
            <w:tcW w:w="2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760" w:type="dxa"/>
            <w:vAlign w:val="bottom"/>
            <w:gridSpan w:val="3"/>
            <w:shd w:val="clear" w:color="auto" w:fill="CFF0FC"/>
          </w:tcPr>
          <w:p>
            <w:pPr>
              <w:ind w:left="100"/>
              <w:spacing w:after="0"/>
              <w:rPr>
                <w:sz w:val="20"/>
                <w:szCs w:val="20"/>
                <w:color w:val="auto"/>
              </w:rPr>
            </w:pPr>
            <w:r>
              <w:rPr>
                <w:rFonts w:ascii="Arial" w:cs="Arial" w:eastAsia="Arial" w:hAnsi="Arial"/>
                <w:sz w:val="16"/>
                <w:szCs w:val="16"/>
                <w:i w:val="1"/>
                <w:iCs w:val="1"/>
                <w:color w:val="auto"/>
              </w:rPr>
              <w:t>Ph.D, FMedSci,</w:t>
            </w:r>
          </w:p>
        </w:tc>
        <w:tc>
          <w:tcPr>
            <w:tcW w:w="220" w:type="dxa"/>
            <w:vAlign w:val="bottom"/>
            <w:shd w:val="clear" w:color="auto" w:fill="CFF0FC"/>
          </w:tcPr>
          <w:p>
            <w:pPr>
              <w:spacing w:after="0"/>
              <w:rPr>
                <w:sz w:val="16"/>
                <w:szCs w:val="16"/>
                <w:color w:val="auto"/>
              </w:rPr>
            </w:pPr>
          </w:p>
        </w:tc>
        <w:tc>
          <w:tcPr>
            <w:tcW w:w="3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w w:val="95"/>
                <w:shd w:val="clear" w:color="auto" w:fill="CFF0FC"/>
              </w:rPr>
              <w:t>2023</w:t>
            </w:r>
          </w:p>
        </w:tc>
        <w:tc>
          <w:tcPr>
            <w:tcW w:w="220" w:type="dxa"/>
            <w:vAlign w:val="bottom"/>
            <w:shd w:val="clear" w:color="auto" w:fill="CFF0FC"/>
          </w:tcPr>
          <w:p>
            <w:pPr>
              <w:spacing w:after="0"/>
              <w:rPr>
                <w:sz w:val="16"/>
                <w:szCs w:val="16"/>
                <w:color w:val="auto"/>
              </w:rPr>
            </w:pPr>
          </w:p>
        </w:tc>
        <w:tc>
          <w:tcPr>
            <w:tcW w:w="580" w:type="dxa"/>
            <w:vAlign w:val="bottom"/>
            <w:vMerge w:val="restart"/>
            <w:shd w:val="clear" w:color="auto" w:fill="CFF0FC"/>
          </w:tcPr>
          <w:p>
            <w:pPr>
              <w:jc w:val="center"/>
              <w:spacing w:after="0"/>
              <w:rPr>
                <w:sz w:val="20"/>
                <w:szCs w:val="20"/>
                <w:color w:val="auto"/>
              </w:rPr>
            </w:pPr>
            <w:r>
              <w:rPr>
                <w:rFonts w:ascii="Arial" w:cs="Arial" w:eastAsia="Arial" w:hAnsi="Arial"/>
                <w:sz w:val="16"/>
                <w:szCs w:val="16"/>
                <w:color w:val="auto"/>
              </w:rPr>
              <w:t>670,000</w:t>
            </w:r>
          </w:p>
        </w:tc>
        <w:tc>
          <w:tcPr>
            <w:tcW w:w="200" w:type="dxa"/>
            <w:vAlign w:val="bottom"/>
            <w:shd w:val="clear" w:color="auto" w:fill="CFF0FC"/>
          </w:tcPr>
          <w:p>
            <w:pPr>
              <w:spacing w:after="0"/>
              <w:rPr>
                <w:sz w:val="16"/>
                <w:szCs w:val="16"/>
                <w:color w:val="auto"/>
              </w:rPr>
            </w:pPr>
          </w:p>
        </w:tc>
        <w:tc>
          <w:tcPr>
            <w:tcW w:w="50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580" w:type="dxa"/>
            <w:vAlign w:val="bottom"/>
            <w:vMerge w:val="restart"/>
            <w:shd w:val="clear" w:color="auto" w:fill="CFF0FC"/>
          </w:tcPr>
          <w:p>
            <w:pPr>
              <w:jc w:val="center"/>
              <w:spacing w:after="0"/>
              <w:rPr>
                <w:sz w:val="20"/>
                <w:szCs w:val="20"/>
                <w:color w:val="auto"/>
              </w:rPr>
            </w:pPr>
            <w:r>
              <w:rPr>
                <w:rFonts w:ascii="Arial" w:cs="Arial" w:eastAsia="Arial" w:hAnsi="Arial"/>
                <w:sz w:val="16"/>
                <w:szCs w:val="16"/>
                <w:color w:val="auto"/>
              </w:rPr>
              <w:t>176,506</w:t>
            </w:r>
          </w:p>
        </w:tc>
        <w:tc>
          <w:tcPr>
            <w:tcW w:w="220" w:type="dxa"/>
            <w:vAlign w:val="bottom"/>
            <w:shd w:val="clear" w:color="auto" w:fill="CFF0FC"/>
          </w:tcPr>
          <w:p>
            <w:pPr>
              <w:spacing w:after="0"/>
              <w:rPr>
                <w:sz w:val="16"/>
                <w:szCs w:val="16"/>
                <w:color w:val="auto"/>
              </w:rPr>
            </w:pPr>
          </w:p>
        </w:tc>
        <w:tc>
          <w:tcPr>
            <w:tcW w:w="5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w w:val="96"/>
              </w:rPr>
              <w:t>189,558</w:t>
            </w:r>
          </w:p>
        </w:tc>
        <w:tc>
          <w:tcPr>
            <w:tcW w:w="220" w:type="dxa"/>
            <w:vAlign w:val="bottom"/>
            <w:shd w:val="clear" w:color="auto" w:fill="CFF0FC"/>
          </w:tcPr>
          <w:p>
            <w:pPr>
              <w:spacing w:after="0"/>
              <w:rPr>
                <w:sz w:val="16"/>
                <w:szCs w:val="16"/>
                <w:color w:val="auto"/>
              </w:rPr>
            </w:pPr>
          </w:p>
        </w:tc>
        <w:tc>
          <w:tcPr>
            <w:tcW w:w="1100" w:type="dxa"/>
            <w:vAlign w:val="bottom"/>
            <w:vMerge w:val="restart"/>
            <w:shd w:val="clear" w:color="auto" w:fill="CFF0FC"/>
          </w:tcPr>
          <w:p>
            <w:pPr>
              <w:ind w:left="480"/>
              <w:spacing w:after="0"/>
              <w:rPr>
                <w:sz w:val="20"/>
                <w:szCs w:val="20"/>
                <w:color w:val="auto"/>
              </w:rPr>
            </w:pPr>
            <w:r>
              <w:rPr>
                <w:rFonts w:ascii="Arial" w:cs="Arial" w:eastAsia="Arial" w:hAnsi="Arial"/>
                <w:sz w:val="16"/>
                <w:szCs w:val="16"/>
                <w:color w:val="auto"/>
              </w:rPr>
              <w:t>134,000</w:t>
            </w:r>
          </w:p>
        </w:tc>
        <w:tc>
          <w:tcPr>
            <w:tcW w:w="220" w:type="dxa"/>
            <w:vAlign w:val="bottom"/>
            <w:shd w:val="clear" w:color="auto" w:fill="CFF0FC"/>
          </w:tcPr>
          <w:p>
            <w:pPr>
              <w:spacing w:after="0"/>
              <w:rPr>
                <w:sz w:val="16"/>
                <w:szCs w:val="16"/>
                <w:color w:val="auto"/>
              </w:rPr>
            </w:pPr>
          </w:p>
        </w:tc>
        <w:tc>
          <w:tcPr>
            <w:tcW w:w="1120" w:type="dxa"/>
            <w:vAlign w:val="bottom"/>
            <w:vMerge w:val="restart"/>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vMerge w:val="restart"/>
            <w:shd w:val="clear" w:color="auto" w:fill="CFF0FC"/>
          </w:tcPr>
          <w:p>
            <w:pPr>
              <w:ind w:left="500"/>
              <w:spacing w:after="0"/>
              <w:rPr>
                <w:sz w:val="20"/>
                <w:szCs w:val="20"/>
                <w:color w:val="auto"/>
              </w:rPr>
            </w:pPr>
            <w:r>
              <w:rPr>
                <w:rFonts w:ascii="Arial" w:cs="Arial" w:eastAsia="Arial" w:hAnsi="Arial"/>
                <w:sz w:val="16"/>
                <w:szCs w:val="16"/>
                <w:color w:val="auto"/>
              </w:rPr>
              <w:t>314,695</w:t>
            </w:r>
          </w:p>
        </w:tc>
        <w:tc>
          <w:tcPr>
            <w:tcW w:w="220" w:type="dxa"/>
            <w:vAlign w:val="bottom"/>
            <w:shd w:val="clear" w:color="auto" w:fill="CFF0FC"/>
          </w:tcPr>
          <w:p>
            <w:pPr>
              <w:spacing w:after="0"/>
              <w:rPr>
                <w:sz w:val="16"/>
                <w:szCs w:val="16"/>
                <w:color w:val="auto"/>
              </w:rPr>
            </w:pPr>
          </w:p>
        </w:tc>
        <w:tc>
          <w:tcPr>
            <w:tcW w:w="700" w:type="dxa"/>
            <w:vAlign w:val="bottom"/>
            <w:vMerge w:val="restart"/>
            <w:shd w:val="clear" w:color="auto" w:fill="CFF0FC"/>
          </w:tcPr>
          <w:p>
            <w:pPr>
              <w:spacing w:after="0"/>
              <w:rPr>
                <w:sz w:val="20"/>
                <w:szCs w:val="20"/>
                <w:color w:val="auto"/>
              </w:rPr>
            </w:pPr>
            <w:r>
              <w:rPr>
                <w:rFonts w:ascii="Arial" w:cs="Arial" w:eastAsia="Arial" w:hAnsi="Arial"/>
                <w:sz w:val="16"/>
                <w:szCs w:val="16"/>
                <w:color w:val="auto"/>
                <w:w w:val="95"/>
                <w:shd w:val="clear" w:color="auto" w:fill="CFF0FC"/>
              </w:rPr>
              <w:t>1,484,759</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760" w:type="dxa"/>
            <w:vAlign w:val="bottom"/>
            <w:gridSpan w:val="3"/>
            <w:shd w:val="clear" w:color="auto" w:fill="CFF0FC"/>
          </w:tcPr>
          <w:p>
            <w:pPr>
              <w:ind w:left="100"/>
              <w:spacing w:after="0"/>
              <w:rPr>
                <w:sz w:val="20"/>
                <w:szCs w:val="20"/>
                <w:color w:val="auto"/>
              </w:rPr>
            </w:pPr>
            <w:r>
              <w:rPr>
                <w:rFonts w:ascii="Arial" w:cs="Arial" w:eastAsia="Arial" w:hAnsi="Arial"/>
                <w:sz w:val="16"/>
                <w:szCs w:val="16"/>
                <w:i w:val="1"/>
                <w:iCs w:val="1"/>
                <w:color w:val="auto"/>
              </w:rPr>
              <w:t>Chief Executive Officer</w:t>
            </w:r>
          </w:p>
        </w:tc>
        <w:tc>
          <w:tcPr>
            <w:tcW w:w="220" w:type="dxa"/>
            <w:vAlign w:val="bottom"/>
            <w:shd w:val="clear" w:color="auto" w:fill="CFF0FC"/>
          </w:tcPr>
          <w:p>
            <w:pPr>
              <w:spacing w:after="0"/>
              <w:rPr>
                <w:sz w:val="16"/>
                <w:szCs w:val="16"/>
                <w:color w:val="auto"/>
              </w:rPr>
            </w:pPr>
          </w:p>
        </w:tc>
        <w:tc>
          <w:tcPr>
            <w:tcW w:w="36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8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0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367"/>
        </w:trPr>
        <w:tc>
          <w:tcPr>
            <w:tcW w:w="620" w:type="dxa"/>
            <w:vAlign w:val="bottom"/>
            <w:shd w:val="clear" w:color="auto" w:fill="CFF0FC"/>
          </w:tcPr>
          <w:p>
            <w:pPr>
              <w:spacing w:after="0"/>
              <w:rPr>
                <w:sz w:val="24"/>
                <w:szCs w:val="24"/>
                <w:color w:val="auto"/>
              </w:rPr>
            </w:pPr>
          </w:p>
        </w:tc>
        <w:tc>
          <w:tcPr>
            <w:tcW w:w="640" w:type="dxa"/>
            <w:vAlign w:val="bottom"/>
            <w:shd w:val="clear" w:color="auto" w:fill="CFF0FC"/>
          </w:tcPr>
          <w:p>
            <w:pPr>
              <w:spacing w:after="0"/>
              <w:rPr>
                <w:sz w:val="24"/>
                <w:szCs w:val="24"/>
                <w:color w:val="auto"/>
              </w:rPr>
            </w:pPr>
          </w:p>
        </w:tc>
        <w:tc>
          <w:tcPr>
            <w:tcW w:w="5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360" w:type="dxa"/>
            <w:vAlign w:val="bottom"/>
            <w:shd w:val="clear" w:color="auto" w:fill="CFF0FC"/>
          </w:tcPr>
          <w:p>
            <w:pPr>
              <w:spacing w:after="0"/>
              <w:rPr>
                <w:sz w:val="20"/>
                <w:szCs w:val="20"/>
                <w:color w:val="auto"/>
              </w:rPr>
            </w:pPr>
            <w:r>
              <w:rPr>
                <w:rFonts w:ascii="Arial" w:cs="Arial" w:eastAsia="Arial" w:hAnsi="Arial"/>
                <w:sz w:val="16"/>
                <w:szCs w:val="16"/>
                <w:color w:val="auto"/>
                <w:w w:val="95"/>
                <w:shd w:val="clear" w:color="auto" w:fill="CFF0FC"/>
              </w:rPr>
              <w:t>2022</w:t>
            </w:r>
          </w:p>
        </w:tc>
        <w:tc>
          <w:tcPr>
            <w:tcW w:w="220" w:type="dxa"/>
            <w:vAlign w:val="bottom"/>
            <w:shd w:val="clear" w:color="auto" w:fill="CFF0FC"/>
          </w:tcPr>
          <w:p>
            <w:pPr>
              <w:spacing w:after="0"/>
              <w:rPr>
                <w:sz w:val="24"/>
                <w:szCs w:val="24"/>
                <w:color w:val="auto"/>
              </w:rPr>
            </w:pPr>
          </w:p>
        </w:tc>
        <w:tc>
          <w:tcPr>
            <w:tcW w:w="580" w:type="dxa"/>
            <w:vAlign w:val="bottom"/>
            <w:shd w:val="clear" w:color="auto" w:fill="CFF0FC"/>
          </w:tcPr>
          <w:p>
            <w:pPr>
              <w:jc w:val="center"/>
              <w:spacing w:after="0"/>
              <w:rPr>
                <w:sz w:val="20"/>
                <w:szCs w:val="20"/>
                <w:color w:val="auto"/>
              </w:rPr>
            </w:pPr>
            <w:r>
              <w:rPr>
                <w:rFonts w:ascii="Arial" w:cs="Arial" w:eastAsia="Arial" w:hAnsi="Arial"/>
                <w:sz w:val="16"/>
                <w:szCs w:val="16"/>
                <w:color w:val="auto"/>
                <w:shd w:val="clear" w:color="auto" w:fill="CFF0FC"/>
              </w:rPr>
              <w:t>670,000</w:t>
            </w:r>
          </w:p>
        </w:tc>
        <w:tc>
          <w:tcPr>
            <w:tcW w:w="200" w:type="dxa"/>
            <w:vAlign w:val="bottom"/>
            <w:shd w:val="clear" w:color="auto" w:fill="CFF0FC"/>
          </w:tcPr>
          <w:p>
            <w:pPr>
              <w:spacing w:after="0"/>
              <w:rPr>
                <w:sz w:val="24"/>
                <w:szCs w:val="24"/>
                <w:color w:val="auto"/>
              </w:rPr>
            </w:pPr>
          </w:p>
        </w:tc>
        <w:tc>
          <w:tcPr>
            <w:tcW w:w="50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4"/>
                <w:szCs w:val="24"/>
                <w:color w:val="auto"/>
              </w:rPr>
            </w:pPr>
          </w:p>
        </w:tc>
        <w:tc>
          <w:tcPr>
            <w:tcW w:w="580" w:type="dxa"/>
            <w:vAlign w:val="bottom"/>
            <w:shd w:val="clear" w:color="auto" w:fill="CFF0FC"/>
          </w:tcPr>
          <w:p>
            <w:pPr>
              <w:jc w:val="center"/>
              <w:spacing w:after="0"/>
              <w:rPr>
                <w:sz w:val="20"/>
                <w:szCs w:val="20"/>
                <w:color w:val="auto"/>
              </w:rPr>
            </w:pPr>
            <w:r>
              <w:rPr>
                <w:rFonts w:ascii="Arial" w:cs="Arial" w:eastAsia="Arial" w:hAnsi="Arial"/>
                <w:sz w:val="16"/>
                <w:szCs w:val="16"/>
                <w:color w:val="auto"/>
                <w:shd w:val="clear" w:color="auto" w:fill="CFF0FC"/>
              </w:rPr>
              <w:t>334,999</w:t>
            </w:r>
          </w:p>
        </w:tc>
        <w:tc>
          <w:tcPr>
            <w:tcW w:w="220" w:type="dxa"/>
            <w:vAlign w:val="bottom"/>
            <w:shd w:val="clear" w:color="auto" w:fill="CFF0FC"/>
          </w:tcPr>
          <w:p>
            <w:pPr>
              <w:spacing w:after="0"/>
              <w:rPr>
                <w:sz w:val="24"/>
                <w:szCs w:val="24"/>
                <w:color w:val="auto"/>
              </w:rPr>
            </w:pPr>
          </w:p>
        </w:tc>
        <w:tc>
          <w:tcPr>
            <w:tcW w:w="580" w:type="dxa"/>
            <w:vAlign w:val="bottom"/>
            <w:shd w:val="clear" w:color="auto" w:fill="CFF0FC"/>
          </w:tcPr>
          <w:p>
            <w:pPr>
              <w:spacing w:after="0"/>
              <w:rPr>
                <w:sz w:val="20"/>
                <w:szCs w:val="20"/>
                <w:color w:val="auto"/>
              </w:rPr>
            </w:pPr>
            <w:r>
              <w:rPr>
                <w:rFonts w:ascii="Arial" w:cs="Arial" w:eastAsia="Arial" w:hAnsi="Arial"/>
                <w:sz w:val="16"/>
                <w:szCs w:val="16"/>
                <w:color w:val="auto"/>
                <w:w w:val="96"/>
                <w:shd w:val="clear" w:color="auto" w:fill="CFF0FC"/>
              </w:rPr>
              <w:t>351,043</w:t>
            </w:r>
          </w:p>
        </w:tc>
        <w:tc>
          <w:tcPr>
            <w:tcW w:w="220" w:type="dxa"/>
            <w:vAlign w:val="bottom"/>
            <w:shd w:val="clear" w:color="auto" w:fill="CFF0FC"/>
          </w:tcPr>
          <w:p>
            <w:pPr>
              <w:spacing w:after="0"/>
              <w:rPr>
                <w:sz w:val="24"/>
                <w:szCs w:val="24"/>
                <w:color w:val="auto"/>
              </w:rPr>
            </w:pPr>
          </w:p>
        </w:tc>
        <w:tc>
          <w:tcPr>
            <w:tcW w:w="1100" w:type="dxa"/>
            <w:vAlign w:val="bottom"/>
            <w:shd w:val="clear" w:color="auto" w:fill="CFF0FC"/>
          </w:tcPr>
          <w:p>
            <w:pPr>
              <w:ind w:left="480"/>
              <w:spacing w:after="0"/>
              <w:rPr>
                <w:sz w:val="20"/>
                <w:szCs w:val="20"/>
                <w:color w:val="auto"/>
              </w:rPr>
            </w:pPr>
            <w:r>
              <w:rPr>
                <w:rFonts w:ascii="Arial" w:cs="Arial" w:eastAsia="Arial" w:hAnsi="Arial"/>
                <w:sz w:val="16"/>
                <w:szCs w:val="16"/>
                <w:color w:val="auto"/>
              </w:rPr>
              <w:t>259,625</w:t>
            </w:r>
          </w:p>
        </w:tc>
        <w:tc>
          <w:tcPr>
            <w:tcW w:w="220" w:type="dxa"/>
            <w:vAlign w:val="bottom"/>
            <w:shd w:val="clear" w:color="auto" w:fill="CFF0FC"/>
          </w:tcPr>
          <w:p>
            <w:pPr>
              <w:spacing w:after="0"/>
              <w:rPr>
                <w:sz w:val="24"/>
                <w:szCs w:val="24"/>
                <w:color w:val="auto"/>
              </w:rPr>
            </w:pPr>
          </w:p>
        </w:tc>
        <w:tc>
          <w:tcPr>
            <w:tcW w:w="1120" w:type="dxa"/>
            <w:vAlign w:val="bottom"/>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1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229,304</w:t>
            </w:r>
          </w:p>
        </w:tc>
        <w:tc>
          <w:tcPr>
            <w:tcW w:w="220" w:type="dxa"/>
            <w:vAlign w:val="bottom"/>
            <w:shd w:val="clear" w:color="auto" w:fill="CFF0FC"/>
          </w:tcPr>
          <w:p>
            <w:pPr>
              <w:spacing w:after="0"/>
              <w:rPr>
                <w:sz w:val="24"/>
                <w:szCs w:val="24"/>
                <w:color w:val="auto"/>
              </w:rPr>
            </w:pPr>
          </w:p>
        </w:tc>
        <w:tc>
          <w:tcPr>
            <w:tcW w:w="700" w:type="dxa"/>
            <w:vAlign w:val="bottom"/>
            <w:shd w:val="clear" w:color="auto" w:fill="CFF0FC"/>
          </w:tcPr>
          <w:p>
            <w:pPr>
              <w:spacing w:after="0"/>
              <w:rPr>
                <w:sz w:val="20"/>
                <w:szCs w:val="20"/>
                <w:color w:val="auto"/>
              </w:rPr>
            </w:pPr>
            <w:r>
              <w:rPr>
                <w:rFonts w:ascii="Arial" w:cs="Arial" w:eastAsia="Arial" w:hAnsi="Arial"/>
                <w:sz w:val="16"/>
                <w:szCs w:val="16"/>
                <w:color w:val="auto"/>
                <w:w w:val="95"/>
                <w:shd w:val="clear" w:color="auto" w:fill="CFF0FC"/>
              </w:rPr>
              <w:t>1,844,971</w:t>
            </w:r>
          </w:p>
        </w:tc>
        <w:tc>
          <w:tcPr>
            <w:tcW w:w="12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760" w:type="dxa"/>
            <w:vAlign w:val="bottom"/>
            <w:gridSpan w:val="3"/>
          </w:tcPr>
          <w:p>
            <w:pPr>
              <w:ind w:left="100"/>
              <w:spacing w:after="0" w:line="173" w:lineRule="exact"/>
              <w:rPr>
                <w:sz w:val="20"/>
                <w:szCs w:val="20"/>
                <w:color w:val="auto"/>
              </w:rPr>
            </w:pPr>
            <w:r>
              <w:rPr>
                <w:rFonts w:ascii="Arial" w:cs="Arial" w:eastAsia="Arial" w:hAnsi="Arial"/>
                <w:sz w:val="16"/>
                <w:szCs w:val="16"/>
                <w:i w:val="1"/>
                <w:iCs w:val="1"/>
                <w:color w:val="auto"/>
              </w:rPr>
              <w:t>Francesca Barone,</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760" w:type="dxa"/>
            <w:vAlign w:val="bottom"/>
            <w:gridSpan w:val="3"/>
          </w:tcPr>
          <w:p>
            <w:pPr>
              <w:ind w:left="100"/>
              <w:spacing w:after="0"/>
              <w:rPr>
                <w:sz w:val="20"/>
                <w:szCs w:val="20"/>
                <w:color w:val="auto"/>
              </w:rPr>
            </w:pPr>
            <w:r>
              <w:rPr>
                <w:rFonts w:ascii="Arial" w:cs="Arial" w:eastAsia="Arial" w:hAnsi="Arial"/>
                <w:sz w:val="16"/>
                <w:szCs w:val="16"/>
                <w:i w:val="1"/>
                <w:iCs w:val="1"/>
                <w:color w:val="auto"/>
              </w:rPr>
              <w:t>M.D., Ph.D.</w:t>
            </w:r>
          </w:p>
        </w:tc>
        <w:tc>
          <w:tcPr>
            <w:tcW w:w="800" w:type="dxa"/>
            <w:vAlign w:val="bottom"/>
            <w:gridSpan w:val="3"/>
            <w:vMerge w:val="restart"/>
          </w:tcPr>
          <w:p>
            <w:pPr>
              <w:ind w:left="220"/>
              <w:spacing w:after="0"/>
              <w:rPr>
                <w:sz w:val="20"/>
                <w:szCs w:val="20"/>
                <w:color w:val="auto"/>
              </w:rPr>
            </w:pPr>
            <w:r>
              <w:rPr>
                <w:rFonts w:ascii="Arial" w:cs="Arial" w:eastAsia="Arial" w:hAnsi="Arial"/>
                <w:sz w:val="16"/>
                <w:szCs w:val="16"/>
                <w:color w:val="auto"/>
              </w:rPr>
              <w:t>2023</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auto"/>
              </w:rPr>
              <w:t>413,005</w:t>
            </w:r>
          </w:p>
        </w:tc>
        <w:tc>
          <w:tcPr>
            <w:tcW w:w="700" w:type="dxa"/>
            <w:vAlign w:val="bottom"/>
            <w:gridSpan w:val="2"/>
            <w:vMerge w:val="restart"/>
          </w:tcPr>
          <w:p>
            <w:pPr>
              <w:ind w:lef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6"/>
                <w:szCs w:val="16"/>
                <w:color w:val="auto"/>
              </w:rPr>
              <w:t>110,534</w:t>
            </w:r>
          </w:p>
        </w:tc>
        <w:tc>
          <w:tcPr>
            <w:tcW w:w="580" w:type="dxa"/>
            <w:vAlign w:val="bottom"/>
            <w:vMerge w:val="restart"/>
          </w:tcPr>
          <w:p>
            <w:pPr>
              <w:spacing w:after="0"/>
              <w:rPr>
                <w:sz w:val="20"/>
                <w:szCs w:val="20"/>
                <w:color w:val="auto"/>
              </w:rPr>
            </w:pPr>
            <w:r>
              <w:rPr>
                <w:rFonts w:ascii="Arial" w:cs="Arial" w:eastAsia="Arial" w:hAnsi="Arial"/>
                <w:sz w:val="16"/>
                <w:szCs w:val="16"/>
                <w:color w:val="auto"/>
              </w:rPr>
              <w:t>89,577</w:t>
            </w:r>
          </w:p>
        </w:tc>
        <w:tc>
          <w:tcPr>
            <w:tcW w:w="1320" w:type="dxa"/>
            <w:vAlign w:val="bottom"/>
            <w:gridSpan w:val="2"/>
            <w:vMerge w:val="restart"/>
          </w:tcPr>
          <w:p>
            <w:pPr>
              <w:ind w:left="700"/>
              <w:spacing w:after="0"/>
              <w:rPr>
                <w:sz w:val="20"/>
                <w:szCs w:val="20"/>
                <w:color w:val="auto"/>
              </w:rPr>
            </w:pPr>
            <w:r>
              <w:rPr>
                <w:rFonts w:ascii="Arial" w:cs="Arial" w:eastAsia="Arial" w:hAnsi="Arial"/>
                <w:sz w:val="16"/>
                <w:szCs w:val="16"/>
                <w:color w:val="auto"/>
              </w:rPr>
              <w:t>80,560</w:t>
            </w:r>
          </w:p>
        </w:tc>
        <w:tc>
          <w:tcPr>
            <w:tcW w:w="220" w:type="dxa"/>
            <w:vAlign w:val="bottom"/>
          </w:tcPr>
          <w:p>
            <w:pPr>
              <w:spacing w:after="0"/>
              <w:rPr>
                <w:sz w:val="16"/>
                <w:szCs w:val="16"/>
                <w:color w:val="auto"/>
              </w:rPr>
            </w:pPr>
          </w:p>
        </w:tc>
        <w:tc>
          <w:tcPr>
            <w:tcW w:w="1120" w:type="dxa"/>
            <w:vAlign w:val="bottom"/>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20" w:type="dxa"/>
            <w:vAlign w:val="bottom"/>
            <w:gridSpan w:val="2"/>
            <w:vMerge w:val="restart"/>
          </w:tcPr>
          <w:p>
            <w:pPr>
              <w:ind w:left="600"/>
              <w:spacing w:after="0"/>
              <w:rPr>
                <w:sz w:val="20"/>
                <w:szCs w:val="20"/>
                <w:color w:val="auto"/>
              </w:rPr>
            </w:pPr>
            <w:r>
              <w:rPr>
                <w:rFonts w:ascii="Arial" w:cs="Arial" w:eastAsia="Arial" w:hAnsi="Arial"/>
                <w:sz w:val="16"/>
                <w:szCs w:val="16"/>
                <w:color w:val="auto"/>
              </w:rPr>
              <w:t>13,200</w:t>
            </w:r>
          </w:p>
        </w:tc>
        <w:tc>
          <w:tcPr>
            <w:tcW w:w="220" w:type="dxa"/>
            <w:vAlign w:val="bottom"/>
          </w:tcPr>
          <w:p>
            <w:pPr>
              <w:spacing w:after="0"/>
              <w:rPr>
                <w:sz w:val="16"/>
                <w:szCs w:val="16"/>
                <w:color w:val="auto"/>
              </w:rPr>
            </w:pPr>
          </w:p>
        </w:tc>
        <w:tc>
          <w:tcPr>
            <w:tcW w:w="700" w:type="dxa"/>
            <w:vAlign w:val="bottom"/>
            <w:vMerge w:val="restart"/>
          </w:tcPr>
          <w:p>
            <w:pPr>
              <w:spacing w:after="0"/>
              <w:rPr>
                <w:sz w:val="20"/>
                <w:szCs w:val="20"/>
                <w:color w:val="auto"/>
              </w:rPr>
            </w:pPr>
            <w:r>
              <w:rPr>
                <w:rFonts w:ascii="Arial" w:cs="Arial" w:eastAsia="Arial" w:hAnsi="Arial"/>
                <w:sz w:val="16"/>
                <w:szCs w:val="16"/>
                <w:color w:val="auto"/>
              </w:rPr>
              <w:t>706,876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760" w:type="dxa"/>
            <w:vAlign w:val="bottom"/>
            <w:gridSpan w:val="3"/>
          </w:tcPr>
          <w:p>
            <w:pPr>
              <w:ind w:left="100"/>
              <w:spacing w:after="0"/>
              <w:rPr>
                <w:sz w:val="20"/>
                <w:szCs w:val="20"/>
                <w:color w:val="auto"/>
              </w:rPr>
            </w:pPr>
            <w:r>
              <w:rPr>
                <w:rFonts w:ascii="Arial" w:cs="Arial" w:eastAsia="Arial" w:hAnsi="Arial"/>
                <w:sz w:val="16"/>
                <w:szCs w:val="16"/>
                <w:i w:val="1"/>
                <w:iCs w:val="1"/>
                <w:color w:val="auto"/>
              </w:rPr>
              <w:t>Chief Scientific Officer</w:t>
            </w:r>
          </w:p>
        </w:tc>
        <w:tc>
          <w:tcPr>
            <w:tcW w:w="800" w:type="dxa"/>
            <w:vAlign w:val="bottom"/>
            <w:gridSpan w:val="3"/>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9"/>
        </w:trPr>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gridSpan w:val="3"/>
          </w:tcPr>
          <w:p>
            <w:pPr>
              <w:ind w:left="220"/>
              <w:spacing w:after="0"/>
              <w:rPr>
                <w:sz w:val="20"/>
                <w:szCs w:val="20"/>
                <w:color w:val="auto"/>
              </w:rPr>
            </w:pPr>
            <w:r>
              <w:rPr>
                <w:rFonts w:ascii="Arial" w:cs="Arial" w:eastAsia="Arial" w:hAnsi="Arial"/>
                <w:sz w:val="16"/>
                <w:szCs w:val="16"/>
                <w:color w:val="auto"/>
              </w:rPr>
              <w:t>2022</w:t>
            </w:r>
          </w:p>
        </w:tc>
        <w:tc>
          <w:tcPr>
            <w:tcW w:w="580" w:type="dxa"/>
            <w:vAlign w:val="bottom"/>
          </w:tcPr>
          <w:p>
            <w:pPr>
              <w:jc w:val="center"/>
              <w:spacing w:after="0"/>
              <w:rPr>
                <w:sz w:val="20"/>
                <w:szCs w:val="20"/>
                <w:color w:val="auto"/>
              </w:rPr>
            </w:pPr>
            <w:r>
              <w:rPr>
                <w:rFonts w:ascii="Arial" w:cs="Arial" w:eastAsia="Arial" w:hAnsi="Arial"/>
                <w:sz w:val="16"/>
                <w:szCs w:val="16"/>
                <w:color w:val="auto"/>
              </w:rPr>
              <w:t>362,192</w:t>
            </w:r>
          </w:p>
        </w:tc>
        <w:tc>
          <w:tcPr>
            <w:tcW w:w="70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6"/>
                <w:szCs w:val="16"/>
                <w:color w:val="auto"/>
              </w:rPr>
              <w:t>155,400</w:t>
            </w:r>
          </w:p>
        </w:tc>
        <w:tc>
          <w:tcPr>
            <w:tcW w:w="580" w:type="dxa"/>
            <w:vAlign w:val="bottom"/>
          </w:tcPr>
          <w:p>
            <w:pPr>
              <w:spacing w:after="0"/>
              <w:rPr>
                <w:sz w:val="20"/>
                <w:szCs w:val="20"/>
                <w:color w:val="auto"/>
              </w:rPr>
            </w:pPr>
            <w:r>
              <w:rPr>
                <w:rFonts w:ascii="Arial" w:cs="Arial" w:eastAsia="Arial" w:hAnsi="Arial"/>
                <w:sz w:val="16"/>
                <w:szCs w:val="16"/>
                <w:color w:val="auto"/>
                <w:w w:val="96"/>
              </w:rPr>
              <w:t>233,988</w:t>
            </w:r>
          </w:p>
        </w:tc>
        <w:tc>
          <w:tcPr>
            <w:tcW w:w="1320" w:type="dxa"/>
            <w:vAlign w:val="bottom"/>
            <w:gridSpan w:val="2"/>
          </w:tcPr>
          <w:p>
            <w:pPr>
              <w:ind w:left="700"/>
              <w:spacing w:after="0"/>
              <w:rPr>
                <w:sz w:val="20"/>
                <w:szCs w:val="20"/>
                <w:color w:val="auto"/>
              </w:rPr>
            </w:pPr>
            <w:r>
              <w:rPr>
                <w:rFonts w:ascii="Arial" w:cs="Arial" w:eastAsia="Arial" w:hAnsi="Arial"/>
                <w:sz w:val="16"/>
                <w:szCs w:val="16"/>
                <w:color w:val="auto"/>
              </w:rPr>
              <w:t>144,522</w:t>
            </w:r>
          </w:p>
        </w:tc>
        <w:tc>
          <w:tcPr>
            <w:tcW w:w="220" w:type="dxa"/>
            <w:vAlign w:val="bottom"/>
          </w:tcPr>
          <w:p>
            <w:pPr>
              <w:spacing w:after="0"/>
              <w:rPr>
                <w:sz w:val="24"/>
                <w:szCs w:val="24"/>
                <w:color w:val="auto"/>
              </w:rPr>
            </w:pPr>
          </w:p>
        </w:tc>
        <w:tc>
          <w:tcPr>
            <w:tcW w:w="11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220" w:type="dxa"/>
            <w:vAlign w:val="bottom"/>
            <w:gridSpan w:val="2"/>
          </w:tcPr>
          <w:p>
            <w:pPr>
              <w:ind w:left="600"/>
              <w:spacing w:after="0"/>
              <w:rPr>
                <w:sz w:val="20"/>
                <w:szCs w:val="20"/>
                <w:color w:val="auto"/>
              </w:rPr>
            </w:pPr>
            <w:r>
              <w:rPr>
                <w:rFonts w:ascii="Arial" w:cs="Arial" w:eastAsia="Arial" w:hAnsi="Arial"/>
                <w:sz w:val="16"/>
                <w:szCs w:val="16"/>
                <w:color w:val="auto"/>
              </w:rPr>
              <w:t>12,200</w:t>
            </w:r>
          </w:p>
        </w:tc>
        <w:tc>
          <w:tcPr>
            <w:tcW w:w="22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6"/>
                <w:szCs w:val="16"/>
                <w:color w:val="auto"/>
              </w:rPr>
              <w:t>908,302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760" w:type="dxa"/>
            <w:vAlign w:val="bottom"/>
            <w:gridSpan w:val="3"/>
            <w:shd w:val="clear" w:color="auto" w:fill="CFF0FC"/>
          </w:tcPr>
          <w:p>
            <w:pPr>
              <w:ind w:left="100"/>
              <w:spacing w:after="0" w:line="175" w:lineRule="exact"/>
              <w:rPr>
                <w:sz w:val="20"/>
                <w:szCs w:val="20"/>
                <w:color w:val="auto"/>
              </w:rPr>
            </w:pPr>
            <w:r>
              <w:rPr>
                <w:rFonts w:ascii="Arial" w:cs="Arial" w:eastAsia="Arial" w:hAnsi="Arial"/>
                <w:sz w:val="16"/>
                <w:szCs w:val="16"/>
                <w:i w:val="1"/>
                <w:iCs w:val="1"/>
                <w:color w:val="auto"/>
              </w:rPr>
              <w:t>Jason A. Amello,</w:t>
            </w:r>
          </w:p>
        </w:tc>
        <w:tc>
          <w:tcPr>
            <w:tcW w:w="2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760" w:type="dxa"/>
            <w:vAlign w:val="bottom"/>
            <w:gridSpan w:val="3"/>
            <w:shd w:val="clear" w:color="auto" w:fill="CFF0FC"/>
          </w:tcPr>
          <w:p>
            <w:pPr>
              <w:ind w:left="100"/>
              <w:spacing w:after="0" w:line="182" w:lineRule="exact"/>
              <w:rPr>
                <w:sz w:val="20"/>
                <w:szCs w:val="20"/>
                <w:color w:val="auto"/>
              </w:rPr>
            </w:pPr>
            <w:r>
              <w:rPr>
                <w:rFonts w:ascii="Arial" w:cs="Arial" w:eastAsia="Arial" w:hAnsi="Arial"/>
                <w:sz w:val="16"/>
                <w:szCs w:val="16"/>
                <w:i w:val="1"/>
                <w:iCs w:val="1"/>
                <w:color w:val="auto"/>
              </w:rPr>
              <w:t>Former Chief Financial</w:t>
            </w:r>
          </w:p>
        </w:tc>
        <w:tc>
          <w:tcPr>
            <w:tcW w:w="220" w:type="dxa"/>
            <w:vAlign w:val="bottom"/>
            <w:shd w:val="clear" w:color="auto" w:fill="CFF0FC"/>
          </w:tcPr>
          <w:p>
            <w:pPr>
              <w:spacing w:after="0"/>
              <w:rPr>
                <w:sz w:val="15"/>
                <w:szCs w:val="15"/>
                <w:color w:val="auto"/>
              </w:rPr>
            </w:pPr>
          </w:p>
        </w:tc>
        <w:tc>
          <w:tcPr>
            <w:tcW w:w="3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w w:val="95"/>
                <w:shd w:val="clear" w:color="auto" w:fill="CFF0FC"/>
              </w:rPr>
              <w:t>2023</w:t>
            </w:r>
          </w:p>
        </w:tc>
        <w:tc>
          <w:tcPr>
            <w:tcW w:w="220" w:type="dxa"/>
            <w:vAlign w:val="bottom"/>
            <w:shd w:val="clear" w:color="auto" w:fill="CFF0FC"/>
          </w:tcPr>
          <w:p>
            <w:pPr>
              <w:spacing w:after="0"/>
              <w:rPr>
                <w:sz w:val="15"/>
                <w:szCs w:val="15"/>
                <w:color w:val="auto"/>
              </w:rPr>
            </w:pPr>
          </w:p>
        </w:tc>
        <w:tc>
          <w:tcPr>
            <w:tcW w:w="580" w:type="dxa"/>
            <w:vAlign w:val="bottom"/>
            <w:vMerge w:val="restart"/>
            <w:shd w:val="clear" w:color="auto" w:fill="CFF0FC"/>
          </w:tcPr>
          <w:p>
            <w:pPr>
              <w:jc w:val="center"/>
              <w:spacing w:after="0"/>
              <w:rPr>
                <w:sz w:val="20"/>
                <w:szCs w:val="20"/>
                <w:color w:val="auto"/>
              </w:rPr>
            </w:pPr>
            <w:r>
              <w:rPr>
                <w:rFonts w:ascii="Arial" w:cs="Arial" w:eastAsia="Arial" w:hAnsi="Arial"/>
                <w:sz w:val="16"/>
                <w:szCs w:val="16"/>
                <w:color w:val="auto"/>
                <w:shd w:val="clear" w:color="auto" w:fill="CFF0FC"/>
              </w:rPr>
              <w:t>466,045</w:t>
            </w:r>
          </w:p>
        </w:tc>
        <w:tc>
          <w:tcPr>
            <w:tcW w:w="200" w:type="dxa"/>
            <w:vAlign w:val="bottom"/>
            <w:shd w:val="clear" w:color="auto" w:fill="CFF0FC"/>
          </w:tcPr>
          <w:p>
            <w:pPr>
              <w:spacing w:after="0"/>
              <w:rPr>
                <w:sz w:val="15"/>
                <w:szCs w:val="15"/>
                <w:color w:val="auto"/>
              </w:rPr>
            </w:pPr>
          </w:p>
        </w:tc>
        <w:tc>
          <w:tcPr>
            <w:tcW w:w="50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5"/>
                <w:szCs w:val="15"/>
                <w:color w:val="auto"/>
              </w:rPr>
            </w:pPr>
          </w:p>
        </w:tc>
        <w:tc>
          <w:tcPr>
            <w:tcW w:w="580" w:type="dxa"/>
            <w:vAlign w:val="bottom"/>
            <w:vMerge w:val="restart"/>
            <w:shd w:val="clear" w:color="auto" w:fill="CFF0FC"/>
          </w:tcPr>
          <w:p>
            <w:pPr>
              <w:jc w:val="center"/>
              <w:spacing w:after="0"/>
              <w:rPr>
                <w:sz w:val="20"/>
                <w:szCs w:val="20"/>
                <w:color w:val="auto"/>
              </w:rPr>
            </w:pPr>
            <w:r>
              <w:rPr>
                <w:rFonts w:ascii="Arial" w:cs="Arial" w:eastAsia="Arial" w:hAnsi="Arial"/>
                <w:sz w:val="16"/>
                <w:szCs w:val="16"/>
                <w:color w:val="auto"/>
              </w:rPr>
              <w:t>123,203</w:t>
            </w:r>
          </w:p>
        </w:tc>
        <w:tc>
          <w:tcPr>
            <w:tcW w:w="220" w:type="dxa"/>
            <w:vAlign w:val="bottom"/>
            <w:shd w:val="clear" w:color="auto" w:fill="CFF0FC"/>
          </w:tcPr>
          <w:p>
            <w:pPr>
              <w:spacing w:after="0"/>
              <w:rPr>
                <w:sz w:val="15"/>
                <w:szCs w:val="15"/>
                <w:color w:val="auto"/>
              </w:rPr>
            </w:pPr>
          </w:p>
        </w:tc>
        <w:tc>
          <w:tcPr>
            <w:tcW w:w="5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89,577</w:t>
            </w:r>
          </w:p>
        </w:tc>
        <w:tc>
          <w:tcPr>
            <w:tcW w:w="220" w:type="dxa"/>
            <w:vAlign w:val="bottom"/>
            <w:shd w:val="clear" w:color="auto" w:fill="CFF0FC"/>
          </w:tcPr>
          <w:p>
            <w:pPr>
              <w:spacing w:after="0"/>
              <w:rPr>
                <w:sz w:val="15"/>
                <w:szCs w:val="15"/>
                <w:color w:val="auto"/>
              </w:rPr>
            </w:pPr>
          </w:p>
        </w:tc>
        <w:tc>
          <w:tcPr>
            <w:tcW w:w="1100" w:type="dxa"/>
            <w:vAlign w:val="bottom"/>
            <w:vMerge w:val="restart"/>
            <w:shd w:val="clear" w:color="auto" w:fill="CFF0FC"/>
          </w:tcPr>
          <w:p>
            <w:pPr>
              <w:jc w:val="center"/>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5"/>
                <w:szCs w:val="15"/>
                <w:color w:val="auto"/>
              </w:rPr>
            </w:pPr>
          </w:p>
        </w:tc>
        <w:tc>
          <w:tcPr>
            <w:tcW w:w="1120" w:type="dxa"/>
            <w:vAlign w:val="bottom"/>
            <w:vMerge w:val="restart"/>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vMerge w:val="restart"/>
            <w:shd w:val="clear" w:color="auto" w:fill="CFF0FC"/>
          </w:tcPr>
          <w:p>
            <w:pPr>
              <w:ind w:left="500"/>
              <w:spacing w:after="0"/>
              <w:rPr>
                <w:sz w:val="20"/>
                <w:szCs w:val="20"/>
                <w:color w:val="auto"/>
              </w:rPr>
            </w:pPr>
            <w:r>
              <w:rPr>
                <w:rFonts w:ascii="Arial" w:cs="Arial" w:eastAsia="Arial" w:hAnsi="Arial"/>
                <w:sz w:val="16"/>
                <w:szCs w:val="16"/>
                <w:color w:val="auto"/>
              </w:rPr>
              <w:t>13,200</w:t>
            </w:r>
          </w:p>
        </w:tc>
        <w:tc>
          <w:tcPr>
            <w:tcW w:w="220" w:type="dxa"/>
            <w:vAlign w:val="bottom"/>
            <w:shd w:val="clear" w:color="auto" w:fill="CFF0FC"/>
          </w:tcPr>
          <w:p>
            <w:pPr>
              <w:spacing w:after="0"/>
              <w:rPr>
                <w:sz w:val="15"/>
                <w:szCs w:val="15"/>
                <w:color w:val="auto"/>
              </w:rPr>
            </w:pPr>
          </w:p>
        </w:tc>
        <w:tc>
          <w:tcPr>
            <w:tcW w:w="70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692,025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760" w:type="dxa"/>
            <w:vAlign w:val="bottom"/>
            <w:gridSpan w:val="3"/>
            <w:shd w:val="clear" w:color="auto" w:fill="CFF0FC"/>
          </w:tcPr>
          <w:p>
            <w:pPr>
              <w:ind w:left="100"/>
              <w:spacing w:after="0"/>
              <w:rPr>
                <w:sz w:val="20"/>
                <w:szCs w:val="20"/>
                <w:color w:val="auto"/>
              </w:rPr>
            </w:pPr>
            <w:r>
              <w:rPr>
                <w:rFonts w:ascii="Arial" w:cs="Arial" w:eastAsia="Arial" w:hAnsi="Arial"/>
                <w:sz w:val="16"/>
                <w:szCs w:val="16"/>
                <w:i w:val="1"/>
                <w:iCs w:val="1"/>
                <w:color w:val="auto"/>
              </w:rPr>
              <w:t>Officer (4)</w:t>
            </w:r>
          </w:p>
        </w:tc>
        <w:tc>
          <w:tcPr>
            <w:tcW w:w="220" w:type="dxa"/>
            <w:vAlign w:val="bottom"/>
            <w:shd w:val="clear" w:color="auto" w:fill="CFF0FC"/>
          </w:tcPr>
          <w:p>
            <w:pPr>
              <w:spacing w:after="0"/>
              <w:rPr>
                <w:sz w:val="16"/>
                <w:szCs w:val="16"/>
                <w:color w:val="auto"/>
              </w:rPr>
            </w:pPr>
          </w:p>
        </w:tc>
        <w:tc>
          <w:tcPr>
            <w:tcW w:w="36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8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0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60" w:lineRule="exact"/>
        <w:rPr>
          <w:sz w:val="20"/>
          <w:szCs w:val="20"/>
          <w:color w:val="auto"/>
        </w:rPr>
      </w:pPr>
    </w:p>
    <w:p>
      <w:pPr>
        <w:ind w:left="720" w:right="1300" w:hanging="360"/>
        <w:spacing w:after="0" w:line="300" w:lineRule="auto"/>
        <w:tabs>
          <w:tab w:leader="none" w:pos="72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amounts reported in the “Stock Awards” and “Option Awards” columns reflect the aggregate grant date fair value of share-based compensation awarded during the indicated year computed in accordance with the provisions of Financial Accounting Standards Board ASC Topic 718. See Note 11 to our consolidated financial statements in the Original Form 10-K regarding assumptions underlying the valuation of equity awards. The amounts reported in the “Option Awards” column in 2023 include the grant date fair value of performance-based option awards granted to Dr. Tak, assuming probable achievement, which is also maximum achievement.</w:t>
      </w:r>
    </w:p>
    <w:p>
      <w:pPr>
        <w:ind w:left="720" w:right="1980" w:hanging="360"/>
        <w:spacing w:after="0" w:line="300" w:lineRule="auto"/>
        <w:tabs>
          <w:tab w:leader="none" w:pos="72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amounts reported reflect annual bonuses earned based upon the achievement of company and individual performance metrics. Amounts reflected are paid in the year subsequent to the performance year.</w:t>
      </w:r>
    </w:p>
    <w:p>
      <w:pPr>
        <w:ind w:left="720" w:right="1420" w:hanging="360"/>
        <w:spacing w:after="0" w:line="299" w:lineRule="auto"/>
        <w:tabs>
          <w:tab w:leader="none" w:pos="72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Other compensation for 2023 consists of the following: (1) 401K employer match and (2) for Dr. Tak only, $301,495 of housing and travel benefits.</w:t>
      </w:r>
    </w:p>
    <w:p>
      <w:pPr>
        <w:ind w:left="720" w:right="1240" w:hanging="360"/>
        <w:spacing w:after="0" w:line="346" w:lineRule="auto"/>
        <w:tabs>
          <w:tab w:leader="none" w:pos="72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Mr. Amello resigned as Chief Financial Officer and his employment with the Company terminated effective as of January 12, 2024.</w:t>
      </w:r>
    </w:p>
    <w:p>
      <w:pPr>
        <w:spacing w:after="0" w:line="1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Narrative to the Summary Compensation Table</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Base Salary</w:t>
      </w:r>
    </w:p>
    <w:p>
      <w:pPr>
        <w:spacing w:after="0" w:line="238" w:lineRule="exact"/>
        <w:rPr>
          <w:sz w:val="20"/>
          <w:szCs w:val="20"/>
          <w:color w:val="auto"/>
        </w:rPr>
      </w:pPr>
    </w:p>
    <w:p>
      <w:pPr>
        <w:ind w:right="1100"/>
        <w:spacing w:after="0" w:line="261" w:lineRule="auto"/>
        <w:rPr>
          <w:sz w:val="20"/>
          <w:szCs w:val="20"/>
          <w:color w:val="auto"/>
        </w:rPr>
      </w:pPr>
      <w:r>
        <w:rPr>
          <w:rFonts w:ascii="Arial" w:cs="Arial" w:eastAsia="Arial" w:hAnsi="Arial"/>
          <w:sz w:val="19"/>
          <w:szCs w:val="19"/>
          <w:color w:val="auto"/>
        </w:rPr>
        <w:t>Our named executive officers each receive a base salary to compensate them for services rendered to our company. The base salary payable to each named executive officer is intended to provide a fixed component of compensation reflecting the executive’s skill set, experience, role and responsibilities. Base salaries are reviewed annually, typically in connection with our annual performance review process, approved by our board of directors or the compensation committee, and may be adjusted from time to time to realign salaries with market levels after taking into account individual responsibilities, performance, and experience.</w:t>
      </w:r>
    </w:p>
    <w:p>
      <w:pPr>
        <w:sectPr>
          <w:pgSz w:w="12240" w:h="15840" w:orient="portrait"/>
          <w:cols w:equalWidth="0" w:num="1">
            <w:col w:w="10460"/>
          </w:cols>
          <w:pgMar w:left="1440" w:top="1420" w:right="340" w:bottom="962" w:gutter="0" w:footer="0" w:header="0"/>
        </w:sectPr>
      </w:pPr>
    </w:p>
    <w:bookmarkStart w:id="158" w:name="page159"/>
    <w:bookmarkEnd w:id="158"/>
    <w:p>
      <w:pPr>
        <w:spacing w:after="0" w:line="223" w:lineRule="exact"/>
        <w:rPr>
          <w:sz w:val="20"/>
          <w:szCs w:val="20"/>
          <w:color w:val="auto"/>
        </w:rPr>
      </w:pPr>
    </w:p>
    <w:p>
      <w:pPr>
        <w:ind w:right="80"/>
        <w:spacing w:after="0" w:line="295" w:lineRule="auto"/>
        <w:rPr>
          <w:sz w:val="20"/>
          <w:szCs w:val="20"/>
          <w:color w:val="auto"/>
        </w:rPr>
      </w:pPr>
      <w:r>
        <w:rPr>
          <w:rFonts w:ascii="Arial" w:cs="Arial" w:eastAsia="Arial" w:hAnsi="Arial"/>
          <w:sz w:val="19"/>
          <w:szCs w:val="19"/>
          <w:color w:val="auto"/>
        </w:rPr>
        <w:t>For the fiscal year ended December 31, 2023, the annual base salaries for Dr. Tak, Dr. Barone and Mr. Amello were $670,000, $413,005, and $466,045,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Annual Bonus</w:t>
      </w:r>
    </w:p>
    <w:p>
      <w:pPr>
        <w:spacing w:after="0" w:line="238" w:lineRule="exact"/>
        <w:rPr>
          <w:sz w:val="20"/>
          <w:szCs w:val="20"/>
          <w:color w:val="auto"/>
        </w:rPr>
      </w:pPr>
    </w:p>
    <w:p>
      <w:pPr>
        <w:ind w:right="60"/>
        <w:spacing w:after="0" w:line="263" w:lineRule="auto"/>
        <w:rPr>
          <w:sz w:val="20"/>
          <w:szCs w:val="20"/>
          <w:color w:val="auto"/>
        </w:rPr>
      </w:pPr>
      <w:r>
        <w:rPr>
          <w:rFonts w:ascii="Arial" w:cs="Arial" w:eastAsia="Arial" w:hAnsi="Arial"/>
          <w:sz w:val="19"/>
          <w:szCs w:val="19"/>
          <w:color w:val="auto"/>
        </w:rPr>
        <w:t>For the fiscal year ended December 31, 2023, each of the named executive officers was eligible to earn an annual cash bonus based on the achievement of certain corporate and individual performance milestones. The target annual bonuses for each of Dr. Tak, Dr. Barone and Mr. Amello for the fiscal year ended December 31, 2023 were 50%, 40% and 40% of annual base salary, respectively. Mr. Amello did not earn a bonus for fiscal year 2023 as he was not employed at the time bonuses for 2023 were paid.</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Equity Compensation</w:t>
      </w:r>
    </w:p>
    <w:p>
      <w:pPr>
        <w:spacing w:after="0" w:line="238"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Although we do not have a formal policy with respect to the grant of equity incentive awards to our executive officers, or any formal equity ownership guidelines applicable to them, we believe that equity grants provide our executive officers with a strong link to our long-term performance, create an ownership culture and help to align the interests of our executive officers and our stockholders. In addition, we believe that equity grants with a time-based vesting feature promote executive retention because this feature incentives our executive officers to remain in our employment during the vesting period. Accordingly, our board of directors periodically reviews the equity incentive compensation of our executives, including our named executive officers, and from time to time may grant equity incentive awards to them in the form of stock options or stock awards.</w:t>
      </w:r>
    </w:p>
    <w:p>
      <w:pPr>
        <w:spacing w:after="0" w:line="190" w:lineRule="exact"/>
        <w:rPr>
          <w:sz w:val="20"/>
          <w:szCs w:val="20"/>
          <w:color w:val="auto"/>
        </w:rPr>
      </w:pPr>
    </w:p>
    <w:p>
      <w:pPr>
        <w:ind w:right="80"/>
        <w:spacing w:after="0" w:line="263" w:lineRule="auto"/>
        <w:rPr>
          <w:sz w:val="20"/>
          <w:szCs w:val="20"/>
          <w:color w:val="auto"/>
        </w:rPr>
      </w:pPr>
      <w:r>
        <w:rPr>
          <w:rFonts w:ascii="Arial" w:cs="Arial" w:eastAsia="Arial" w:hAnsi="Arial"/>
          <w:sz w:val="19"/>
          <w:szCs w:val="19"/>
          <w:color w:val="auto"/>
        </w:rPr>
        <w:t>We typically grant stock option awards at the start of employment to each executive officer and our other employees. We also grant awards of stock options and restricted stock units on an annual basis for retention purposes. We award our stock options and restricted stock units on the date our board of directors or compensation committee approves the grant. We set the option exercise price equal to the fair market value of our common stock on the date of grant.</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401(k) Plan</w:t>
      </w:r>
    </w:p>
    <w:p>
      <w:pPr>
        <w:spacing w:after="0" w:line="238" w:lineRule="exact"/>
        <w:rPr>
          <w:sz w:val="20"/>
          <w:szCs w:val="20"/>
          <w:color w:val="auto"/>
        </w:rPr>
      </w:pPr>
    </w:p>
    <w:p>
      <w:pPr>
        <w:ind w:right="100"/>
        <w:spacing w:after="0" w:line="257" w:lineRule="auto"/>
        <w:rPr>
          <w:sz w:val="20"/>
          <w:szCs w:val="20"/>
          <w:color w:val="auto"/>
        </w:rPr>
      </w:pPr>
      <w:r>
        <w:rPr>
          <w:rFonts w:ascii="Arial" w:cs="Arial" w:eastAsia="Arial" w:hAnsi="Arial"/>
          <w:sz w:val="19"/>
          <w:szCs w:val="19"/>
          <w:color w:val="auto"/>
        </w:rPr>
        <w:t>We maintain a tax-qualified retirement plan (the 401(k) Plan) that provides eligible U.S. employees with an opportunity to save for retirement on a tax advantaged basis. Eligible employees are able to defer eligible compensation subject to applicable annual Code limits. Employees’ pre-tax or Roth contributions are allocated to each participant’s individual account and are then invested in selected investment alternatives according to the participants’ directions. Employees are immediately and fully vested in their contributions. Our 401(k) Plan is intended to be qualified under Section 401(a) of the Code with our 401(k) Plan’s related trust intended to be tax exempt under Section 501(a) of the Code. As a tax-qualified retirement plan, contributions to our 401(k) Plan and earnings on those contributions are not taxable to the employees until distributed from our 401(k) Plan.</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Health and Welfare Benefits</w:t>
      </w:r>
    </w:p>
    <w:p>
      <w:pPr>
        <w:spacing w:after="0" w:line="238" w:lineRule="exact"/>
        <w:rPr>
          <w:sz w:val="20"/>
          <w:szCs w:val="20"/>
          <w:color w:val="auto"/>
        </w:rPr>
      </w:pPr>
    </w:p>
    <w:p>
      <w:pPr>
        <w:ind w:right="620"/>
        <w:spacing w:after="0" w:line="273" w:lineRule="auto"/>
        <w:rPr>
          <w:sz w:val="20"/>
          <w:szCs w:val="20"/>
          <w:color w:val="auto"/>
        </w:rPr>
      </w:pPr>
      <w:r>
        <w:rPr>
          <w:rFonts w:ascii="Arial" w:cs="Arial" w:eastAsia="Arial" w:hAnsi="Arial"/>
          <w:sz w:val="19"/>
          <w:szCs w:val="19"/>
          <w:color w:val="auto"/>
        </w:rPr>
        <w:t>All of our named executive officers are eligible to participate in our employee benefit plans, including our medical, dental and vision insurance plans, in each case on the same basis as all of our other full-time employees.</w:t>
      </w:r>
    </w:p>
    <w:p>
      <w:pPr>
        <w:spacing w:after="0" w:line="174" w:lineRule="exact"/>
        <w:rPr>
          <w:sz w:val="20"/>
          <w:szCs w:val="20"/>
          <w:color w:val="auto"/>
        </w:rPr>
      </w:pPr>
    </w:p>
    <w:p>
      <w:pPr>
        <w:ind w:right="1000"/>
        <w:spacing w:after="0" w:line="295" w:lineRule="auto"/>
        <w:rPr>
          <w:sz w:val="20"/>
          <w:szCs w:val="20"/>
          <w:color w:val="auto"/>
        </w:rPr>
      </w:pPr>
      <w:r>
        <w:rPr>
          <w:rFonts w:ascii="Arial" w:cs="Arial" w:eastAsia="Arial" w:hAnsi="Arial"/>
          <w:sz w:val="19"/>
          <w:szCs w:val="19"/>
          <w:color w:val="auto"/>
        </w:rPr>
        <w:t>We believe the perquisites described above are necessary and appropriate to provide a competitive compensation package to our named executive officers.</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Rule 10b5-1 Sales Plans</w:t>
      </w:r>
    </w:p>
    <w:p>
      <w:pPr>
        <w:spacing w:after="0" w:line="236" w:lineRule="exact"/>
        <w:rPr>
          <w:sz w:val="20"/>
          <w:szCs w:val="20"/>
          <w:color w:val="auto"/>
        </w:rPr>
      </w:pPr>
    </w:p>
    <w:p>
      <w:pPr>
        <w:spacing w:after="0" w:line="267" w:lineRule="auto"/>
        <w:rPr>
          <w:sz w:val="20"/>
          <w:szCs w:val="20"/>
          <w:color w:val="auto"/>
        </w:rPr>
      </w:pPr>
      <w:r>
        <w:rPr>
          <w:rFonts w:ascii="Arial" w:cs="Arial" w:eastAsia="Arial" w:hAnsi="Arial"/>
          <w:sz w:val="19"/>
          <w:szCs w:val="19"/>
          <w:color w:val="auto"/>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officer when entering into the plan, without further direction from the director or officer. The director or officer may amend or terminate the</w:t>
      </w:r>
    </w:p>
    <w:p>
      <w:pPr>
        <w:sectPr>
          <w:pgSz w:w="12240" w:h="15840" w:orient="portrait"/>
          <w:cols w:equalWidth="0" w:num="1">
            <w:col w:w="9360"/>
          </w:cols>
          <w:pgMar w:left="1440" w:top="1440" w:right="1440" w:bottom="912" w:gutter="0" w:footer="0" w:header="0"/>
        </w:sectPr>
      </w:pPr>
    </w:p>
    <w:bookmarkStart w:id="159" w:name="page160"/>
    <w:bookmarkEnd w:id="159"/>
    <w:p>
      <w:pPr>
        <w:ind w:right="40"/>
        <w:spacing w:after="0" w:line="295" w:lineRule="auto"/>
        <w:rPr>
          <w:sz w:val="20"/>
          <w:szCs w:val="20"/>
          <w:color w:val="auto"/>
        </w:rPr>
      </w:pPr>
      <w:r>
        <w:rPr>
          <w:rFonts w:ascii="Arial" w:cs="Arial" w:eastAsia="Arial" w:hAnsi="Arial"/>
          <w:sz w:val="19"/>
          <w:szCs w:val="19"/>
          <w:color w:val="auto"/>
        </w:rPr>
        <w:t>plan in some circumstances. Our directors and executive officers may also buy or sell additional shares outside of a Rule 10b5-1 plan when they are not in possession of material, nonpublic information.</w:t>
      </w:r>
    </w:p>
    <w:p>
      <w:pPr>
        <w:spacing w:after="0" w:line="149" w:lineRule="exact"/>
        <w:rPr>
          <w:sz w:val="20"/>
          <w:szCs w:val="20"/>
          <w:color w:val="auto"/>
        </w:rPr>
      </w:pPr>
    </w:p>
    <w:p>
      <w:pPr>
        <w:ind w:right="1140"/>
        <w:spacing w:after="0" w:line="506" w:lineRule="auto"/>
        <w:rPr>
          <w:sz w:val="20"/>
          <w:szCs w:val="20"/>
          <w:color w:val="auto"/>
        </w:rPr>
      </w:pPr>
      <w:r>
        <w:rPr>
          <w:rFonts w:ascii="Arial" w:cs="Arial" w:eastAsia="Arial" w:hAnsi="Arial"/>
          <w:sz w:val="19"/>
          <w:szCs w:val="19"/>
          <w:b w:val="1"/>
          <w:bCs w:val="1"/>
          <w:color w:val="auto"/>
        </w:rPr>
        <w:t xml:space="preserve">Employment Arrangements and Severance Agreements with our Named Executive Officers </w:t>
      </w:r>
      <w:r>
        <w:rPr>
          <w:rFonts w:ascii="Arial" w:cs="Arial" w:eastAsia="Arial" w:hAnsi="Arial"/>
          <w:sz w:val="19"/>
          <w:szCs w:val="19"/>
          <w:color w:val="auto"/>
        </w:rPr>
        <w:t xml:space="preserve">We have entered into employment agreements with each of our named executive officers. </w:t>
      </w:r>
      <w:r>
        <w:rPr>
          <w:rFonts w:ascii="Arial" w:cs="Arial" w:eastAsia="Arial" w:hAnsi="Arial"/>
          <w:sz w:val="19"/>
          <w:szCs w:val="19"/>
          <w:b w:val="1"/>
          <w:bCs w:val="1"/>
          <w:i w:val="1"/>
          <w:iCs w:val="1"/>
          <w:color w:val="auto"/>
        </w:rPr>
        <w:t>Paul Peter Tak, M.D., Ph.D., FMedSci</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9"/>
          <w:szCs w:val="19"/>
          <w:color w:val="auto"/>
        </w:rPr>
        <w:t>Effective September 12, 2020, we entered into an employment agreement with Dr. Tak (the Tak Employment Agreement), for the position of President and Chief Executive Officer. The Tak Employment Agreement provides for an annual base salary and an annual bonus opportunity. Pursuant to the Tak Employment Agreement, Dr. Tak’s annual base salary increased to $670,000 per year effective on the first anniversary of the commencement of his employment because the Company completed an underwritten public offering prior to such date. The Tak Employment Agreement provided for a signing bonus in the gross amount of $170,000, payable in four equal quarterly installments of $42,500 each, commencing on the first payroll date following the commencement of his employment and on each 3-month anniversary of employment following his start date, provided that he remains employed through each date of payment. Pursuant to the Tak Employment Agreement, Dr. Tak is eligible to receive a lump sum payment of $80,000 to assist with relocation to the Greater Boston Area if he relocates in 2022 or thereafter, subject to repayment if Dr. Tak terminates his employment other than for “good reason” or we terminate his employment for “cause” (as such terms are defined in the Tak Employment Agreement) within 12 months of receipt of the relocation assistance payment. Pursuant to the Tak Employment Agreement, we will reimburse Dr. Tak for reasonable costs related to travel to Massachusetts and temporary housing in Massachusetts, not to exceed $20,000, which amount will be grossed up in respect of any related taxes, reasonable legal fees related to obtaining a visa, reasonable fees for independent tax and accounting advice not to exceed $10,000 per year, and reasonable legal fees related to negotiation of his employment agreement, not to exceed $10,000. Dr. Tak is eligible to participate in the employee benefit plans available to our employees, subject to the terms of those plans.</w:t>
      </w:r>
    </w:p>
    <w:p>
      <w:pPr>
        <w:spacing w:after="0" w:line="207" w:lineRule="exact"/>
        <w:rPr>
          <w:sz w:val="20"/>
          <w:szCs w:val="20"/>
          <w:color w:val="auto"/>
        </w:rPr>
      </w:pPr>
    </w:p>
    <w:p>
      <w:pPr>
        <w:ind w:right="20"/>
        <w:spacing w:after="0" w:line="254" w:lineRule="auto"/>
        <w:rPr>
          <w:sz w:val="20"/>
          <w:szCs w:val="20"/>
          <w:color w:val="auto"/>
        </w:rPr>
      </w:pPr>
      <w:r>
        <w:rPr>
          <w:rFonts w:ascii="Arial" w:cs="Arial" w:eastAsia="Arial" w:hAnsi="Arial"/>
          <w:sz w:val="19"/>
          <w:szCs w:val="19"/>
          <w:color w:val="auto"/>
        </w:rPr>
        <w:t>Pursuant to the Tak Employment Agreement, in the event that Dr. Tak’s employment is terminated by us without cause or by Dr. Tak for good reason outside of the 3 month period preceding and 12 month period following the first event constituting a change in control (such period, the “change in control period”), subject to the execution and effectiveness of a severance and release of claims agreement within 60 days of such termination, he will be entitled to receive (i) an amount equal to 12 months of base salary plus Dr. Tak’s target bonus for the then-current year, less any payments Dr. Tak receives pursuant to his restrictive covenants agreement with the Company, payable in installments over 12 months commencing within 60 days of termination, and (ii) subject to the Dr. Tak’s timely election to continue COBRA health coverage and copayment of premium amounts at the applicable active employees’ rate, we will continue to pay the share of the premiums that we would have paid to provide health insurance to Dr. Tak until the earlier of (A) 12 months following termination or (B) Dr. Tak’s eligibility for group medical plan benefits under any other employer’s group medical plan. In the event that such termination occurs during the change in control period, Dr. Tak will, subject to the execution and effectiveness of a general severance and release of claims agreement within 60 days of such termination, be entitled to receive (x) a lump sum payment equal to 1.5 times the sum of Dr. Tak’s then-current base salary (or base salary in effect immediately prior to the change in control, if higher), plus his target bonus for the then-current year (or his target bonus in effect immediately prior to the change in control, if higher), less any payments Dr. Tak receives pursuant to his restrictive covenants agreement with the Company, and (y) the benefits set forth in clause (ii) of the preceding sentence but for a period of 18 months. In addition, pursuant to the Tak Employment Agreement, all equity awards held by Dr. Tak that are subject to time-based vesting will fully accelerate as of the earlier of the consummation of a “change in control” of the Company (as defined in the Tak Employment Agreement) or the termination of Dr. Tak’s employment by the Company without cause or by Dr. Tak for good reason. Furthermore, in the event of a change of control or Dr. Tak’s termination without cause or for good reason, Dr. Tak will have no less than 12 months to exercise vested, unexpired stock options.</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Francesca Barone, M.D., Ph.D.</w:t>
      </w:r>
    </w:p>
    <w:p>
      <w:pPr>
        <w:sectPr>
          <w:pgSz w:w="12240" w:h="15840" w:orient="portrait"/>
          <w:cols w:equalWidth="0" w:num="1">
            <w:col w:w="9360"/>
          </w:cols>
          <w:pgMar w:left="1440" w:top="1432" w:right="1440" w:bottom="1440" w:gutter="0" w:footer="0" w:header="0"/>
        </w:sectPr>
      </w:pPr>
    </w:p>
    <w:bookmarkStart w:id="160" w:name="page161"/>
    <w:bookmarkEnd w:id="160"/>
    <w:p>
      <w:pPr>
        <w:ind w:right="100"/>
        <w:spacing w:after="0" w:line="266" w:lineRule="auto"/>
        <w:rPr>
          <w:sz w:val="20"/>
          <w:szCs w:val="20"/>
          <w:color w:val="auto"/>
        </w:rPr>
      </w:pPr>
      <w:r>
        <w:rPr>
          <w:rFonts w:ascii="Arial" w:cs="Arial" w:eastAsia="Arial" w:hAnsi="Arial"/>
          <w:sz w:val="19"/>
          <w:szCs w:val="19"/>
          <w:color w:val="auto"/>
        </w:rPr>
        <w:t>Effective February 3, 2022, we entered into an employment agreement with Dr. Barone (the Barone Employment Agreement), for the position of Chief Scientific Officer. The Barone Employment Agreement provides for an annual base salary and an annual target bonus opportunity. Dr. Barone is eligible to participate in the employee benefit plans available to our employees, subject to the terms of those plans.</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9"/>
          <w:szCs w:val="19"/>
          <w:color w:val="auto"/>
        </w:rPr>
        <w:t>Pursuant to the Barone Employment Agreement, in the event that Dr. Barone’s employment is terminated by us without cause or by Dr. Barone for good reason, subject to the execution and effectiveness of a severance and release of claims agreement within 60 days of such termination, she will be entitled to receive (i) an amount equal to nine months of base salary plus Dr. Barone’s target bonus for the then-current year, less any payments Dr. Barone receives pursuant to her restrictive covenants agreement with the Company, payable in installments over 9 months commencing within 60 days of termination, and (ii) subject to Dr. Barone’s timely election to continue COBRA health coverage and copayment of premium amounts at the applicable active employees’ rate, we will continue to pay the share of the premiums that we would have paid to provide health insurance to Dr. Barone until the earlier of (A) nine months following termination, (B) Dr. Barone’s eligibility for group medical plan benefits under any other employer’s group medical plan or (C) the cessation of Dr. Barone’s health continuation rights under COBRA; provided, however, that if the Company determines that it cannot pay such amounts to the group health plan provider or the COBRA provider (if applicable) without potentially violating applicable law, then the Company shall convert such payments to payroll payments directly to Dr. Barone for the time period specified above. Pursuant to the Barone Employment Agreement, all equity awards held by Dr. Barone that are subject to time-based vesting will fully accelerate if Dr. Barone’s employment is terminated by the Company without “cause” or by Dr. Barone for “good reason” within one month prior to or 12 months following the consummation of a “change in control” (as such terms are defined in the Barone Employment Agreement).</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Jason A. Amello</w:t>
      </w:r>
    </w:p>
    <w:p>
      <w:pPr>
        <w:spacing w:after="0" w:line="238" w:lineRule="exact"/>
        <w:rPr>
          <w:sz w:val="20"/>
          <w:szCs w:val="20"/>
          <w:color w:val="auto"/>
        </w:rPr>
      </w:pPr>
    </w:p>
    <w:p>
      <w:pPr>
        <w:ind w:right="260"/>
        <w:spacing w:after="0" w:line="263" w:lineRule="auto"/>
        <w:rPr>
          <w:sz w:val="20"/>
          <w:szCs w:val="20"/>
          <w:color w:val="auto"/>
        </w:rPr>
      </w:pPr>
      <w:r>
        <w:rPr>
          <w:rFonts w:ascii="Arial" w:cs="Arial" w:eastAsia="Arial" w:hAnsi="Arial"/>
          <w:sz w:val="19"/>
          <w:szCs w:val="19"/>
          <w:color w:val="auto"/>
        </w:rPr>
        <w:t>Effective September 21, 2022, we entered into an employment agreement with Mr. Amello (the Amello Employment Agreement), for the position of Chief Financial Officer. The Amello Employment Agreement provided for an annual base salary and an annual target bonus opportunity. Pursuant to the Amello Employment Agreement, Mr. Amello was eligible to participate in the employee benefit plans available to our employees, subject to the terms of those plans.</w:t>
      </w:r>
    </w:p>
    <w:p>
      <w:pPr>
        <w:spacing w:after="0" w:line="183" w:lineRule="exact"/>
        <w:rPr>
          <w:sz w:val="20"/>
          <w:szCs w:val="20"/>
          <w:color w:val="auto"/>
        </w:rPr>
      </w:pPr>
    </w:p>
    <w:p>
      <w:pPr>
        <w:ind w:right="60"/>
        <w:spacing w:after="0" w:line="255" w:lineRule="auto"/>
        <w:rPr>
          <w:sz w:val="20"/>
          <w:szCs w:val="20"/>
          <w:color w:val="auto"/>
        </w:rPr>
      </w:pPr>
      <w:r>
        <w:rPr>
          <w:rFonts w:ascii="Arial" w:cs="Arial" w:eastAsia="Arial" w:hAnsi="Arial"/>
          <w:sz w:val="19"/>
          <w:szCs w:val="19"/>
          <w:color w:val="auto"/>
        </w:rPr>
        <w:t>Pursuant to the Amello Employment Agreement, in the event that Mr. Amello’s employment was terminated by us without cause or by Mr. Amello for good reason, subject to the execution and effectiveness of a severance and release of claims agreement within 60 days of such termination, he would have been entitled to receive (i) an amount equal to nine months of base salary plus Mr. Amello’s target bonus for the then-current year, less any payments Mr. Amello received pursuant to his restrictive covenants agreement with the Company, payable in installments over 9 months commencing within 60 days of termination, and (ii) subject to Mr. Amello’s timely election to continue COBRA health coverage and copayment of premium amounts at the applicable active employees’ rate, we would continue to pay the share of the premiums that we would have paid to provide health insurance to Mr. Amello until the earlier of (A) nine months following termination, (B) Mr. Amello’s eligibility for group medical plan benefits under any other employer’s group medical plan or (C) the cessation of Mr. Amello’s health continuation rights under COBRA; provided, however, that if the Company determined that it could not pay such amounts to the group health plan provider or the COBRA provider (if applicable) without potentially violating applicable law, then the Company should convert such payments to payroll payments directly to Mr. Amello for the time period specified above. Pursuant to the Amello Employment Agreement, all equity awards held by Mr. Amello that are subject to time-based vesting would fully accelerate if Mr. Amello’s employment was terminated by the Company without “cause” or by Mr. Amello for “good reason” within one month prior to or 12 months following the consummation of a “change in control” (as such terms are defined in the Amello Employment Agreement).</w:t>
      </w:r>
    </w:p>
    <w:p>
      <w:pPr>
        <w:spacing w:after="0" w:line="189" w:lineRule="exact"/>
        <w:rPr>
          <w:sz w:val="20"/>
          <w:szCs w:val="20"/>
          <w:color w:val="auto"/>
        </w:rPr>
      </w:pPr>
    </w:p>
    <w:p>
      <w:pPr>
        <w:ind w:right="80"/>
        <w:spacing w:after="0" w:line="263" w:lineRule="auto"/>
        <w:rPr>
          <w:sz w:val="20"/>
          <w:szCs w:val="20"/>
          <w:color w:val="auto"/>
        </w:rPr>
      </w:pPr>
      <w:r>
        <w:rPr>
          <w:rFonts w:ascii="Arial" w:cs="Arial" w:eastAsia="Arial" w:hAnsi="Arial"/>
          <w:sz w:val="19"/>
          <w:szCs w:val="19"/>
          <w:color w:val="auto"/>
        </w:rPr>
        <w:t>Effective January 12, 2024, Mr. Amello voluntarily resigned as Chief Financial Officer and his employment with Candel terminated. Mr. Amello did not receive any termination benefits as a result of his voluntary resignation. Effective January 12, 2024, we entered into a consulting agreement with Mr. Amello (the Amello Consulting Agreement), pursuant to which Mr. Amello agreed to provide consulting services to us as an advisor to our Chief Executive Officer and Interim Chief Financial Officer for up to 12 months. Pursuant to the Amello</w:t>
      </w:r>
    </w:p>
    <w:p>
      <w:pPr>
        <w:sectPr>
          <w:pgSz w:w="12240" w:h="15840" w:orient="portrait"/>
          <w:cols w:equalWidth="0" w:num="1">
            <w:col w:w="9360"/>
          </w:cols>
          <w:pgMar w:left="1440" w:top="1432" w:right="1440" w:bottom="917" w:gutter="0" w:footer="0" w:header="0"/>
        </w:sectPr>
      </w:pPr>
    </w:p>
    <w:bookmarkStart w:id="161" w:name="page162"/>
    <w:bookmarkEnd w:id="161"/>
    <w:p>
      <w:pPr>
        <w:ind w:right="500"/>
        <w:spacing w:after="0" w:line="274" w:lineRule="auto"/>
        <w:rPr>
          <w:sz w:val="20"/>
          <w:szCs w:val="20"/>
          <w:color w:val="auto"/>
        </w:rPr>
      </w:pPr>
      <w:r>
        <w:rPr>
          <w:rFonts w:ascii="Arial" w:cs="Arial" w:eastAsia="Arial" w:hAnsi="Arial"/>
          <w:sz w:val="19"/>
          <w:szCs w:val="19"/>
          <w:color w:val="auto"/>
        </w:rPr>
        <w:t>Consulting Agreement, Mr. Amello’s outstanding stock options continued to vest until March 31, 2024, and such stock options vested as of such date shall remain exercisable for up to 12 months following January 12, 2024, subject to the terms of the Amello Consulting Agreement.</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Outstanding Equity Awards</w:t>
      </w:r>
    </w:p>
    <w:p>
      <w:pPr>
        <w:spacing w:after="0" w:line="245" w:lineRule="exact"/>
        <w:rPr>
          <w:sz w:val="20"/>
          <w:szCs w:val="20"/>
          <w:color w:val="auto"/>
        </w:rPr>
      </w:pPr>
    </w:p>
    <w:p>
      <w:pPr>
        <w:ind w:right="500"/>
        <w:spacing w:after="0" w:line="295" w:lineRule="auto"/>
        <w:rPr>
          <w:sz w:val="20"/>
          <w:szCs w:val="20"/>
          <w:color w:val="auto"/>
        </w:rPr>
      </w:pPr>
      <w:r>
        <w:rPr>
          <w:rFonts w:ascii="Arial" w:cs="Arial" w:eastAsia="Arial" w:hAnsi="Arial"/>
          <w:sz w:val="19"/>
          <w:szCs w:val="19"/>
          <w:color w:val="auto"/>
        </w:rPr>
        <w:t>The following table sets forth information concerning outstanding equity awards held by our named executive officers as of December 31, 2023.</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gridSpan w:val="4"/>
          </w:tcPr>
          <w:p>
            <w:pPr>
              <w:spacing w:after="0"/>
              <w:rPr>
                <w:sz w:val="20"/>
                <w:szCs w:val="20"/>
                <w:color w:val="auto"/>
              </w:rPr>
            </w:pPr>
            <w:r>
              <w:rPr>
                <w:rFonts w:ascii="Arial" w:cs="Arial" w:eastAsia="Arial" w:hAnsi="Arial"/>
                <w:sz w:val="14"/>
                <w:szCs w:val="14"/>
                <w:b w:val="1"/>
                <w:bCs w:val="1"/>
                <w:color w:val="auto"/>
              </w:rPr>
              <w:t>Option Awards (1)</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8"/>
              </w:rPr>
              <w:t>Stock Awards(1)</w:t>
            </w:r>
          </w:p>
        </w:tc>
        <w:tc>
          <w:tcPr>
            <w:tcW w:w="0" w:type="dxa"/>
            <w:vAlign w:val="bottom"/>
          </w:tcPr>
          <w:p>
            <w:pPr>
              <w:spacing w:after="0"/>
              <w:rPr>
                <w:sz w:val="1"/>
                <w:szCs w:val="1"/>
                <w:color w:val="auto"/>
              </w:rPr>
            </w:pPr>
          </w:p>
        </w:tc>
      </w:tr>
      <w:tr>
        <w:trPr>
          <w:trHeight w:val="140"/>
        </w:trPr>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rPr>
              <w:t>Equity</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w w:val="88"/>
              </w:rPr>
              <w:t>Market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Incentive</w:t>
            </w: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Value of</w:t>
            </w:r>
          </w:p>
        </w:tc>
        <w:tc>
          <w:tcPr>
            <w:tcW w:w="0" w:type="dxa"/>
            <w:vAlign w:val="bottom"/>
          </w:tcPr>
          <w:p>
            <w:pPr>
              <w:spacing w:after="0"/>
              <w:rPr>
                <w:sz w:val="1"/>
                <w:szCs w:val="1"/>
                <w:color w:val="auto"/>
              </w:rPr>
            </w:pPr>
          </w:p>
        </w:tc>
      </w:tr>
      <w:tr>
        <w:trPr>
          <w:trHeight w:val="163"/>
        </w:trPr>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Plan</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00" w:type="dxa"/>
            <w:vAlign w:val="bottom"/>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Shares</w:t>
            </w:r>
          </w:p>
        </w:tc>
        <w:tc>
          <w:tcPr>
            <w:tcW w:w="0" w:type="dxa"/>
            <w:vAlign w:val="bottom"/>
          </w:tcPr>
          <w:p>
            <w:pPr>
              <w:spacing w:after="0"/>
              <w:rPr>
                <w:sz w:val="1"/>
                <w:szCs w:val="1"/>
                <w:color w:val="auto"/>
              </w:rPr>
            </w:pPr>
          </w:p>
        </w:tc>
      </w:tr>
      <w:tr>
        <w:trPr>
          <w:trHeight w:val="161"/>
        </w:trPr>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9"/>
              </w:rPr>
              <w:t>Number of</w:t>
            </w:r>
          </w:p>
        </w:tc>
        <w:tc>
          <w:tcPr>
            <w:tcW w:w="220" w:type="dxa"/>
            <w:vAlign w:val="bottom"/>
          </w:tcPr>
          <w:p>
            <w:pPr>
              <w:spacing w:after="0"/>
              <w:rPr>
                <w:sz w:val="13"/>
                <w:szCs w:val="13"/>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Number of</w:t>
            </w:r>
          </w:p>
        </w:tc>
        <w:tc>
          <w:tcPr>
            <w:tcW w:w="200" w:type="dxa"/>
            <w:vAlign w:val="bottom"/>
          </w:tcPr>
          <w:p>
            <w:pPr>
              <w:spacing w:after="0"/>
              <w:rPr>
                <w:sz w:val="13"/>
                <w:szCs w:val="13"/>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rPr>
              <w:t>Awards:</w:t>
            </w: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rPr>
              <w:t>of Shares</w:t>
            </w:r>
          </w:p>
        </w:tc>
        <w:tc>
          <w:tcPr>
            <w:tcW w:w="200" w:type="dxa"/>
            <w:vAlign w:val="bottom"/>
          </w:tcPr>
          <w:p>
            <w:pPr>
              <w:spacing w:after="0"/>
              <w:rPr>
                <w:sz w:val="13"/>
                <w:szCs w:val="13"/>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or Units</w:t>
            </w:r>
          </w:p>
        </w:tc>
        <w:tc>
          <w:tcPr>
            <w:tcW w:w="0" w:type="dxa"/>
            <w:vAlign w:val="bottom"/>
          </w:tcPr>
          <w:p>
            <w:pPr>
              <w:spacing w:after="0"/>
              <w:rPr>
                <w:sz w:val="1"/>
                <w:szCs w:val="1"/>
                <w:color w:val="auto"/>
              </w:rPr>
            </w:pPr>
          </w:p>
        </w:tc>
      </w:tr>
      <w:tr>
        <w:trPr>
          <w:trHeight w:val="161"/>
        </w:trPr>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8"/>
              </w:rPr>
              <w:t>Securities</w:t>
            </w:r>
          </w:p>
        </w:tc>
        <w:tc>
          <w:tcPr>
            <w:tcW w:w="220" w:type="dxa"/>
            <w:vAlign w:val="bottom"/>
          </w:tcPr>
          <w:p>
            <w:pPr>
              <w:spacing w:after="0"/>
              <w:rPr>
                <w:sz w:val="13"/>
                <w:szCs w:val="13"/>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Securities</w:t>
            </w:r>
          </w:p>
        </w:tc>
        <w:tc>
          <w:tcPr>
            <w:tcW w:w="200" w:type="dxa"/>
            <w:vAlign w:val="bottom"/>
          </w:tcPr>
          <w:p>
            <w:pPr>
              <w:spacing w:after="0"/>
              <w:rPr>
                <w:sz w:val="13"/>
                <w:szCs w:val="13"/>
                <w:color w:val="auto"/>
              </w:rPr>
            </w:pPr>
          </w:p>
        </w:tc>
        <w:tc>
          <w:tcPr>
            <w:tcW w:w="8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9"/>
              </w:rPr>
              <w:t>Number of</w:t>
            </w: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or Units</w:t>
            </w:r>
          </w:p>
        </w:tc>
        <w:tc>
          <w:tcPr>
            <w:tcW w:w="200" w:type="dxa"/>
            <w:vAlign w:val="bottom"/>
          </w:tcPr>
          <w:p>
            <w:pPr>
              <w:spacing w:after="0"/>
              <w:rPr>
                <w:sz w:val="13"/>
                <w:szCs w:val="13"/>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of Stock</w:t>
            </w:r>
          </w:p>
        </w:tc>
        <w:tc>
          <w:tcPr>
            <w:tcW w:w="0" w:type="dxa"/>
            <w:vAlign w:val="bottom"/>
          </w:tcPr>
          <w:p>
            <w:pPr>
              <w:spacing w:after="0"/>
              <w:rPr>
                <w:sz w:val="1"/>
                <w:szCs w:val="1"/>
                <w:color w:val="auto"/>
              </w:rPr>
            </w:pPr>
          </w:p>
        </w:tc>
      </w:tr>
      <w:tr>
        <w:trPr>
          <w:trHeight w:val="161"/>
        </w:trPr>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220" w:type="dxa"/>
            <w:vAlign w:val="bottom"/>
          </w:tcPr>
          <w:p>
            <w:pPr>
              <w:spacing w:after="0"/>
              <w:rPr>
                <w:sz w:val="13"/>
                <w:szCs w:val="13"/>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Underlying</w:t>
            </w:r>
          </w:p>
        </w:tc>
        <w:tc>
          <w:tcPr>
            <w:tcW w:w="200" w:type="dxa"/>
            <w:vAlign w:val="bottom"/>
          </w:tcPr>
          <w:p>
            <w:pPr>
              <w:spacing w:after="0"/>
              <w:rPr>
                <w:sz w:val="13"/>
                <w:szCs w:val="13"/>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rPr>
              <w:t>Securities</w:t>
            </w: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rPr>
              <w:t>of Stock</w:t>
            </w:r>
          </w:p>
        </w:tc>
        <w:tc>
          <w:tcPr>
            <w:tcW w:w="200" w:type="dxa"/>
            <w:vAlign w:val="bottom"/>
          </w:tcPr>
          <w:p>
            <w:pPr>
              <w:spacing w:after="0"/>
              <w:rPr>
                <w:sz w:val="13"/>
                <w:szCs w:val="13"/>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That</w:t>
            </w:r>
          </w:p>
        </w:tc>
        <w:tc>
          <w:tcPr>
            <w:tcW w:w="0" w:type="dxa"/>
            <w:vAlign w:val="bottom"/>
          </w:tcPr>
          <w:p>
            <w:pPr>
              <w:spacing w:after="0"/>
              <w:rPr>
                <w:sz w:val="1"/>
                <w:szCs w:val="1"/>
                <w:color w:val="auto"/>
              </w:rPr>
            </w:pPr>
          </w:p>
        </w:tc>
      </w:tr>
      <w:tr>
        <w:trPr>
          <w:trHeight w:val="161"/>
        </w:trPr>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Unexercised</w:t>
            </w:r>
          </w:p>
        </w:tc>
        <w:tc>
          <w:tcPr>
            <w:tcW w:w="220" w:type="dxa"/>
            <w:vAlign w:val="bottom"/>
          </w:tcPr>
          <w:p>
            <w:pPr>
              <w:spacing w:after="0"/>
              <w:rPr>
                <w:sz w:val="13"/>
                <w:szCs w:val="13"/>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Unexercised</w:t>
            </w:r>
          </w:p>
        </w:tc>
        <w:tc>
          <w:tcPr>
            <w:tcW w:w="200" w:type="dxa"/>
            <w:vAlign w:val="bottom"/>
          </w:tcPr>
          <w:p>
            <w:pPr>
              <w:spacing w:after="0"/>
              <w:rPr>
                <w:sz w:val="13"/>
                <w:szCs w:val="13"/>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Underlying</w:t>
            </w: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That</w:t>
            </w:r>
          </w:p>
        </w:tc>
        <w:tc>
          <w:tcPr>
            <w:tcW w:w="200" w:type="dxa"/>
            <w:vAlign w:val="bottom"/>
          </w:tcPr>
          <w:p>
            <w:pPr>
              <w:spacing w:after="0"/>
              <w:rPr>
                <w:sz w:val="13"/>
                <w:szCs w:val="13"/>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Have</w:t>
            </w:r>
          </w:p>
        </w:tc>
        <w:tc>
          <w:tcPr>
            <w:tcW w:w="0" w:type="dxa"/>
            <w:vAlign w:val="bottom"/>
          </w:tcPr>
          <w:p>
            <w:pPr>
              <w:spacing w:after="0"/>
              <w:rPr>
                <w:sz w:val="1"/>
                <w:szCs w:val="1"/>
                <w:color w:val="auto"/>
              </w:rPr>
            </w:pPr>
          </w:p>
        </w:tc>
      </w:tr>
      <w:tr>
        <w:trPr>
          <w:trHeight w:val="161"/>
        </w:trPr>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8"/>
              </w:rPr>
              <w:t>Vesting</w:t>
            </w:r>
          </w:p>
        </w:tc>
        <w:tc>
          <w:tcPr>
            <w:tcW w:w="20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8"/>
              </w:rPr>
              <w:t>Options</w:t>
            </w:r>
          </w:p>
        </w:tc>
        <w:tc>
          <w:tcPr>
            <w:tcW w:w="220" w:type="dxa"/>
            <w:vAlign w:val="bottom"/>
          </w:tcPr>
          <w:p>
            <w:pPr>
              <w:spacing w:after="0"/>
              <w:rPr>
                <w:sz w:val="13"/>
                <w:szCs w:val="13"/>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Options</w:t>
            </w:r>
          </w:p>
        </w:tc>
        <w:tc>
          <w:tcPr>
            <w:tcW w:w="200" w:type="dxa"/>
            <w:vAlign w:val="bottom"/>
          </w:tcPr>
          <w:p>
            <w:pPr>
              <w:spacing w:after="0"/>
              <w:rPr>
                <w:sz w:val="13"/>
                <w:szCs w:val="13"/>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Unexercised</w:t>
            </w:r>
          </w:p>
        </w:tc>
        <w:tc>
          <w:tcPr>
            <w:tcW w:w="20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7"/>
              </w:rPr>
              <w:t>Option</w:t>
            </w:r>
          </w:p>
        </w:tc>
        <w:tc>
          <w:tcPr>
            <w:tcW w:w="20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7"/>
              </w:rPr>
              <w:t>Option</w:t>
            </w:r>
          </w:p>
        </w:tc>
        <w:tc>
          <w:tcPr>
            <w:tcW w:w="220" w:type="dxa"/>
            <w:vAlign w:val="bottom"/>
          </w:tcPr>
          <w:p>
            <w:pPr>
              <w:spacing w:after="0"/>
              <w:rPr>
                <w:sz w:val="13"/>
                <w:szCs w:val="13"/>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Have Not</w:t>
            </w:r>
          </w:p>
        </w:tc>
        <w:tc>
          <w:tcPr>
            <w:tcW w:w="200" w:type="dxa"/>
            <w:vAlign w:val="bottom"/>
          </w:tcPr>
          <w:p>
            <w:pPr>
              <w:spacing w:after="0"/>
              <w:rPr>
                <w:sz w:val="13"/>
                <w:szCs w:val="13"/>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Not</w:t>
            </w:r>
          </w:p>
        </w:tc>
        <w:tc>
          <w:tcPr>
            <w:tcW w:w="0" w:type="dxa"/>
            <w:vAlign w:val="bottom"/>
          </w:tcPr>
          <w:p>
            <w:pPr>
              <w:spacing w:after="0"/>
              <w:rPr>
                <w:sz w:val="1"/>
                <w:szCs w:val="1"/>
                <w:color w:val="auto"/>
              </w:rPr>
            </w:pPr>
          </w:p>
        </w:tc>
      </w:tr>
      <w:tr>
        <w:trPr>
          <w:trHeight w:val="161"/>
        </w:trPr>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Commencem</w:t>
            </w:r>
          </w:p>
        </w:tc>
        <w:tc>
          <w:tcPr>
            <w:tcW w:w="2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8"/>
              </w:rPr>
              <w:t>(Exercisable)</w:t>
            </w:r>
          </w:p>
        </w:tc>
        <w:tc>
          <w:tcPr>
            <w:tcW w:w="22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(Unexercisable)</w:t>
            </w:r>
          </w:p>
        </w:tc>
        <w:tc>
          <w:tcPr>
            <w:tcW w:w="20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Unearned</w:t>
            </w:r>
          </w:p>
        </w:tc>
        <w:tc>
          <w:tcPr>
            <w:tcW w:w="2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7"/>
              </w:rPr>
              <w:t>Exercise</w:t>
            </w:r>
          </w:p>
        </w:tc>
        <w:tc>
          <w:tcPr>
            <w:tcW w:w="2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9"/>
              </w:rPr>
              <w:t>Expiration</w:t>
            </w:r>
          </w:p>
        </w:tc>
        <w:tc>
          <w:tcPr>
            <w:tcW w:w="22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Vested</w:t>
            </w:r>
          </w:p>
        </w:tc>
        <w:tc>
          <w:tcPr>
            <w:tcW w:w="200" w:type="dxa"/>
            <w:vAlign w:val="bottom"/>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Vested</w:t>
            </w:r>
          </w:p>
        </w:tc>
        <w:tc>
          <w:tcPr>
            <w:tcW w:w="0" w:type="dxa"/>
            <w:vAlign w:val="bottom"/>
          </w:tcPr>
          <w:p>
            <w:pPr>
              <w:spacing w:after="0"/>
              <w:rPr>
                <w:sz w:val="1"/>
                <w:szCs w:val="1"/>
                <w:color w:val="auto"/>
              </w:rPr>
            </w:pPr>
          </w:p>
        </w:tc>
      </w:tr>
      <w:tr>
        <w:trPr>
          <w:trHeight w:val="176"/>
        </w:trPr>
        <w:tc>
          <w:tcPr>
            <w:tcW w:w="1240" w:type="dxa"/>
            <w:vAlign w:val="bottom"/>
          </w:tcPr>
          <w:p>
            <w:pPr>
              <w:ind w:left="480"/>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7"/>
              </w:rPr>
              <w:t>ent Date</w:t>
            </w:r>
          </w:p>
        </w:tc>
        <w:tc>
          <w:tcPr>
            <w:tcW w:w="1140" w:type="dxa"/>
            <w:vAlign w:val="bottom"/>
            <w:gridSpan w:val="2"/>
          </w:tcPr>
          <w:p>
            <w:pPr>
              <w:jc w:val="center"/>
              <w:ind w:left="130"/>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center"/>
              <w:ind w:left="310"/>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Options (#)</w:t>
            </w:r>
          </w:p>
        </w:tc>
        <w:tc>
          <w:tcPr>
            <w:tcW w:w="20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Price ($)</w:t>
            </w:r>
          </w:p>
        </w:tc>
        <w:tc>
          <w:tcPr>
            <w:tcW w:w="2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Date</w:t>
            </w:r>
          </w:p>
        </w:tc>
        <w:tc>
          <w:tcPr>
            <w:tcW w:w="880" w:type="dxa"/>
            <w:vAlign w:val="bottom"/>
            <w:gridSpan w:val="3"/>
          </w:tcPr>
          <w:p>
            <w:pPr>
              <w:jc w:val="center"/>
              <w:ind w:left="130"/>
              <w:spacing w:after="0"/>
              <w:rPr>
                <w:sz w:val="20"/>
                <w:szCs w:val="20"/>
                <w:color w:val="auto"/>
              </w:rPr>
            </w:pPr>
            <w:r>
              <w:rPr>
                <w:rFonts w:ascii="Arial" w:cs="Arial" w:eastAsia="Arial" w:hAnsi="Arial"/>
                <w:sz w:val="14"/>
                <w:szCs w:val="14"/>
                <w:b w:val="1"/>
                <w:bCs w:val="1"/>
                <w:color w:val="auto"/>
                <w:w w:val="93"/>
              </w:rPr>
              <w:t>(#)</w:t>
            </w:r>
          </w:p>
        </w:tc>
        <w:tc>
          <w:tcPr>
            <w:tcW w:w="920" w:type="dxa"/>
            <w:vAlign w:val="bottom"/>
            <w:gridSpan w:val="3"/>
          </w:tcPr>
          <w:p>
            <w:pPr>
              <w:jc w:val="center"/>
              <w:ind w:left="30"/>
              <w:spacing w:after="0"/>
              <w:rPr>
                <w:sz w:val="20"/>
                <w:szCs w:val="20"/>
                <w:color w:val="auto"/>
              </w:rPr>
            </w:pPr>
            <w:r>
              <w:rPr>
                <w:rFonts w:ascii="Arial" w:cs="Arial" w:eastAsia="Arial" w:hAnsi="Arial"/>
                <w:sz w:val="14"/>
                <w:szCs w:val="14"/>
                <w:b w:val="1"/>
                <w:bCs w:val="1"/>
                <w:color w:val="auto"/>
                <w:w w:val="99"/>
              </w:rPr>
              <w:t>($)(2)</w:t>
            </w:r>
          </w:p>
        </w:tc>
        <w:tc>
          <w:tcPr>
            <w:tcW w:w="0" w:type="dxa"/>
            <w:vAlign w:val="bottom"/>
          </w:tcPr>
          <w:p>
            <w:pPr>
              <w:spacing w:after="0"/>
              <w:rPr>
                <w:sz w:val="1"/>
                <w:szCs w:val="1"/>
                <w:color w:val="auto"/>
              </w:rPr>
            </w:pPr>
          </w:p>
        </w:tc>
      </w:tr>
      <w:tr>
        <w:trPr>
          <w:trHeight w:val="254"/>
        </w:trPr>
        <w:tc>
          <w:tcPr>
            <w:tcW w:w="1240" w:type="dxa"/>
            <w:vAlign w:val="bottom"/>
            <w:shd w:val="clear" w:color="auto" w:fill="CFF0FC"/>
          </w:tcPr>
          <w:p>
            <w:pPr>
              <w:ind w:left="100"/>
              <w:spacing w:after="0"/>
              <w:rPr>
                <w:sz w:val="20"/>
                <w:szCs w:val="20"/>
                <w:color w:val="auto"/>
              </w:rPr>
            </w:pPr>
            <w:r>
              <w:rPr>
                <w:rFonts w:ascii="Arial" w:cs="Arial" w:eastAsia="Arial" w:hAnsi="Arial"/>
                <w:sz w:val="14"/>
                <w:szCs w:val="14"/>
                <w:i w:val="1"/>
                <w:iCs w:val="1"/>
                <w:color w:val="auto"/>
              </w:rPr>
              <w:t>Paul Peter Tak</w:t>
            </w:r>
          </w:p>
        </w:tc>
        <w:tc>
          <w:tcPr>
            <w:tcW w:w="200" w:type="dxa"/>
            <w:vAlign w:val="bottom"/>
            <w:shd w:val="clear" w:color="auto" w:fill="CFF0FC"/>
          </w:tcPr>
          <w:p>
            <w:pPr>
              <w:spacing w:after="0"/>
              <w:rPr>
                <w:sz w:val="22"/>
                <w:szCs w:val="22"/>
                <w:color w:val="auto"/>
              </w:rPr>
            </w:pPr>
          </w:p>
        </w:tc>
        <w:tc>
          <w:tcPr>
            <w:tcW w:w="9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9"/>
                <w:shd w:val="clear" w:color="auto" w:fill="CFF0FC"/>
              </w:rPr>
              <w:t>10/10/2020</w:t>
            </w:r>
          </w:p>
        </w:tc>
        <w:tc>
          <w:tcPr>
            <w:tcW w:w="200" w:type="dxa"/>
            <w:vAlign w:val="bottom"/>
            <w:shd w:val="clear" w:color="auto" w:fill="CFF0FC"/>
          </w:tcPr>
          <w:p>
            <w:pPr>
              <w:spacing w:after="0"/>
              <w:rPr>
                <w:sz w:val="22"/>
                <w:szCs w:val="22"/>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9"/>
              </w:rPr>
              <w:t>1,554,759</w:t>
            </w:r>
          </w:p>
        </w:tc>
        <w:tc>
          <w:tcPr>
            <w:tcW w:w="220" w:type="dxa"/>
            <w:vAlign w:val="bottom"/>
            <w:shd w:val="clear" w:color="auto" w:fill="CFF0FC"/>
          </w:tcPr>
          <w:p>
            <w:pPr>
              <w:spacing w:after="0"/>
              <w:rPr>
                <w:sz w:val="22"/>
                <w:szCs w:val="22"/>
                <w:color w:val="auto"/>
              </w:rPr>
            </w:pPr>
          </w:p>
        </w:tc>
        <w:tc>
          <w:tcPr>
            <w:tcW w:w="880" w:type="dxa"/>
            <w:vAlign w:val="bottom"/>
            <w:shd w:val="clear" w:color="auto" w:fill="CFF0FC"/>
          </w:tcPr>
          <w:p>
            <w:pPr>
              <w:jc w:val="center"/>
              <w:ind w:left="90"/>
              <w:spacing w:after="0"/>
              <w:rPr>
                <w:sz w:val="20"/>
                <w:szCs w:val="20"/>
                <w:color w:val="auto"/>
              </w:rPr>
            </w:pPr>
            <w:r>
              <w:rPr>
                <w:rFonts w:ascii="Arial" w:cs="Arial" w:eastAsia="Arial" w:hAnsi="Arial"/>
                <w:sz w:val="14"/>
                <w:szCs w:val="14"/>
                <w:color w:val="auto"/>
              </w:rPr>
              <w:t>222,109 (3)</w:t>
            </w:r>
          </w:p>
        </w:tc>
        <w:tc>
          <w:tcPr>
            <w:tcW w:w="1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8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4"/>
              </w:rPr>
              <w:t>-</w:t>
            </w:r>
          </w:p>
        </w:tc>
        <w:tc>
          <w:tcPr>
            <w:tcW w:w="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6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1.55</w:t>
            </w:r>
          </w:p>
        </w:tc>
        <w:tc>
          <w:tcPr>
            <w:tcW w:w="200" w:type="dxa"/>
            <w:vAlign w:val="bottom"/>
            <w:shd w:val="clear" w:color="auto" w:fill="CFF0FC"/>
          </w:tcPr>
          <w:p>
            <w:pPr>
              <w:spacing w:after="0"/>
              <w:rPr>
                <w:sz w:val="22"/>
                <w:szCs w:val="22"/>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6"/>
              </w:rPr>
              <w:t>10/10/2030</w:t>
            </w:r>
          </w:p>
        </w:tc>
        <w:tc>
          <w:tcPr>
            <w:tcW w:w="220" w:type="dxa"/>
            <w:vAlign w:val="bottom"/>
            <w:shd w:val="clear" w:color="auto" w:fill="CFF0FC"/>
          </w:tcPr>
          <w:p>
            <w:pPr>
              <w:spacing w:after="0"/>
              <w:rPr>
                <w:sz w:val="22"/>
                <w:szCs w:val="22"/>
                <w:color w:val="auto"/>
              </w:rPr>
            </w:pPr>
          </w:p>
        </w:tc>
        <w:tc>
          <w:tcPr>
            <w:tcW w:w="660" w:type="dxa"/>
            <w:vAlign w:val="bottom"/>
            <w:gridSpan w:val="2"/>
            <w:shd w:val="clear" w:color="auto" w:fill="CFF0FC"/>
          </w:tcPr>
          <w:p>
            <w:pPr>
              <w:jc w:val="center"/>
              <w:spacing w:after="0"/>
              <w:rPr>
                <w:sz w:val="20"/>
                <w:szCs w:val="20"/>
                <w:color w:val="auto"/>
              </w:rPr>
            </w:pPr>
            <w:r>
              <w:rPr>
                <w:rFonts w:ascii="Arial" w:cs="Arial" w:eastAsia="Arial" w:hAnsi="Arial"/>
                <w:sz w:val="14"/>
                <w:szCs w:val="14"/>
                <w:color w:val="auto"/>
                <w:w w:val="84"/>
              </w:rPr>
              <w:t>-</w:t>
            </w:r>
          </w:p>
        </w:tc>
        <w:tc>
          <w:tcPr>
            <w:tcW w:w="200" w:type="dxa"/>
            <w:vAlign w:val="bottom"/>
            <w:shd w:val="clear" w:color="auto" w:fill="CFF0FC"/>
          </w:tcPr>
          <w:p>
            <w:pPr>
              <w:spacing w:after="0"/>
              <w:rPr>
                <w:sz w:val="22"/>
                <w:szCs w:val="22"/>
                <w:color w:val="auto"/>
              </w:rPr>
            </w:pPr>
          </w:p>
        </w:tc>
        <w:tc>
          <w:tcPr>
            <w:tcW w:w="420" w:type="dxa"/>
            <w:vAlign w:val="bottom"/>
            <w:shd w:val="clear" w:color="auto" w:fill="CFF0FC"/>
          </w:tcPr>
          <w:p>
            <w:pPr>
              <w:jc w:val="center"/>
              <w:ind w:left="110"/>
              <w:spacing w:after="0"/>
              <w:rPr>
                <w:sz w:val="20"/>
                <w:szCs w:val="20"/>
                <w:color w:val="auto"/>
              </w:rPr>
            </w:pPr>
            <w:r>
              <w:rPr>
                <w:rFonts w:ascii="Arial" w:cs="Arial" w:eastAsia="Arial" w:hAnsi="Arial"/>
                <w:sz w:val="14"/>
                <w:szCs w:val="14"/>
                <w:color w:val="auto"/>
                <w:w w:val="84"/>
              </w:rPr>
              <w:t>-</w:t>
            </w:r>
          </w:p>
        </w:tc>
        <w:tc>
          <w:tcPr>
            <w:tcW w:w="3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9"/>
              </w:rPr>
              <w:t>2/28/2022</w:t>
            </w:r>
          </w:p>
        </w:tc>
        <w:tc>
          <w:tcPr>
            <w:tcW w:w="200" w:type="dxa"/>
            <w:vAlign w:val="bottom"/>
            <w:shd w:val="clear" w:color="auto" w:fill="CFF0FC"/>
          </w:tcPr>
          <w:p>
            <w:pPr>
              <w:spacing w:after="0"/>
              <w:rPr>
                <w:sz w:val="22"/>
                <w:szCs w:val="22"/>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7"/>
              </w:rPr>
              <w:t>48,125</w:t>
            </w:r>
          </w:p>
        </w:tc>
        <w:tc>
          <w:tcPr>
            <w:tcW w:w="220" w:type="dxa"/>
            <w:vAlign w:val="bottom"/>
            <w:shd w:val="clear" w:color="auto" w:fill="CFF0FC"/>
          </w:tcPr>
          <w:p>
            <w:pPr>
              <w:spacing w:after="0"/>
              <w:rPr>
                <w:sz w:val="22"/>
                <w:szCs w:val="22"/>
                <w:color w:val="auto"/>
              </w:rPr>
            </w:pPr>
          </w:p>
        </w:tc>
        <w:tc>
          <w:tcPr>
            <w:tcW w:w="880" w:type="dxa"/>
            <w:vAlign w:val="bottom"/>
            <w:shd w:val="clear" w:color="auto" w:fill="CFF0FC"/>
          </w:tcPr>
          <w:p>
            <w:pPr>
              <w:jc w:val="center"/>
              <w:ind w:left="90"/>
              <w:spacing w:after="0"/>
              <w:rPr>
                <w:sz w:val="20"/>
                <w:szCs w:val="20"/>
                <w:color w:val="auto"/>
              </w:rPr>
            </w:pPr>
            <w:r>
              <w:rPr>
                <w:rFonts w:ascii="Arial" w:cs="Arial" w:eastAsia="Arial" w:hAnsi="Arial"/>
                <w:sz w:val="14"/>
                <w:szCs w:val="14"/>
                <w:color w:val="auto"/>
              </w:rPr>
              <w:t>61,875 (4)</w:t>
            </w:r>
          </w:p>
        </w:tc>
        <w:tc>
          <w:tcPr>
            <w:tcW w:w="1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8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4"/>
              </w:rPr>
              <w:t>-</w:t>
            </w:r>
          </w:p>
        </w:tc>
        <w:tc>
          <w:tcPr>
            <w:tcW w:w="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6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4.12</w:t>
            </w:r>
          </w:p>
        </w:tc>
        <w:tc>
          <w:tcPr>
            <w:tcW w:w="200" w:type="dxa"/>
            <w:vAlign w:val="bottom"/>
            <w:shd w:val="clear" w:color="auto" w:fill="CFF0FC"/>
          </w:tcPr>
          <w:p>
            <w:pPr>
              <w:spacing w:after="0"/>
              <w:rPr>
                <w:sz w:val="22"/>
                <w:szCs w:val="22"/>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2/28/2032</w:t>
            </w:r>
          </w:p>
        </w:tc>
        <w:tc>
          <w:tcPr>
            <w:tcW w:w="220" w:type="dxa"/>
            <w:vAlign w:val="bottom"/>
            <w:shd w:val="clear" w:color="auto" w:fill="CFF0FC"/>
          </w:tcPr>
          <w:p>
            <w:pPr>
              <w:spacing w:after="0"/>
              <w:rPr>
                <w:sz w:val="22"/>
                <w:szCs w:val="22"/>
                <w:color w:val="auto"/>
              </w:rPr>
            </w:pPr>
          </w:p>
        </w:tc>
        <w:tc>
          <w:tcPr>
            <w:tcW w:w="660" w:type="dxa"/>
            <w:vAlign w:val="bottom"/>
            <w:gridSpan w:val="2"/>
            <w:shd w:val="clear" w:color="auto" w:fill="CFF0FC"/>
          </w:tcPr>
          <w:p>
            <w:pPr>
              <w:jc w:val="center"/>
              <w:spacing w:after="0"/>
              <w:rPr>
                <w:sz w:val="20"/>
                <w:szCs w:val="20"/>
                <w:color w:val="auto"/>
              </w:rPr>
            </w:pPr>
            <w:r>
              <w:rPr>
                <w:rFonts w:ascii="Arial" w:cs="Arial" w:eastAsia="Arial" w:hAnsi="Arial"/>
                <w:sz w:val="14"/>
                <w:szCs w:val="14"/>
                <w:color w:val="auto"/>
                <w:w w:val="84"/>
              </w:rPr>
              <w:t>-</w:t>
            </w:r>
          </w:p>
        </w:tc>
        <w:tc>
          <w:tcPr>
            <w:tcW w:w="200" w:type="dxa"/>
            <w:vAlign w:val="bottom"/>
            <w:shd w:val="clear" w:color="auto" w:fill="CFF0FC"/>
          </w:tcPr>
          <w:p>
            <w:pPr>
              <w:spacing w:after="0"/>
              <w:rPr>
                <w:sz w:val="22"/>
                <w:szCs w:val="22"/>
                <w:color w:val="auto"/>
              </w:rPr>
            </w:pPr>
          </w:p>
        </w:tc>
        <w:tc>
          <w:tcPr>
            <w:tcW w:w="420" w:type="dxa"/>
            <w:vAlign w:val="bottom"/>
            <w:shd w:val="clear" w:color="auto" w:fill="CFF0FC"/>
          </w:tcPr>
          <w:p>
            <w:pPr>
              <w:jc w:val="center"/>
              <w:ind w:left="110"/>
              <w:spacing w:after="0"/>
              <w:rPr>
                <w:sz w:val="20"/>
                <w:szCs w:val="20"/>
                <w:color w:val="auto"/>
              </w:rPr>
            </w:pPr>
            <w:r>
              <w:rPr>
                <w:rFonts w:ascii="Arial" w:cs="Arial" w:eastAsia="Arial" w:hAnsi="Arial"/>
                <w:sz w:val="14"/>
                <w:szCs w:val="14"/>
                <w:color w:val="auto"/>
                <w:w w:val="84"/>
              </w:rPr>
              <w:t>-</w:t>
            </w:r>
          </w:p>
        </w:tc>
        <w:tc>
          <w:tcPr>
            <w:tcW w:w="3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9"/>
                <w:shd w:val="clear" w:color="auto" w:fill="CFF0FC"/>
              </w:rPr>
              <w:t>11/28/2022</w:t>
            </w:r>
          </w:p>
        </w:tc>
        <w:tc>
          <w:tcPr>
            <w:tcW w:w="200" w:type="dxa"/>
            <w:vAlign w:val="bottom"/>
            <w:shd w:val="clear" w:color="auto" w:fill="CFF0FC"/>
          </w:tcPr>
          <w:p>
            <w:pPr>
              <w:spacing w:after="0"/>
              <w:rPr>
                <w:sz w:val="22"/>
                <w:szCs w:val="22"/>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4"/>
              </w:rPr>
              <w:t>-</w:t>
            </w:r>
          </w:p>
        </w:tc>
        <w:tc>
          <w:tcPr>
            <w:tcW w:w="220" w:type="dxa"/>
            <w:vAlign w:val="bottom"/>
            <w:shd w:val="clear" w:color="auto" w:fill="CFF0FC"/>
          </w:tcPr>
          <w:p>
            <w:pPr>
              <w:spacing w:after="0"/>
              <w:rPr>
                <w:sz w:val="22"/>
                <w:szCs w:val="22"/>
                <w:color w:val="auto"/>
              </w:rPr>
            </w:pPr>
          </w:p>
        </w:tc>
        <w:tc>
          <w:tcPr>
            <w:tcW w:w="880" w:type="dxa"/>
            <w:vAlign w:val="bottom"/>
            <w:shd w:val="clear" w:color="auto" w:fill="CFF0FC"/>
          </w:tcPr>
          <w:p>
            <w:pPr>
              <w:jc w:val="center"/>
              <w:ind w:left="90"/>
              <w:spacing w:after="0"/>
              <w:rPr>
                <w:sz w:val="20"/>
                <w:szCs w:val="20"/>
                <w:color w:val="auto"/>
              </w:rPr>
            </w:pPr>
            <w:r>
              <w:rPr>
                <w:rFonts w:ascii="Arial" w:cs="Arial" w:eastAsia="Arial" w:hAnsi="Arial"/>
                <w:sz w:val="14"/>
                <w:szCs w:val="14"/>
                <w:color w:val="auto"/>
                <w:w w:val="84"/>
              </w:rPr>
              <w:t>-</w:t>
            </w:r>
          </w:p>
        </w:tc>
        <w:tc>
          <w:tcPr>
            <w:tcW w:w="1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8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4"/>
              </w:rPr>
              <w:t>-</w:t>
            </w:r>
          </w:p>
        </w:tc>
        <w:tc>
          <w:tcPr>
            <w:tcW w:w="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6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4"/>
              </w:rPr>
              <w:t>-</w:t>
            </w:r>
          </w:p>
        </w:tc>
        <w:tc>
          <w:tcPr>
            <w:tcW w:w="200" w:type="dxa"/>
            <w:vAlign w:val="bottom"/>
            <w:shd w:val="clear" w:color="auto" w:fill="CFF0FC"/>
          </w:tcPr>
          <w:p>
            <w:pPr>
              <w:spacing w:after="0"/>
              <w:rPr>
                <w:sz w:val="22"/>
                <w:szCs w:val="22"/>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4"/>
              </w:rPr>
              <w:t>-</w:t>
            </w:r>
          </w:p>
        </w:tc>
        <w:tc>
          <w:tcPr>
            <w:tcW w:w="220" w:type="dxa"/>
            <w:vAlign w:val="bottom"/>
            <w:shd w:val="clear" w:color="auto" w:fill="CFF0FC"/>
          </w:tcPr>
          <w:p>
            <w:pPr>
              <w:spacing w:after="0"/>
              <w:rPr>
                <w:sz w:val="22"/>
                <w:szCs w:val="22"/>
                <w:color w:val="auto"/>
              </w:rPr>
            </w:pPr>
          </w:p>
        </w:tc>
        <w:tc>
          <w:tcPr>
            <w:tcW w:w="660" w:type="dxa"/>
            <w:vAlign w:val="bottom"/>
            <w:gridSpan w:val="2"/>
            <w:shd w:val="clear" w:color="auto" w:fill="CFF0FC"/>
          </w:tcPr>
          <w:p>
            <w:pPr>
              <w:jc w:val="center"/>
              <w:spacing w:after="0"/>
              <w:rPr>
                <w:sz w:val="20"/>
                <w:szCs w:val="20"/>
                <w:color w:val="auto"/>
              </w:rPr>
            </w:pPr>
            <w:r>
              <w:rPr>
                <w:rFonts w:ascii="Arial" w:cs="Arial" w:eastAsia="Arial" w:hAnsi="Arial"/>
                <w:sz w:val="14"/>
                <w:szCs w:val="14"/>
                <w:color w:val="auto"/>
                <w:shd w:val="clear" w:color="auto" w:fill="CFF0FC"/>
              </w:rPr>
              <w:t>97,953 (5)</w:t>
            </w:r>
          </w:p>
        </w:tc>
        <w:tc>
          <w:tcPr>
            <w:tcW w:w="200" w:type="dxa"/>
            <w:vAlign w:val="bottom"/>
            <w:shd w:val="clear" w:color="auto" w:fill="CFF0FC"/>
          </w:tcPr>
          <w:p>
            <w:pPr>
              <w:spacing w:after="0"/>
              <w:rPr>
                <w:sz w:val="22"/>
                <w:szCs w:val="22"/>
                <w:color w:val="auto"/>
              </w:rPr>
            </w:pPr>
          </w:p>
        </w:tc>
        <w:tc>
          <w:tcPr>
            <w:tcW w:w="720" w:type="dxa"/>
            <w:vAlign w:val="bottom"/>
            <w:gridSpan w:val="2"/>
            <w:shd w:val="clear" w:color="auto" w:fill="CFF0FC"/>
          </w:tcPr>
          <w:p>
            <w:pPr>
              <w:jc w:val="center"/>
              <w:ind w:right="100"/>
              <w:spacing w:after="0"/>
              <w:rPr>
                <w:sz w:val="20"/>
                <w:szCs w:val="20"/>
                <w:color w:val="auto"/>
              </w:rPr>
            </w:pPr>
            <w:r>
              <w:rPr>
                <w:rFonts w:ascii="Arial" w:cs="Arial" w:eastAsia="Arial" w:hAnsi="Arial"/>
                <w:sz w:val="14"/>
                <w:szCs w:val="14"/>
                <w:color w:val="auto"/>
                <w:w w:val="98"/>
                <w:shd w:val="clear" w:color="auto" w:fill="CFF0FC"/>
              </w:rPr>
              <w:t>143,991</w:t>
            </w:r>
          </w:p>
        </w:tc>
        <w:tc>
          <w:tcPr>
            <w:tcW w:w="0" w:type="dxa"/>
            <w:vAlign w:val="bottom"/>
          </w:tcPr>
          <w:p>
            <w:pPr>
              <w:spacing w:after="0"/>
              <w:rPr>
                <w:sz w:val="1"/>
                <w:szCs w:val="1"/>
                <w:color w:val="auto"/>
              </w:rPr>
            </w:pPr>
          </w:p>
        </w:tc>
      </w:tr>
      <w:tr>
        <w:trPr>
          <w:trHeight w:val="252"/>
        </w:trPr>
        <w:tc>
          <w:tcPr>
            <w:tcW w:w="1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9"/>
              </w:rPr>
              <w:t>4/28/2023</w:t>
            </w: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7"/>
              </w:rPr>
              <w:t>10,000</w:t>
            </w: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center"/>
              <w:ind w:left="90"/>
              <w:spacing w:after="0"/>
              <w:rPr>
                <w:sz w:val="20"/>
                <w:szCs w:val="20"/>
                <w:color w:val="auto"/>
              </w:rPr>
            </w:pPr>
            <w:r>
              <w:rPr>
                <w:rFonts w:ascii="Arial" w:cs="Arial" w:eastAsia="Arial" w:hAnsi="Arial"/>
                <w:sz w:val="14"/>
                <w:szCs w:val="14"/>
                <w:color w:val="auto"/>
              </w:rPr>
              <w:t>50,000 (6)</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4"/>
              </w:rPr>
              <w:t>-</w:t>
            </w:r>
          </w:p>
        </w:tc>
        <w:tc>
          <w:tcPr>
            <w:tcW w:w="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1.29</w:t>
            </w: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4/28/2033</w:t>
            </w:r>
          </w:p>
        </w:tc>
        <w:tc>
          <w:tcPr>
            <w:tcW w:w="22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center"/>
              <w:spacing w:after="0"/>
              <w:rPr>
                <w:sz w:val="20"/>
                <w:szCs w:val="20"/>
                <w:color w:val="auto"/>
              </w:rPr>
            </w:pPr>
            <w:r>
              <w:rPr>
                <w:rFonts w:ascii="Arial" w:cs="Arial" w:eastAsia="Arial" w:hAnsi="Arial"/>
                <w:sz w:val="14"/>
                <w:szCs w:val="14"/>
                <w:color w:val="auto"/>
                <w:w w:val="84"/>
              </w:rPr>
              <w:t>-</w:t>
            </w:r>
          </w:p>
        </w:tc>
        <w:tc>
          <w:tcPr>
            <w:tcW w:w="200" w:type="dxa"/>
            <w:vAlign w:val="bottom"/>
            <w:shd w:val="clear" w:color="auto" w:fill="CFF0FC"/>
          </w:tcPr>
          <w:p>
            <w:pPr>
              <w:spacing w:after="0"/>
              <w:rPr>
                <w:sz w:val="21"/>
                <w:szCs w:val="21"/>
                <w:color w:val="auto"/>
              </w:rPr>
            </w:pPr>
          </w:p>
        </w:tc>
        <w:tc>
          <w:tcPr>
            <w:tcW w:w="420" w:type="dxa"/>
            <w:vAlign w:val="bottom"/>
            <w:shd w:val="clear" w:color="auto" w:fill="CFF0FC"/>
          </w:tcPr>
          <w:p>
            <w:pPr>
              <w:jc w:val="center"/>
              <w:ind w:left="110"/>
              <w:spacing w:after="0"/>
              <w:rPr>
                <w:sz w:val="20"/>
                <w:szCs w:val="20"/>
                <w:color w:val="auto"/>
              </w:rPr>
            </w:pPr>
            <w:r>
              <w:rPr>
                <w:rFonts w:ascii="Arial" w:cs="Arial" w:eastAsia="Arial" w:hAnsi="Arial"/>
                <w:sz w:val="14"/>
                <w:szCs w:val="14"/>
                <w:color w:val="auto"/>
                <w:w w:val="84"/>
              </w:rPr>
              <w:t>-</w:t>
            </w:r>
          </w:p>
        </w:tc>
        <w:tc>
          <w:tcPr>
            <w:tcW w:w="3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1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9"/>
              </w:rPr>
              <w:t>4/28/2023</w:t>
            </w:r>
          </w:p>
        </w:tc>
        <w:tc>
          <w:tcPr>
            <w:tcW w:w="200" w:type="dxa"/>
            <w:vAlign w:val="bottom"/>
            <w:shd w:val="clear" w:color="auto" w:fill="CFF0FC"/>
          </w:tcPr>
          <w:p>
            <w:pPr>
              <w:spacing w:after="0"/>
              <w:rPr>
                <w:sz w:val="22"/>
                <w:szCs w:val="22"/>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4"/>
              </w:rPr>
              <w:t>-</w:t>
            </w:r>
          </w:p>
        </w:tc>
        <w:tc>
          <w:tcPr>
            <w:tcW w:w="220" w:type="dxa"/>
            <w:vAlign w:val="bottom"/>
            <w:shd w:val="clear" w:color="auto" w:fill="CFF0FC"/>
          </w:tcPr>
          <w:p>
            <w:pPr>
              <w:spacing w:after="0"/>
              <w:rPr>
                <w:sz w:val="22"/>
                <w:szCs w:val="22"/>
                <w:color w:val="auto"/>
              </w:rPr>
            </w:pPr>
          </w:p>
        </w:tc>
        <w:tc>
          <w:tcPr>
            <w:tcW w:w="880" w:type="dxa"/>
            <w:vAlign w:val="bottom"/>
            <w:shd w:val="clear" w:color="auto" w:fill="CFF0FC"/>
          </w:tcPr>
          <w:p>
            <w:pPr>
              <w:jc w:val="center"/>
              <w:ind w:left="90"/>
              <w:spacing w:after="0"/>
              <w:rPr>
                <w:sz w:val="20"/>
                <w:szCs w:val="20"/>
                <w:color w:val="auto"/>
              </w:rPr>
            </w:pPr>
            <w:r>
              <w:rPr>
                <w:rFonts w:ascii="Arial" w:cs="Arial" w:eastAsia="Arial" w:hAnsi="Arial"/>
                <w:sz w:val="14"/>
                <w:szCs w:val="14"/>
                <w:color w:val="auto"/>
                <w:w w:val="84"/>
              </w:rPr>
              <w:t>-</w:t>
            </w:r>
          </w:p>
        </w:tc>
        <w:tc>
          <w:tcPr>
            <w:tcW w:w="1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8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60,000(7)</w:t>
            </w:r>
          </w:p>
        </w:tc>
        <w:tc>
          <w:tcPr>
            <w:tcW w:w="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6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1.29</w:t>
            </w:r>
          </w:p>
        </w:tc>
        <w:tc>
          <w:tcPr>
            <w:tcW w:w="200" w:type="dxa"/>
            <w:vAlign w:val="bottom"/>
            <w:shd w:val="clear" w:color="auto" w:fill="CFF0FC"/>
          </w:tcPr>
          <w:p>
            <w:pPr>
              <w:spacing w:after="0"/>
              <w:rPr>
                <w:sz w:val="22"/>
                <w:szCs w:val="22"/>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4/28/2033</w:t>
            </w:r>
          </w:p>
        </w:tc>
        <w:tc>
          <w:tcPr>
            <w:tcW w:w="220" w:type="dxa"/>
            <w:vAlign w:val="bottom"/>
            <w:shd w:val="clear" w:color="auto" w:fill="CFF0FC"/>
          </w:tcPr>
          <w:p>
            <w:pPr>
              <w:spacing w:after="0"/>
              <w:rPr>
                <w:sz w:val="22"/>
                <w:szCs w:val="22"/>
                <w:color w:val="auto"/>
              </w:rPr>
            </w:pPr>
          </w:p>
        </w:tc>
        <w:tc>
          <w:tcPr>
            <w:tcW w:w="660" w:type="dxa"/>
            <w:vAlign w:val="bottom"/>
            <w:gridSpan w:val="2"/>
            <w:shd w:val="clear" w:color="auto" w:fill="CFF0FC"/>
          </w:tcPr>
          <w:p>
            <w:pPr>
              <w:jc w:val="center"/>
              <w:spacing w:after="0"/>
              <w:rPr>
                <w:sz w:val="20"/>
                <w:szCs w:val="20"/>
                <w:color w:val="auto"/>
              </w:rPr>
            </w:pPr>
            <w:r>
              <w:rPr>
                <w:rFonts w:ascii="Arial" w:cs="Arial" w:eastAsia="Arial" w:hAnsi="Arial"/>
                <w:sz w:val="14"/>
                <w:szCs w:val="14"/>
                <w:color w:val="auto"/>
                <w:w w:val="84"/>
              </w:rPr>
              <w:t>-</w:t>
            </w:r>
          </w:p>
        </w:tc>
        <w:tc>
          <w:tcPr>
            <w:tcW w:w="200" w:type="dxa"/>
            <w:vAlign w:val="bottom"/>
            <w:shd w:val="clear" w:color="auto" w:fill="CFF0FC"/>
          </w:tcPr>
          <w:p>
            <w:pPr>
              <w:spacing w:after="0"/>
              <w:rPr>
                <w:sz w:val="22"/>
                <w:szCs w:val="22"/>
                <w:color w:val="auto"/>
              </w:rPr>
            </w:pPr>
          </w:p>
        </w:tc>
        <w:tc>
          <w:tcPr>
            <w:tcW w:w="420" w:type="dxa"/>
            <w:vAlign w:val="bottom"/>
            <w:shd w:val="clear" w:color="auto" w:fill="CFF0FC"/>
          </w:tcPr>
          <w:p>
            <w:pPr>
              <w:jc w:val="center"/>
              <w:ind w:left="110"/>
              <w:spacing w:after="0"/>
              <w:rPr>
                <w:sz w:val="20"/>
                <w:szCs w:val="20"/>
                <w:color w:val="auto"/>
              </w:rPr>
            </w:pPr>
            <w:r>
              <w:rPr>
                <w:rFonts w:ascii="Arial" w:cs="Arial" w:eastAsia="Arial" w:hAnsi="Arial"/>
                <w:sz w:val="14"/>
                <w:szCs w:val="14"/>
                <w:color w:val="auto"/>
                <w:w w:val="84"/>
              </w:rPr>
              <w:t>-</w:t>
            </w:r>
          </w:p>
        </w:tc>
        <w:tc>
          <w:tcPr>
            <w:tcW w:w="3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1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9"/>
              </w:rPr>
              <w:t>4/28/2023</w:t>
            </w: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4"/>
              </w:rPr>
              <w:t>-</w:t>
            </w: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center"/>
              <w:ind w:left="90"/>
              <w:spacing w:after="0"/>
              <w:rPr>
                <w:sz w:val="20"/>
                <w:szCs w:val="20"/>
                <w:color w:val="auto"/>
              </w:rPr>
            </w:pPr>
            <w:r>
              <w:rPr>
                <w:rFonts w:ascii="Arial" w:cs="Arial" w:eastAsia="Arial" w:hAnsi="Arial"/>
                <w:sz w:val="14"/>
                <w:szCs w:val="14"/>
                <w:color w:val="auto"/>
                <w:w w:val="84"/>
              </w:rPr>
              <w:t>-</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60,000(8)</w:t>
            </w:r>
          </w:p>
        </w:tc>
        <w:tc>
          <w:tcPr>
            <w:tcW w:w="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1.29</w:t>
            </w: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4/28/2033</w:t>
            </w:r>
          </w:p>
        </w:tc>
        <w:tc>
          <w:tcPr>
            <w:tcW w:w="22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center"/>
              <w:spacing w:after="0"/>
              <w:rPr>
                <w:sz w:val="20"/>
                <w:szCs w:val="20"/>
                <w:color w:val="auto"/>
              </w:rPr>
            </w:pPr>
            <w:r>
              <w:rPr>
                <w:rFonts w:ascii="Arial" w:cs="Arial" w:eastAsia="Arial" w:hAnsi="Arial"/>
                <w:sz w:val="14"/>
                <w:szCs w:val="14"/>
                <w:color w:val="auto"/>
                <w:w w:val="84"/>
              </w:rPr>
              <w:t>-</w:t>
            </w:r>
          </w:p>
        </w:tc>
        <w:tc>
          <w:tcPr>
            <w:tcW w:w="200" w:type="dxa"/>
            <w:vAlign w:val="bottom"/>
            <w:shd w:val="clear" w:color="auto" w:fill="CFF0FC"/>
          </w:tcPr>
          <w:p>
            <w:pPr>
              <w:spacing w:after="0"/>
              <w:rPr>
                <w:sz w:val="21"/>
                <w:szCs w:val="21"/>
                <w:color w:val="auto"/>
              </w:rPr>
            </w:pPr>
          </w:p>
        </w:tc>
        <w:tc>
          <w:tcPr>
            <w:tcW w:w="420" w:type="dxa"/>
            <w:vAlign w:val="bottom"/>
            <w:shd w:val="clear" w:color="auto" w:fill="CFF0FC"/>
          </w:tcPr>
          <w:p>
            <w:pPr>
              <w:jc w:val="center"/>
              <w:ind w:left="110"/>
              <w:spacing w:after="0"/>
              <w:rPr>
                <w:sz w:val="20"/>
                <w:szCs w:val="20"/>
                <w:color w:val="auto"/>
              </w:rPr>
            </w:pPr>
            <w:r>
              <w:rPr>
                <w:rFonts w:ascii="Arial" w:cs="Arial" w:eastAsia="Arial" w:hAnsi="Arial"/>
                <w:sz w:val="14"/>
                <w:szCs w:val="14"/>
                <w:color w:val="auto"/>
                <w:w w:val="84"/>
              </w:rPr>
              <w:t>-</w:t>
            </w:r>
          </w:p>
        </w:tc>
        <w:tc>
          <w:tcPr>
            <w:tcW w:w="3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1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center"/>
              <w:spacing w:after="0"/>
              <w:rPr>
                <w:sz w:val="20"/>
                <w:szCs w:val="20"/>
                <w:color w:val="auto"/>
              </w:rPr>
            </w:pPr>
            <w:r>
              <w:rPr>
                <w:rFonts w:ascii="Arial" w:cs="Arial" w:eastAsia="Arial" w:hAnsi="Arial"/>
                <w:sz w:val="14"/>
                <w:szCs w:val="14"/>
                <w:color w:val="auto"/>
              </w:rPr>
              <w:t>180,108</w:t>
            </w:r>
          </w:p>
        </w:tc>
        <w:tc>
          <w:tcPr>
            <w:tcW w:w="20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9"/>
                <w:shd w:val="clear" w:color="auto" w:fill="CFF0FC"/>
              </w:rPr>
              <w:t>11/26/2023</w:t>
            </w: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4"/>
              </w:rPr>
              <w:t>-</w:t>
            </w: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jc w:val="center"/>
              <w:ind w:left="90"/>
              <w:spacing w:after="0"/>
              <w:rPr>
                <w:sz w:val="20"/>
                <w:szCs w:val="20"/>
                <w:color w:val="auto"/>
              </w:rPr>
            </w:pPr>
            <w:r>
              <w:rPr>
                <w:rFonts w:ascii="Arial" w:cs="Arial" w:eastAsia="Arial" w:hAnsi="Arial"/>
                <w:sz w:val="14"/>
                <w:szCs w:val="14"/>
                <w:color w:val="auto"/>
                <w:w w:val="84"/>
              </w:rPr>
              <w:t>-</w:t>
            </w: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4"/>
              </w:rPr>
              <w:t>-</w:t>
            </w:r>
          </w:p>
        </w:tc>
        <w:tc>
          <w:tcPr>
            <w:tcW w:w="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4"/>
              </w:rPr>
              <w:t>-</w:t>
            </w: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4"/>
              </w:rPr>
              <w:t>-</w:t>
            </w:r>
          </w:p>
        </w:tc>
        <w:tc>
          <w:tcPr>
            <w:tcW w:w="2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center"/>
              <w:spacing w:after="0"/>
              <w:rPr>
                <w:sz w:val="20"/>
                <w:szCs w:val="20"/>
                <w:color w:val="auto"/>
              </w:rPr>
            </w:pPr>
            <w:r>
              <w:rPr>
                <w:rFonts w:ascii="Arial" w:cs="Arial" w:eastAsia="Arial" w:hAnsi="Arial"/>
                <w:sz w:val="14"/>
                <w:szCs w:val="14"/>
                <w:color w:val="auto"/>
                <w:w w:val="93"/>
              </w:rPr>
              <w:t>(9)</w:t>
            </w:r>
          </w:p>
        </w:tc>
        <w:tc>
          <w:tcPr>
            <w:tcW w:w="20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center"/>
              <w:ind w:right="100"/>
              <w:spacing w:after="0"/>
              <w:rPr>
                <w:sz w:val="20"/>
                <w:szCs w:val="20"/>
                <w:color w:val="auto"/>
              </w:rPr>
            </w:pPr>
            <w:r>
              <w:rPr>
                <w:rFonts w:ascii="Arial" w:cs="Arial" w:eastAsia="Arial" w:hAnsi="Arial"/>
                <w:sz w:val="14"/>
                <w:szCs w:val="14"/>
                <w:color w:val="auto"/>
                <w:w w:val="98"/>
                <w:shd w:val="clear" w:color="auto" w:fill="CFF0FC"/>
              </w:rPr>
              <w:t>264,759</w:t>
            </w:r>
          </w:p>
        </w:tc>
        <w:tc>
          <w:tcPr>
            <w:tcW w:w="0" w:type="dxa"/>
            <w:vAlign w:val="bottom"/>
          </w:tcPr>
          <w:p>
            <w:pPr>
              <w:spacing w:after="0"/>
              <w:rPr>
                <w:sz w:val="1"/>
                <w:szCs w:val="1"/>
                <w:color w:val="auto"/>
              </w:rPr>
            </w:pPr>
          </w:p>
        </w:tc>
      </w:tr>
      <w:tr>
        <w:trPr>
          <w:trHeight w:val="154"/>
        </w:trPr>
        <w:tc>
          <w:tcPr>
            <w:tcW w:w="1240" w:type="dxa"/>
            <w:vAlign w:val="bottom"/>
          </w:tcPr>
          <w:p>
            <w:pPr>
              <w:ind w:left="100"/>
              <w:spacing w:after="0" w:line="154" w:lineRule="exact"/>
              <w:rPr>
                <w:sz w:val="20"/>
                <w:szCs w:val="20"/>
                <w:color w:val="auto"/>
              </w:rPr>
            </w:pPr>
            <w:r>
              <w:rPr>
                <w:rFonts w:ascii="Arial" w:cs="Arial" w:eastAsia="Arial" w:hAnsi="Arial"/>
                <w:sz w:val="14"/>
                <w:szCs w:val="14"/>
                <w:i w:val="1"/>
                <w:iCs w:val="1"/>
                <w:color w:val="auto"/>
              </w:rPr>
              <w:t>Francesca</w:t>
            </w:r>
          </w:p>
        </w:tc>
        <w:tc>
          <w:tcPr>
            <w:tcW w:w="1100" w:type="dxa"/>
            <w:vAlign w:val="bottom"/>
            <w:gridSpan w:val="2"/>
            <w:vMerge w:val="restart"/>
          </w:tcPr>
          <w:p>
            <w:pPr>
              <w:jc w:val="center"/>
              <w:ind w:left="130"/>
              <w:spacing w:after="0"/>
              <w:rPr>
                <w:sz w:val="20"/>
                <w:szCs w:val="20"/>
                <w:color w:val="auto"/>
              </w:rPr>
            </w:pPr>
            <w:r>
              <w:rPr>
                <w:rFonts w:ascii="Arial" w:cs="Arial" w:eastAsia="Arial" w:hAnsi="Arial"/>
                <w:sz w:val="14"/>
                <w:szCs w:val="14"/>
                <w:color w:val="auto"/>
                <w:w w:val="99"/>
              </w:rPr>
              <w:t>12/30/2020</w:t>
            </w:r>
          </w:p>
        </w:tc>
        <w:tc>
          <w:tcPr>
            <w:tcW w:w="1140" w:type="dxa"/>
            <w:vAlign w:val="bottom"/>
            <w:gridSpan w:val="2"/>
            <w:vMerge w:val="restart"/>
          </w:tcPr>
          <w:p>
            <w:pPr>
              <w:jc w:val="center"/>
              <w:ind w:left="130"/>
              <w:spacing w:after="0"/>
              <w:rPr>
                <w:sz w:val="20"/>
                <w:szCs w:val="20"/>
                <w:color w:val="auto"/>
              </w:rPr>
            </w:pPr>
            <w:r>
              <w:rPr>
                <w:rFonts w:ascii="Arial" w:cs="Arial" w:eastAsia="Arial" w:hAnsi="Arial"/>
                <w:sz w:val="14"/>
                <w:szCs w:val="14"/>
                <w:color w:val="auto"/>
                <w:w w:val="97"/>
              </w:rPr>
              <w:t>36,616</w:t>
            </w:r>
          </w:p>
        </w:tc>
        <w:tc>
          <w:tcPr>
            <w:tcW w:w="1100" w:type="dxa"/>
            <w:vAlign w:val="bottom"/>
            <w:gridSpan w:val="2"/>
            <w:vMerge w:val="restart"/>
          </w:tcPr>
          <w:p>
            <w:pPr>
              <w:jc w:val="center"/>
              <w:ind w:left="310"/>
              <w:spacing w:after="0"/>
              <w:rPr>
                <w:sz w:val="20"/>
                <w:szCs w:val="20"/>
                <w:color w:val="auto"/>
              </w:rPr>
            </w:pPr>
            <w:r>
              <w:rPr>
                <w:rFonts w:ascii="Arial" w:cs="Arial" w:eastAsia="Arial" w:hAnsi="Arial"/>
                <w:sz w:val="14"/>
                <w:szCs w:val="14"/>
                <w:color w:val="auto"/>
              </w:rPr>
              <w:t>12,206 (10)</w:t>
            </w:r>
          </w:p>
        </w:tc>
        <w:tc>
          <w:tcPr>
            <w:tcW w:w="180" w:type="dxa"/>
            <w:vAlign w:val="bottom"/>
          </w:tcPr>
          <w:p>
            <w:pPr>
              <w:spacing w:after="0"/>
              <w:rPr>
                <w:sz w:val="13"/>
                <w:szCs w:val="13"/>
                <w:color w:val="auto"/>
              </w:rPr>
            </w:pPr>
          </w:p>
        </w:tc>
        <w:tc>
          <w:tcPr>
            <w:tcW w:w="1040" w:type="dxa"/>
            <w:vAlign w:val="bottom"/>
            <w:gridSpan w:val="2"/>
            <w:vMerge w:val="restart"/>
          </w:tcPr>
          <w:p>
            <w:pPr>
              <w:jc w:val="center"/>
              <w:ind w:left="170"/>
              <w:spacing w:after="0"/>
              <w:rPr>
                <w:sz w:val="20"/>
                <w:szCs w:val="20"/>
                <w:color w:val="auto"/>
              </w:rPr>
            </w:pPr>
            <w:r>
              <w:rPr>
                <w:rFonts w:ascii="Arial" w:cs="Arial" w:eastAsia="Arial" w:hAnsi="Arial"/>
                <w:sz w:val="14"/>
                <w:szCs w:val="14"/>
                <w:color w:val="auto"/>
                <w:w w:val="84"/>
              </w:rPr>
              <w:t>-</w:t>
            </w:r>
          </w:p>
        </w:tc>
        <w:tc>
          <w:tcPr>
            <w:tcW w:w="40" w:type="dxa"/>
            <w:vAlign w:val="bottom"/>
          </w:tcPr>
          <w:p>
            <w:pPr>
              <w:spacing w:after="0"/>
              <w:rPr>
                <w:sz w:val="13"/>
                <w:szCs w:val="13"/>
                <w:color w:val="auto"/>
              </w:rPr>
            </w:pPr>
          </w:p>
        </w:tc>
        <w:tc>
          <w:tcPr>
            <w:tcW w:w="840" w:type="dxa"/>
            <w:vAlign w:val="bottom"/>
            <w:gridSpan w:val="2"/>
            <w:vMerge w:val="restart"/>
          </w:tcPr>
          <w:p>
            <w:pPr>
              <w:jc w:val="center"/>
              <w:ind w:left="130"/>
              <w:spacing w:after="0"/>
              <w:rPr>
                <w:sz w:val="20"/>
                <w:szCs w:val="20"/>
                <w:color w:val="auto"/>
              </w:rPr>
            </w:pPr>
            <w:r>
              <w:rPr>
                <w:rFonts w:ascii="Arial" w:cs="Arial" w:eastAsia="Arial" w:hAnsi="Arial"/>
                <w:sz w:val="14"/>
                <w:szCs w:val="14"/>
                <w:color w:val="auto"/>
              </w:rPr>
              <w:t>1.55</w:t>
            </w:r>
          </w:p>
        </w:tc>
        <w:tc>
          <w:tcPr>
            <w:tcW w:w="1160" w:type="dxa"/>
            <w:vAlign w:val="bottom"/>
            <w:gridSpan w:val="2"/>
            <w:vMerge w:val="restart"/>
          </w:tcPr>
          <w:p>
            <w:pPr>
              <w:jc w:val="center"/>
              <w:ind w:left="130"/>
              <w:spacing w:after="0"/>
              <w:rPr>
                <w:sz w:val="20"/>
                <w:szCs w:val="20"/>
                <w:color w:val="auto"/>
              </w:rPr>
            </w:pPr>
            <w:r>
              <w:rPr>
                <w:rFonts w:ascii="Arial" w:cs="Arial" w:eastAsia="Arial" w:hAnsi="Arial"/>
                <w:sz w:val="14"/>
                <w:szCs w:val="14"/>
                <w:color w:val="auto"/>
                <w:w w:val="96"/>
              </w:rPr>
              <w:t>12/30/2030</w:t>
            </w:r>
          </w:p>
        </w:tc>
        <w:tc>
          <w:tcPr>
            <w:tcW w:w="880" w:type="dxa"/>
            <w:vAlign w:val="bottom"/>
            <w:gridSpan w:val="3"/>
            <w:vMerge w:val="restart"/>
          </w:tcPr>
          <w:p>
            <w:pPr>
              <w:jc w:val="center"/>
              <w:ind w:left="130"/>
              <w:spacing w:after="0"/>
              <w:rPr>
                <w:sz w:val="20"/>
                <w:szCs w:val="20"/>
                <w:color w:val="auto"/>
              </w:rPr>
            </w:pPr>
            <w:r>
              <w:rPr>
                <w:rFonts w:ascii="Arial" w:cs="Arial" w:eastAsia="Arial" w:hAnsi="Arial"/>
                <w:sz w:val="14"/>
                <w:szCs w:val="14"/>
                <w:color w:val="auto"/>
                <w:w w:val="84"/>
              </w:rPr>
              <w:t>-</w:t>
            </w:r>
          </w:p>
        </w:tc>
        <w:tc>
          <w:tcPr>
            <w:tcW w:w="620" w:type="dxa"/>
            <w:vAlign w:val="bottom"/>
            <w:gridSpan w:val="2"/>
            <w:vMerge w:val="restart"/>
          </w:tcPr>
          <w:p>
            <w:pPr>
              <w:jc w:val="center"/>
              <w:ind w:left="310"/>
              <w:spacing w:after="0"/>
              <w:rPr>
                <w:sz w:val="20"/>
                <w:szCs w:val="20"/>
                <w:color w:val="auto"/>
              </w:rPr>
            </w:pPr>
            <w:r>
              <w:rPr>
                <w:rFonts w:ascii="Arial" w:cs="Arial" w:eastAsia="Arial" w:hAnsi="Arial"/>
                <w:sz w:val="14"/>
                <w:szCs w:val="14"/>
                <w:color w:val="auto"/>
                <w:w w:val="84"/>
              </w:rPr>
              <w:t>-</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240" w:type="dxa"/>
            <w:vAlign w:val="bottom"/>
          </w:tcPr>
          <w:p>
            <w:pPr>
              <w:ind w:left="100"/>
              <w:spacing w:after="0"/>
              <w:rPr>
                <w:sz w:val="20"/>
                <w:szCs w:val="20"/>
                <w:color w:val="auto"/>
              </w:rPr>
            </w:pPr>
            <w:r>
              <w:rPr>
                <w:rFonts w:ascii="Arial" w:cs="Arial" w:eastAsia="Arial" w:hAnsi="Arial"/>
                <w:sz w:val="14"/>
                <w:szCs w:val="14"/>
                <w:i w:val="1"/>
                <w:iCs w:val="1"/>
                <w:color w:val="auto"/>
              </w:rPr>
              <w:t>Barone</w:t>
            </w:r>
          </w:p>
        </w:tc>
        <w:tc>
          <w:tcPr>
            <w:tcW w:w="110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1240" w:type="dxa"/>
            <w:vAlign w:val="bottom"/>
          </w:tcPr>
          <w:p>
            <w:pPr>
              <w:spacing w:after="0"/>
              <w:rPr>
                <w:sz w:val="22"/>
                <w:szCs w:val="22"/>
                <w:color w:val="auto"/>
              </w:rPr>
            </w:pPr>
          </w:p>
        </w:tc>
        <w:tc>
          <w:tcPr>
            <w:tcW w:w="1100" w:type="dxa"/>
            <w:vAlign w:val="bottom"/>
            <w:gridSpan w:val="2"/>
          </w:tcPr>
          <w:p>
            <w:pPr>
              <w:jc w:val="center"/>
              <w:ind w:left="130"/>
              <w:spacing w:after="0"/>
              <w:rPr>
                <w:sz w:val="20"/>
                <w:szCs w:val="20"/>
                <w:color w:val="auto"/>
              </w:rPr>
            </w:pPr>
            <w:r>
              <w:rPr>
                <w:rFonts w:ascii="Arial" w:cs="Arial" w:eastAsia="Arial" w:hAnsi="Arial"/>
                <w:sz w:val="14"/>
                <w:szCs w:val="14"/>
                <w:color w:val="auto"/>
                <w:w w:val="99"/>
              </w:rPr>
              <w:t>2/3/2022</w:t>
            </w:r>
          </w:p>
        </w:tc>
        <w:tc>
          <w:tcPr>
            <w:tcW w:w="1140" w:type="dxa"/>
            <w:vAlign w:val="bottom"/>
            <w:gridSpan w:val="2"/>
          </w:tcPr>
          <w:p>
            <w:pPr>
              <w:jc w:val="center"/>
              <w:ind w:left="130"/>
              <w:spacing w:after="0"/>
              <w:rPr>
                <w:sz w:val="20"/>
                <w:szCs w:val="20"/>
                <w:color w:val="auto"/>
              </w:rPr>
            </w:pPr>
            <w:r>
              <w:rPr>
                <w:rFonts w:ascii="Arial" w:cs="Arial" w:eastAsia="Arial" w:hAnsi="Arial"/>
                <w:sz w:val="14"/>
                <w:szCs w:val="14"/>
                <w:color w:val="auto"/>
                <w:w w:val="97"/>
              </w:rPr>
              <w:t>18,333</w:t>
            </w:r>
          </w:p>
        </w:tc>
        <w:tc>
          <w:tcPr>
            <w:tcW w:w="1100" w:type="dxa"/>
            <w:vAlign w:val="bottom"/>
            <w:gridSpan w:val="2"/>
          </w:tcPr>
          <w:p>
            <w:pPr>
              <w:jc w:val="center"/>
              <w:ind w:left="310"/>
              <w:spacing w:after="0"/>
              <w:rPr>
                <w:sz w:val="20"/>
                <w:szCs w:val="20"/>
                <w:color w:val="auto"/>
              </w:rPr>
            </w:pPr>
            <w:r>
              <w:rPr>
                <w:rFonts w:ascii="Arial" w:cs="Arial" w:eastAsia="Arial" w:hAnsi="Arial"/>
                <w:sz w:val="14"/>
                <w:szCs w:val="14"/>
                <w:color w:val="auto"/>
              </w:rPr>
              <w:t>21,667 (11)</w:t>
            </w:r>
          </w:p>
        </w:tc>
        <w:tc>
          <w:tcPr>
            <w:tcW w:w="180" w:type="dxa"/>
            <w:vAlign w:val="bottom"/>
          </w:tcPr>
          <w:p>
            <w:pPr>
              <w:spacing w:after="0"/>
              <w:rPr>
                <w:sz w:val="22"/>
                <w:szCs w:val="22"/>
                <w:color w:val="auto"/>
              </w:rPr>
            </w:pPr>
          </w:p>
        </w:tc>
        <w:tc>
          <w:tcPr>
            <w:tcW w:w="1040" w:type="dxa"/>
            <w:vAlign w:val="bottom"/>
            <w:gridSpan w:val="2"/>
          </w:tcPr>
          <w:p>
            <w:pPr>
              <w:jc w:val="center"/>
              <w:ind w:left="170"/>
              <w:spacing w:after="0"/>
              <w:rPr>
                <w:sz w:val="20"/>
                <w:szCs w:val="20"/>
                <w:color w:val="auto"/>
              </w:rPr>
            </w:pPr>
            <w:r>
              <w:rPr>
                <w:rFonts w:ascii="Arial" w:cs="Arial" w:eastAsia="Arial" w:hAnsi="Arial"/>
                <w:sz w:val="14"/>
                <w:szCs w:val="14"/>
                <w:color w:val="auto"/>
                <w:w w:val="84"/>
              </w:rPr>
              <w:t>-</w:t>
            </w:r>
          </w:p>
        </w:tc>
        <w:tc>
          <w:tcPr>
            <w:tcW w:w="40" w:type="dxa"/>
            <w:vAlign w:val="bottom"/>
          </w:tcPr>
          <w:p>
            <w:pPr>
              <w:spacing w:after="0"/>
              <w:rPr>
                <w:sz w:val="22"/>
                <w:szCs w:val="22"/>
                <w:color w:val="auto"/>
              </w:rPr>
            </w:pPr>
          </w:p>
        </w:tc>
        <w:tc>
          <w:tcPr>
            <w:tcW w:w="840" w:type="dxa"/>
            <w:vAlign w:val="bottom"/>
            <w:gridSpan w:val="2"/>
          </w:tcPr>
          <w:p>
            <w:pPr>
              <w:jc w:val="center"/>
              <w:ind w:left="130"/>
              <w:spacing w:after="0"/>
              <w:rPr>
                <w:sz w:val="20"/>
                <w:szCs w:val="20"/>
                <w:color w:val="auto"/>
              </w:rPr>
            </w:pPr>
            <w:r>
              <w:rPr>
                <w:rFonts w:ascii="Arial" w:cs="Arial" w:eastAsia="Arial" w:hAnsi="Arial"/>
                <w:sz w:val="14"/>
                <w:szCs w:val="14"/>
                <w:color w:val="auto"/>
              </w:rPr>
              <w:t>4.06</w:t>
            </w:r>
          </w:p>
        </w:tc>
        <w:tc>
          <w:tcPr>
            <w:tcW w:w="1160" w:type="dxa"/>
            <w:vAlign w:val="bottom"/>
            <w:gridSpan w:val="2"/>
          </w:tcPr>
          <w:p>
            <w:pPr>
              <w:jc w:val="center"/>
              <w:ind w:left="130"/>
              <w:spacing w:after="0"/>
              <w:rPr>
                <w:sz w:val="20"/>
                <w:szCs w:val="20"/>
                <w:color w:val="auto"/>
              </w:rPr>
            </w:pPr>
            <w:r>
              <w:rPr>
                <w:rFonts w:ascii="Arial" w:cs="Arial" w:eastAsia="Arial" w:hAnsi="Arial"/>
                <w:sz w:val="14"/>
                <w:szCs w:val="14"/>
                <w:color w:val="auto"/>
              </w:rPr>
              <w:t>2/2/2032</w:t>
            </w:r>
          </w:p>
        </w:tc>
        <w:tc>
          <w:tcPr>
            <w:tcW w:w="880" w:type="dxa"/>
            <w:vAlign w:val="bottom"/>
            <w:gridSpan w:val="3"/>
          </w:tcPr>
          <w:p>
            <w:pPr>
              <w:jc w:val="center"/>
              <w:ind w:left="130"/>
              <w:spacing w:after="0"/>
              <w:rPr>
                <w:sz w:val="20"/>
                <w:szCs w:val="20"/>
                <w:color w:val="auto"/>
              </w:rPr>
            </w:pPr>
            <w:r>
              <w:rPr>
                <w:rFonts w:ascii="Arial" w:cs="Arial" w:eastAsia="Arial" w:hAnsi="Arial"/>
                <w:sz w:val="14"/>
                <w:szCs w:val="14"/>
                <w:color w:val="auto"/>
                <w:w w:val="84"/>
              </w:rPr>
              <w:t>-</w:t>
            </w:r>
          </w:p>
        </w:tc>
        <w:tc>
          <w:tcPr>
            <w:tcW w:w="620" w:type="dxa"/>
            <w:vAlign w:val="bottom"/>
            <w:gridSpan w:val="2"/>
          </w:tcPr>
          <w:p>
            <w:pPr>
              <w:jc w:val="center"/>
              <w:ind w:left="310"/>
              <w:spacing w:after="0"/>
              <w:rPr>
                <w:sz w:val="20"/>
                <w:szCs w:val="20"/>
                <w:color w:val="auto"/>
              </w:rPr>
            </w:pPr>
            <w:r>
              <w:rPr>
                <w:rFonts w:ascii="Arial" w:cs="Arial" w:eastAsia="Arial" w:hAnsi="Arial"/>
                <w:sz w:val="14"/>
                <w:szCs w:val="14"/>
                <w:color w:val="auto"/>
                <w:w w:val="84"/>
              </w:rPr>
              <w:t>-</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240" w:type="dxa"/>
            <w:vAlign w:val="bottom"/>
          </w:tcPr>
          <w:p>
            <w:pPr>
              <w:spacing w:after="0"/>
              <w:rPr>
                <w:sz w:val="22"/>
                <w:szCs w:val="22"/>
                <w:color w:val="auto"/>
              </w:rPr>
            </w:pPr>
          </w:p>
        </w:tc>
        <w:tc>
          <w:tcPr>
            <w:tcW w:w="1100" w:type="dxa"/>
            <w:vAlign w:val="bottom"/>
            <w:gridSpan w:val="2"/>
          </w:tcPr>
          <w:p>
            <w:pPr>
              <w:jc w:val="center"/>
              <w:ind w:left="130"/>
              <w:spacing w:after="0"/>
              <w:rPr>
                <w:sz w:val="20"/>
                <w:szCs w:val="20"/>
                <w:color w:val="auto"/>
              </w:rPr>
            </w:pPr>
            <w:r>
              <w:rPr>
                <w:rFonts w:ascii="Arial" w:cs="Arial" w:eastAsia="Arial" w:hAnsi="Arial"/>
                <w:sz w:val="14"/>
                <w:szCs w:val="14"/>
                <w:color w:val="auto"/>
                <w:w w:val="99"/>
              </w:rPr>
              <w:t>2/28/2022</w:t>
            </w:r>
          </w:p>
        </w:tc>
        <w:tc>
          <w:tcPr>
            <w:tcW w:w="1140" w:type="dxa"/>
            <w:vAlign w:val="bottom"/>
            <w:gridSpan w:val="2"/>
          </w:tcPr>
          <w:p>
            <w:pPr>
              <w:jc w:val="center"/>
              <w:ind w:left="130"/>
              <w:spacing w:after="0"/>
              <w:rPr>
                <w:sz w:val="20"/>
                <w:szCs w:val="20"/>
                <w:color w:val="auto"/>
              </w:rPr>
            </w:pPr>
            <w:r>
              <w:rPr>
                <w:rFonts w:ascii="Arial" w:cs="Arial" w:eastAsia="Arial" w:hAnsi="Arial"/>
                <w:sz w:val="14"/>
                <w:szCs w:val="14"/>
                <w:color w:val="auto"/>
                <w:w w:val="97"/>
              </w:rPr>
              <w:t>16,041</w:t>
            </w:r>
          </w:p>
        </w:tc>
        <w:tc>
          <w:tcPr>
            <w:tcW w:w="1100" w:type="dxa"/>
            <w:vAlign w:val="bottom"/>
            <w:gridSpan w:val="2"/>
          </w:tcPr>
          <w:p>
            <w:pPr>
              <w:jc w:val="center"/>
              <w:ind w:left="310"/>
              <w:spacing w:after="0"/>
              <w:rPr>
                <w:sz w:val="20"/>
                <w:szCs w:val="20"/>
                <w:color w:val="auto"/>
              </w:rPr>
            </w:pPr>
            <w:r>
              <w:rPr>
                <w:rFonts w:ascii="Arial" w:cs="Arial" w:eastAsia="Arial" w:hAnsi="Arial"/>
                <w:sz w:val="14"/>
                <w:szCs w:val="14"/>
                <w:color w:val="auto"/>
              </w:rPr>
              <w:t>20,626 (4)</w:t>
            </w:r>
          </w:p>
        </w:tc>
        <w:tc>
          <w:tcPr>
            <w:tcW w:w="180" w:type="dxa"/>
            <w:vAlign w:val="bottom"/>
          </w:tcPr>
          <w:p>
            <w:pPr>
              <w:spacing w:after="0"/>
              <w:rPr>
                <w:sz w:val="22"/>
                <w:szCs w:val="22"/>
                <w:color w:val="auto"/>
              </w:rPr>
            </w:pPr>
          </w:p>
        </w:tc>
        <w:tc>
          <w:tcPr>
            <w:tcW w:w="1040" w:type="dxa"/>
            <w:vAlign w:val="bottom"/>
            <w:gridSpan w:val="2"/>
          </w:tcPr>
          <w:p>
            <w:pPr>
              <w:jc w:val="center"/>
              <w:ind w:left="170"/>
              <w:spacing w:after="0"/>
              <w:rPr>
                <w:sz w:val="20"/>
                <w:szCs w:val="20"/>
                <w:color w:val="auto"/>
              </w:rPr>
            </w:pPr>
            <w:r>
              <w:rPr>
                <w:rFonts w:ascii="Arial" w:cs="Arial" w:eastAsia="Arial" w:hAnsi="Arial"/>
                <w:sz w:val="14"/>
                <w:szCs w:val="14"/>
                <w:color w:val="auto"/>
                <w:w w:val="84"/>
              </w:rPr>
              <w:t>-</w:t>
            </w:r>
          </w:p>
        </w:tc>
        <w:tc>
          <w:tcPr>
            <w:tcW w:w="40" w:type="dxa"/>
            <w:vAlign w:val="bottom"/>
          </w:tcPr>
          <w:p>
            <w:pPr>
              <w:spacing w:after="0"/>
              <w:rPr>
                <w:sz w:val="22"/>
                <w:szCs w:val="22"/>
                <w:color w:val="auto"/>
              </w:rPr>
            </w:pPr>
          </w:p>
        </w:tc>
        <w:tc>
          <w:tcPr>
            <w:tcW w:w="840" w:type="dxa"/>
            <w:vAlign w:val="bottom"/>
            <w:gridSpan w:val="2"/>
          </w:tcPr>
          <w:p>
            <w:pPr>
              <w:jc w:val="center"/>
              <w:ind w:left="130"/>
              <w:spacing w:after="0"/>
              <w:rPr>
                <w:sz w:val="20"/>
                <w:szCs w:val="20"/>
                <w:color w:val="auto"/>
              </w:rPr>
            </w:pPr>
            <w:r>
              <w:rPr>
                <w:rFonts w:ascii="Arial" w:cs="Arial" w:eastAsia="Arial" w:hAnsi="Arial"/>
                <w:sz w:val="14"/>
                <w:szCs w:val="14"/>
                <w:color w:val="auto"/>
              </w:rPr>
              <w:t>4.12</w:t>
            </w:r>
          </w:p>
        </w:tc>
        <w:tc>
          <w:tcPr>
            <w:tcW w:w="1160" w:type="dxa"/>
            <w:vAlign w:val="bottom"/>
            <w:gridSpan w:val="2"/>
          </w:tcPr>
          <w:p>
            <w:pPr>
              <w:jc w:val="center"/>
              <w:ind w:left="130"/>
              <w:spacing w:after="0"/>
              <w:rPr>
                <w:sz w:val="20"/>
                <w:szCs w:val="20"/>
                <w:color w:val="auto"/>
              </w:rPr>
            </w:pPr>
            <w:r>
              <w:rPr>
                <w:rFonts w:ascii="Arial" w:cs="Arial" w:eastAsia="Arial" w:hAnsi="Arial"/>
                <w:sz w:val="14"/>
                <w:szCs w:val="14"/>
                <w:color w:val="auto"/>
              </w:rPr>
              <w:t>2/28/2032</w:t>
            </w:r>
          </w:p>
        </w:tc>
        <w:tc>
          <w:tcPr>
            <w:tcW w:w="880" w:type="dxa"/>
            <w:vAlign w:val="bottom"/>
            <w:gridSpan w:val="3"/>
          </w:tcPr>
          <w:p>
            <w:pPr>
              <w:jc w:val="center"/>
              <w:ind w:left="130"/>
              <w:spacing w:after="0"/>
              <w:rPr>
                <w:sz w:val="20"/>
                <w:szCs w:val="20"/>
                <w:color w:val="auto"/>
              </w:rPr>
            </w:pPr>
            <w:r>
              <w:rPr>
                <w:rFonts w:ascii="Arial" w:cs="Arial" w:eastAsia="Arial" w:hAnsi="Arial"/>
                <w:sz w:val="14"/>
                <w:szCs w:val="14"/>
                <w:color w:val="auto"/>
                <w:w w:val="84"/>
              </w:rPr>
              <w:t>-</w:t>
            </w:r>
          </w:p>
        </w:tc>
        <w:tc>
          <w:tcPr>
            <w:tcW w:w="620" w:type="dxa"/>
            <w:vAlign w:val="bottom"/>
            <w:gridSpan w:val="2"/>
          </w:tcPr>
          <w:p>
            <w:pPr>
              <w:jc w:val="center"/>
              <w:ind w:left="310"/>
              <w:spacing w:after="0"/>
              <w:rPr>
                <w:sz w:val="20"/>
                <w:szCs w:val="20"/>
                <w:color w:val="auto"/>
              </w:rPr>
            </w:pPr>
            <w:r>
              <w:rPr>
                <w:rFonts w:ascii="Arial" w:cs="Arial" w:eastAsia="Arial" w:hAnsi="Arial"/>
                <w:sz w:val="14"/>
                <w:szCs w:val="14"/>
                <w:color w:val="auto"/>
                <w:w w:val="84"/>
              </w:rPr>
              <w:t>-</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240" w:type="dxa"/>
            <w:vAlign w:val="bottom"/>
          </w:tcPr>
          <w:p>
            <w:pPr>
              <w:spacing w:after="0"/>
              <w:rPr>
                <w:sz w:val="22"/>
                <w:szCs w:val="22"/>
                <w:color w:val="auto"/>
              </w:rPr>
            </w:pPr>
          </w:p>
        </w:tc>
        <w:tc>
          <w:tcPr>
            <w:tcW w:w="1100" w:type="dxa"/>
            <w:vAlign w:val="bottom"/>
            <w:gridSpan w:val="2"/>
          </w:tcPr>
          <w:p>
            <w:pPr>
              <w:jc w:val="center"/>
              <w:ind w:left="130"/>
              <w:spacing w:after="0"/>
              <w:rPr>
                <w:sz w:val="20"/>
                <w:szCs w:val="20"/>
                <w:color w:val="auto"/>
              </w:rPr>
            </w:pPr>
            <w:r>
              <w:rPr>
                <w:rFonts w:ascii="Arial" w:cs="Arial" w:eastAsia="Arial" w:hAnsi="Arial"/>
                <w:sz w:val="14"/>
                <w:szCs w:val="14"/>
                <w:color w:val="auto"/>
                <w:w w:val="99"/>
              </w:rPr>
              <w:t>11/28/2022</w:t>
            </w:r>
          </w:p>
        </w:tc>
        <w:tc>
          <w:tcPr>
            <w:tcW w:w="1140" w:type="dxa"/>
            <w:vAlign w:val="bottom"/>
            <w:gridSpan w:val="2"/>
          </w:tcPr>
          <w:p>
            <w:pPr>
              <w:jc w:val="center"/>
              <w:ind w:left="150"/>
              <w:spacing w:after="0"/>
              <w:rPr>
                <w:sz w:val="20"/>
                <w:szCs w:val="20"/>
                <w:color w:val="auto"/>
              </w:rPr>
            </w:pPr>
            <w:r>
              <w:rPr>
                <w:rFonts w:ascii="Arial" w:cs="Arial" w:eastAsia="Arial" w:hAnsi="Arial"/>
                <w:sz w:val="14"/>
                <w:szCs w:val="14"/>
                <w:color w:val="auto"/>
                <w:w w:val="84"/>
              </w:rPr>
              <w:t>-</w:t>
            </w:r>
          </w:p>
        </w:tc>
        <w:tc>
          <w:tcPr>
            <w:tcW w:w="1100" w:type="dxa"/>
            <w:vAlign w:val="bottom"/>
            <w:gridSpan w:val="2"/>
          </w:tcPr>
          <w:p>
            <w:pPr>
              <w:jc w:val="center"/>
              <w:ind w:left="310"/>
              <w:spacing w:after="0"/>
              <w:rPr>
                <w:sz w:val="20"/>
                <w:szCs w:val="20"/>
                <w:color w:val="auto"/>
              </w:rPr>
            </w:pPr>
            <w:r>
              <w:rPr>
                <w:rFonts w:ascii="Arial" w:cs="Arial" w:eastAsia="Arial" w:hAnsi="Arial"/>
                <w:sz w:val="14"/>
                <w:szCs w:val="14"/>
                <w:color w:val="auto"/>
                <w:w w:val="84"/>
              </w:rPr>
              <w:t>-</w:t>
            </w:r>
          </w:p>
        </w:tc>
        <w:tc>
          <w:tcPr>
            <w:tcW w:w="180" w:type="dxa"/>
            <w:vAlign w:val="bottom"/>
          </w:tcPr>
          <w:p>
            <w:pPr>
              <w:spacing w:after="0"/>
              <w:rPr>
                <w:sz w:val="22"/>
                <w:szCs w:val="22"/>
                <w:color w:val="auto"/>
              </w:rPr>
            </w:pPr>
          </w:p>
        </w:tc>
        <w:tc>
          <w:tcPr>
            <w:tcW w:w="1040" w:type="dxa"/>
            <w:vAlign w:val="bottom"/>
            <w:gridSpan w:val="2"/>
          </w:tcPr>
          <w:p>
            <w:pPr>
              <w:jc w:val="center"/>
              <w:ind w:left="170"/>
              <w:spacing w:after="0"/>
              <w:rPr>
                <w:sz w:val="20"/>
                <w:szCs w:val="20"/>
                <w:color w:val="auto"/>
              </w:rPr>
            </w:pPr>
            <w:r>
              <w:rPr>
                <w:rFonts w:ascii="Arial" w:cs="Arial" w:eastAsia="Arial" w:hAnsi="Arial"/>
                <w:sz w:val="14"/>
                <w:szCs w:val="14"/>
                <w:color w:val="auto"/>
                <w:w w:val="84"/>
              </w:rPr>
              <w:t>-</w:t>
            </w:r>
          </w:p>
        </w:tc>
        <w:tc>
          <w:tcPr>
            <w:tcW w:w="40" w:type="dxa"/>
            <w:vAlign w:val="bottom"/>
          </w:tcPr>
          <w:p>
            <w:pPr>
              <w:spacing w:after="0"/>
              <w:rPr>
                <w:sz w:val="22"/>
                <w:szCs w:val="22"/>
                <w:color w:val="auto"/>
              </w:rPr>
            </w:pPr>
          </w:p>
        </w:tc>
        <w:tc>
          <w:tcPr>
            <w:tcW w:w="840" w:type="dxa"/>
            <w:vAlign w:val="bottom"/>
            <w:gridSpan w:val="2"/>
          </w:tcPr>
          <w:p>
            <w:pPr>
              <w:jc w:val="center"/>
              <w:ind w:left="130"/>
              <w:spacing w:after="0"/>
              <w:rPr>
                <w:sz w:val="20"/>
                <w:szCs w:val="20"/>
                <w:color w:val="auto"/>
              </w:rPr>
            </w:pPr>
            <w:r>
              <w:rPr>
                <w:rFonts w:ascii="Arial" w:cs="Arial" w:eastAsia="Arial" w:hAnsi="Arial"/>
                <w:sz w:val="14"/>
                <w:szCs w:val="14"/>
                <w:color w:val="auto"/>
                <w:w w:val="84"/>
              </w:rPr>
              <w:t>-</w:t>
            </w:r>
          </w:p>
        </w:tc>
        <w:tc>
          <w:tcPr>
            <w:tcW w:w="1160" w:type="dxa"/>
            <w:vAlign w:val="bottom"/>
            <w:gridSpan w:val="2"/>
          </w:tcPr>
          <w:p>
            <w:pPr>
              <w:jc w:val="center"/>
              <w:ind w:left="130"/>
              <w:spacing w:after="0"/>
              <w:rPr>
                <w:sz w:val="20"/>
                <w:szCs w:val="20"/>
                <w:color w:val="auto"/>
              </w:rPr>
            </w:pPr>
            <w:r>
              <w:rPr>
                <w:rFonts w:ascii="Arial" w:cs="Arial" w:eastAsia="Arial" w:hAnsi="Arial"/>
                <w:sz w:val="14"/>
                <w:szCs w:val="14"/>
                <w:color w:val="auto"/>
                <w:w w:val="84"/>
              </w:rPr>
              <w:t>-</w:t>
            </w:r>
          </w:p>
        </w:tc>
        <w:tc>
          <w:tcPr>
            <w:tcW w:w="880" w:type="dxa"/>
            <w:vAlign w:val="bottom"/>
            <w:gridSpan w:val="3"/>
          </w:tcPr>
          <w:p>
            <w:pPr>
              <w:jc w:val="center"/>
              <w:ind w:left="130"/>
              <w:spacing w:after="0"/>
              <w:rPr>
                <w:sz w:val="20"/>
                <w:szCs w:val="20"/>
                <w:color w:val="auto"/>
              </w:rPr>
            </w:pPr>
            <w:r>
              <w:rPr>
                <w:rFonts w:ascii="Arial" w:cs="Arial" w:eastAsia="Arial" w:hAnsi="Arial"/>
                <w:sz w:val="14"/>
                <w:szCs w:val="14"/>
                <w:color w:val="auto"/>
              </w:rPr>
              <w:t>45,438 (5)</w:t>
            </w:r>
          </w:p>
        </w:tc>
        <w:tc>
          <w:tcPr>
            <w:tcW w:w="920" w:type="dxa"/>
            <w:vAlign w:val="bottom"/>
            <w:gridSpan w:val="3"/>
          </w:tcPr>
          <w:p>
            <w:pPr>
              <w:jc w:val="center"/>
              <w:ind w:left="10"/>
              <w:spacing w:after="0"/>
              <w:rPr>
                <w:sz w:val="20"/>
                <w:szCs w:val="20"/>
                <w:color w:val="auto"/>
              </w:rPr>
            </w:pPr>
            <w:r>
              <w:rPr>
                <w:rFonts w:ascii="Arial" w:cs="Arial" w:eastAsia="Arial" w:hAnsi="Arial"/>
                <w:sz w:val="14"/>
                <w:szCs w:val="14"/>
                <w:color w:val="auto"/>
              </w:rPr>
              <w:t>66,794</w:t>
            </w:r>
          </w:p>
        </w:tc>
        <w:tc>
          <w:tcPr>
            <w:tcW w:w="0" w:type="dxa"/>
            <w:vAlign w:val="bottom"/>
          </w:tcPr>
          <w:p>
            <w:pPr>
              <w:spacing w:after="0"/>
              <w:rPr>
                <w:sz w:val="1"/>
                <w:szCs w:val="1"/>
                <w:color w:val="auto"/>
              </w:rPr>
            </w:pPr>
          </w:p>
        </w:tc>
      </w:tr>
      <w:tr>
        <w:trPr>
          <w:trHeight w:val="227"/>
        </w:trPr>
        <w:tc>
          <w:tcPr>
            <w:tcW w:w="1240" w:type="dxa"/>
            <w:vAlign w:val="bottom"/>
          </w:tcPr>
          <w:p>
            <w:pPr>
              <w:spacing w:after="0"/>
              <w:rPr>
                <w:sz w:val="19"/>
                <w:szCs w:val="19"/>
                <w:color w:val="auto"/>
              </w:rPr>
            </w:pPr>
          </w:p>
        </w:tc>
        <w:tc>
          <w:tcPr>
            <w:tcW w:w="1100" w:type="dxa"/>
            <w:vAlign w:val="bottom"/>
            <w:gridSpan w:val="2"/>
          </w:tcPr>
          <w:p>
            <w:pPr>
              <w:jc w:val="center"/>
              <w:ind w:left="130"/>
              <w:spacing w:after="0"/>
              <w:rPr>
                <w:sz w:val="20"/>
                <w:szCs w:val="20"/>
                <w:color w:val="auto"/>
              </w:rPr>
            </w:pPr>
            <w:r>
              <w:rPr>
                <w:rFonts w:ascii="Arial" w:cs="Arial" w:eastAsia="Arial" w:hAnsi="Arial"/>
                <w:sz w:val="14"/>
                <w:szCs w:val="14"/>
                <w:color w:val="auto"/>
                <w:w w:val="99"/>
              </w:rPr>
              <w:t>4/28/2023</w:t>
            </w:r>
          </w:p>
        </w:tc>
        <w:tc>
          <w:tcPr>
            <w:tcW w:w="1140" w:type="dxa"/>
            <w:vAlign w:val="bottom"/>
            <w:gridSpan w:val="2"/>
          </w:tcPr>
          <w:p>
            <w:pPr>
              <w:jc w:val="center"/>
              <w:ind w:left="130"/>
              <w:spacing w:after="0"/>
              <w:rPr>
                <w:sz w:val="20"/>
                <w:szCs w:val="20"/>
                <w:color w:val="auto"/>
              </w:rPr>
            </w:pPr>
            <w:r>
              <w:rPr>
                <w:rFonts w:ascii="Arial" w:cs="Arial" w:eastAsia="Arial" w:hAnsi="Arial"/>
                <w:sz w:val="14"/>
                <w:szCs w:val="14"/>
                <w:color w:val="auto"/>
                <w:w w:val="97"/>
              </w:rPr>
              <w:t>15,000</w:t>
            </w:r>
          </w:p>
        </w:tc>
        <w:tc>
          <w:tcPr>
            <w:tcW w:w="1100" w:type="dxa"/>
            <w:vAlign w:val="bottom"/>
            <w:gridSpan w:val="2"/>
          </w:tcPr>
          <w:p>
            <w:pPr>
              <w:jc w:val="center"/>
              <w:ind w:left="310"/>
              <w:spacing w:after="0"/>
              <w:rPr>
                <w:sz w:val="20"/>
                <w:szCs w:val="20"/>
                <w:color w:val="auto"/>
              </w:rPr>
            </w:pPr>
            <w:r>
              <w:rPr>
                <w:rFonts w:ascii="Arial" w:cs="Arial" w:eastAsia="Arial" w:hAnsi="Arial"/>
                <w:sz w:val="14"/>
                <w:szCs w:val="14"/>
                <w:color w:val="auto"/>
              </w:rPr>
              <w:t>75,000 (6)</w:t>
            </w:r>
          </w:p>
        </w:tc>
        <w:tc>
          <w:tcPr>
            <w:tcW w:w="180" w:type="dxa"/>
            <w:vAlign w:val="bottom"/>
          </w:tcPr>
          <w:p>
            <w:pPr>
              <w:spacing w:after="0"/>
              <w:rPr>
                <w:sz w:val="19"/>
                <w:szCs w:val="19"/>
                <w:color w:val="auto"/>
              </w:rPr>
            </w:pPr>
          </w:p>
        </w:tc>
        <w:tc>
          <w:tcPr>
            <w:tcW w:w="1040" w:type="dxa"/>
            <w:vAlign w:val="bottom"/>
            <w:gridSpan w:val="2"/>
          </w:tcPr>
          <w:p>
            <w:pPr>
              <w:jc w:val="center"/>
              <w:ind w:left="170"/>
              <w:spacing w:after="0"/>
              <w:rPr>
                <w:sz w:val="20"/>
                <w:szCs w:val="20"/>
                <w:color w:val="auto"/>
              </w:rPr>
            </w:pPr>
            <w:r>
              <w:rPr>
                <w:rFonts w:ascii="Arial" w:cs="Arial" w:eastAsia="Arial" w:hAnsi="Arial"/>
                <w:sz w:val="14"/>
                <w:szCs w:val="14"/>
                <w:color w:val="auto"/>
                <w:w w:val="84"/>
              </w:rPr>
              <w:t>-</w:t>
            </w:r>
          </w:p>
        </w:tc>
        <w:tc>
          <w:tcPr>
            <w:tcW w:w="40" w:type="dxa"/>
            <w:vAlign w:val="bottom"/>
          </w:tcPr>
          <w:p>
            <w:pPr>
              <w:spacing w:after="0"/>
              <w:rPr>
                <w:sz w:val="19"/>
                <w:szCs w:val="19"/>
                <w:color w:val="auto"/>
              </w:rPr>
            </w:pPr>
          </w:p>
        </w:tc>
        <w:tc>
          <w:tcPr>
            <w:tcW w:w="840" w:type="dxa"/>
            <w:vAlign w:val="bottom"/>
            <w:gridSpan w:val="2"/>
          </w:tcPr>
          <w:p>
            <w:pPr>
              <w:jc w:val="center"/>
              <w:ind w:left="130"/>
              <w:spacing w:after="0"/>
              <w:rPr>
                <w:sz w:val="20"/>
                <w:szCs w:val="20"/>
                <w:color w:val="auto"/>
              </w:rPr>
            </w:pPr>
            <w:r>
              <w:rPr>
                <w:rFonts w:ascii="Arial" w:cs="Arial" w:eastAsia="Arial" w:hAnsi="Arial"/>
                <w:sz w:val="14"/>
                <w:szCs w:val="14"/>
                <w:color w:val="auto"/>
              </w:rPr>
              <w:t>1.29</w:t>
            </w:r>
          </w:p>
        </w:tc>
        <w:tc>
          <w:tcPr>
            <w:tcW w:w="1160" w:type="dxa"/>
            <w:vAlign w:val="bottom"/>
            <w:gridSpan w:val="2"/>
          </w:tcPr>
          <w:p>
            <w:pPr>
              <w:jc w:val="center"/>
              <w:ind w:left="130"/>
              <w:spacing w:after="0"/>
              <w:rPr>
                <w:sz w:val="20"/>
                <w:szCs w:val="20"/>
                <w:color w:val="auto"/>
              </w:rPr>
            </w:pPr>
            <w:r>
              <w:rPr>
                <w:rFonts w:ascii="Arial" w:cs="Arial" w:eastAsia="Arial" w:hAnsi="Arial"/>
                <w:sz w:val="14"/>
                <w:szCs w:val="14"/>
                <w:color w:val="auto"/>
              </w:rPr>
              <w:t>4/28/2033</w:t>
            </w:r>
          </w:p>
        </w:tc>
        <w:tc>
          <w:tcPr>
            <w:tcW w:w="880" w:type="dxa"/>
            <w:vAlign w:val="bottom"/>
            <w:gridSpan w:val="3"/>
          </w:tcPr>
          <w:p>
            <w:pPr>
              <w:jc w:val="center"/>
              <w:ind w:left="130"/>
              <w:spacing w:after="0"/>
              <w:rPr>
                <w:sz w:val="20"/>
                <w:szCs w:val="20"/>
                <w:color w:val="auto"/>
              </w:rPr>
            </w:pPr>
            <w:r>
              <w:rPr>
                <w:rFonts w:ascii="Arial" w:cs="Arial" w:eastAsia="Arial" w:hAnsi="Arial"/>
                <w:sz w:val="14"/>
                <w:szCs w:val="14"/>
                <w:color w:val="auto"/>
                <w:w w:val="84"/>
              </w:rPr>
              <w:t>-</w:t>
            </w:r>
          </w:p>
        </w:tc>
        <w:tc>
          <w:tcPr>
            <w:tcW w:w="620" w:type="dxa"/>
            <w:vAlign w:val="bottom"/>
            <w:gridSpan w:val="2"/>
          </w:tcPr>
          <w:p>
            <w:pPr>
              <w:jc w:val="center"/>
              <w:ind w:left="310"/>
              <w:spacing w:after="0"/>
              <w:rPr>
                <w:sz w:val="20"/>
                <w:szCs w:val="20"/>
                <w:color w:val="auto"/>
              </w:rPr>
            </w:pPr>
            <w:r>
              <w:rPr>
                <w:rFonts w:ascii="Arial" w:cs="Arial" w:eastAsia="Arial" w:hAnsi="Arial"/>
                <w:sz w:val="14"/>
                <w:szCs w:val="14"/>
                <w:color w:val="auto"/>
                <w:w w:val="84"/>
              </w:rPr>
              <w:t>-</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gridSpan w:val="3"/>
          </w:tcPr>
          <w:p>
            <w:pPr>
              <w:jc w:val="center"/>
              <w:ind w:left="130"/>
              <w:spacing w:after="0"/>
              <w:rPr>
                <w:sz w:val="20"/>
                <w:szCs w:val="20"/>
                <w:color w:val="auto"/>
              </w:rPr>
            </w:pPr>
            <w:r>
              <w:rPr>
                <w:rFonts w:ascii="Arial" w:cs="Arial" w:eastAsia="Arial" w:hAnsi="Arial"/>
                <w:sz w:val="14"/>
                <w:szCs w:val="14"/>
                <w:color w:val="auto"/>
              </w:rPr>
              <w:t>112,790</w:t>
            </w: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240" w:type="dxa"/>
            <w:vAlign w:val="bottom"/>
          </w:tcPr>
          <w:p>
            <w:pPr>
              <w:spacing w:after="0"/>
              <w:rPr>
                <w:sz w:val="15"/>
                <w:szCs w:val="15"/>
                <w:color w:val="auto"/>
              </w:rPr>
            </w:pPr>
          </w:p>
        </w:tc>
        <w:tc>
          <w:tcPr>
            <w:tcW w:w="1100" w:type="dxa"/>
            <w:vAlign w:val="bottom"/>
            <w:gridSpan w:val="2"/>
          </w:tcPr>
          <w:p>
            <w:pPr>
              <w:jc w:val="center"/>
              <w:ind w:left="130"/>
              <w:spacing w:after="0"/>
              <w:rPr>
                <w:sz w:val="20"/>
                <w:szCs w:val="20"/>
                <w:color w:val="auto"/>
              </w:rPr>
            </w:pPr>
            <w:r>
              <w:rPr>
                <w:rFonts w:ascii="Arial" w:cs="Arial" w:eastAsia="Arial" w:hAnsi="Arial"/>
                <w:sz w:val="14"/>
                <w:szCs w:val="14"/>
                <w:color w:val="auto"/>
                <w:w w:val="99"/>
              </w:rPr>
              <w:t>11/26/2023</w:t>
            </w:r>
          </w:p>
        </w:tc>
        <w:tc>
          <w:tcPr>
            <w:tcW w:w="1140" w:type="dxa"/>
            <w:vAlign w:val="bottom"/>
            <w:gridSpan w:val="2"/>
          </w:tcPr>
          <w:p>
            <w:pPr>
              <w:jc w:val="center"/>
              <w:ind w:left="150"/>
              <w:spacing w:after="0"/>
              <w:rPr>
                <w:sz w:val="20"/>
                <w:szCs w:val="20"/>
                <w:color w:val="auto"/>
              </w:rPr>
            </w:pPr>
            <w:r>
              <w:rPr>
                <w:rFonts w:ascii="Arial" w:cs="Arial" w:eastAsia="Arial" w:hAnsi="Arial"/>
                <w:sz w:val="14"/>
                <w:szCs w:val="14"/>
                <w:color w:val="auto"/>
                <w:w w:val="84"/>
              </w:rPr>
              <w:t>-</w:t>
            </w:r>
          </w:p>
        </w:tc>
        <w:tc>
          <w:tcPr>
            <w:tcW w:w="1100" w:type="dxa"/>
            <w:vAlign w:val="bottom"/>
            <w:gridSpan w:val="2"/>
          </w:tcPr>
          <w:p>
            <w:pPr>
              <w:jc w:val="center"/>
              <w:ind w:left="310"/>
              <w:spacing w:after="0"/>
              <w:rPr>
                <w:sz w:val="20"/>
                <w:szCs w:val="20"/>
                <w:color w:val="auto"/>
              </w:rPr>
            </w:pPr>
            <w:r>
              <w:rPr>
                <w:rFonts w:ascii="Arial" w:cs="Arial" w:eastAsia="Arial" w:hAnsi="Arial"/>
                <w:sz w:val="14"/>
                <w:szCs w:val="14"/>
                <w:color w:val="auto"/>
                <w:w w:val="84"/>
              </w:rPr>
              <w:t>-</w:t>
            </w:r>
          </w:p>
        </w:tc>
        <w:tc>
          <w:tcPr>
            <w:tcW w:w="180" w:type="dxa"/>
            <w:vAlign w:val="bottom"/>
          </w:tcPr>
          <w:p>
            <w:pPr>
              <w:spacing w:after="0"/>
              <w:rPr>
                <w:sz w:val="15"/>
                <w:szCs w:val="15"/>
                <w:color w:val="auto"/>
              </w:rPr>
            </w:pPr>
          </w:p>
        </w:tc>
        <w:tc>
          <w:tcPr>
            <w:tcW w:w="1040" w:type="dxa"/>
            <w:vAlign w:val="bottom"/>
            <w:gridSpan w:val="2"/>
          </w:tcPr>
          <w:p>
            <w:pPr>
              <w:jc w:val="center"/>
              <w:ind w:left="170"/>
              <w:spacing w:after="0"/>
              <w:rPr>
                <w:sz w:val="20"/>
                <w:szCs w:val="20"/>
                <w:color w:val="auto"/>
              </w:rPr>
            </w:pPr>
            <w:r>
              <w:rPr>
                <w:rFonts w:ascii="Arial" w:cs="Arial" w:eastAsia="Arial" w:hAnsi="Arial"/>
                <w:sz w:val="14"/>
                <w:szCs w:val="14"/>
                <w:color w:val="auto"/>
                <w:w w:val="84"/>
              </w:rPr>
              <w:t>-</w:t>
            </w:r>
          </w:p>
        </w:tc>
        <w:tc>
          <w:tcPr>
            <w:tcW w:w="40" w:type="dxa"/>
            <w:vAlign w:val="bottom"/>
          </w:tcPr>
          <w:p>
            <w:pPr>
              <w:spacing w:after="0"/>
              <w:rPr>
                <w:sz w:val="15"/>
                <w:szCs w:val="15"/>
                <w:color w:val="auto"/>
              </w:rPr>
            </w:pPr>
          </w:p>
        </w:tc>
        <w:tc>
          <w:tcPr>
            <w:tcW w:w="840" w:type="dxa"/>
            <w:vAlign w:val="bottom"/>
            <w:gridSpan w:val="2"/>
          </w:tcPr>
          <w:p>
            <w:pPr>
              <w:jc w:val="center"/>
              <w:ind w:left="130"/>
              <w:spacing w:after="0"/>
              <w:rPr>
                <w:sz w:val="20"/>
                <w:szCs w:val="20"/>
                <w:color w:val="auto"/>
              </w:rPr>
            </w:pPr>
            <w:r>
              <w:rPr>
                <w:rFonts w:ascii="Arial" w:cs="Arial" w:eastAsia="Arial" w:hAnsi="Arial"/>
                <w:sz w:val="14"/>
                <w:szCs w:val="14"/>
                <w:color w:val="auto"/>
                <w:w w:val="84"/>
              </w:rPr>
              <w:t>-</w:t>
            </w:r>
          </w:p>
        </w:tc>
        <w:tc>
          <w:tcPr>
            <w:tcW w:w="1160" w:type="dxa"/>
            <w:vAlign w:val="bottom"/>
            <w:gridSpan w:val="2"/>
          </w:tcPr>
          <w:p>
            <w:pPr>
              <w:jc w:val="center"/>
              <w:ind w:left="130"/>
              <w:spacing w:after="0"/>
              <w:rPr>
                <w:sz w:val="20"/>
                <w:szCs w:val="20"/>
                <w:color w:val="auto"/>
              </w:rPr>
            </w:pPr>
            <w:r>
              <w:rPr>
                <w:rFonts w:ascii="Arial" w:cs="Arial" w:eastAsia="Arial" w:hAnsi="Arial"/>
                <w:sz w:val="14"/>
                <w:szCs w:val="14"/>
                <w:color w:val="auto"/>
                <w:w w:val="84"/>
              </w:rPr>
              <w:t>-</w:t>
            </w:r>
          </w:p>
        </w:tc>
        <w:tc>
          <w:tcPr>
            <w:tcW w:w="880" w:type="dxa"/>
            <w:vAlign w:val="bottom"/>
            <w:gridSpan w:val="3"/>
          </w:tcPr>
          <w:p>
            <w:pPr>
              <w:jc w:val="center"/>
              <w:ind w:left="130"/>
              <w:spacing w:after="0"/>
              <w:rPr>
                <w:sz w:val="20"/>
                <w:szCs w:val="20"/>
                <w:color w:val="auto"/>
              </w:rPr>
            </w:pPr>
            <w:r>
              <w:rPr>
                <w:rFonts w:ascii="Arial" w:cs="Arial" w:eastAsia="Arial" w:hAnsi="Arial"/>
                <w:sz w:val="14"/>
                <w:szCs w:val="14"/>
                <w:color w:val="auto"/>
                <w:w w:val="93"/>
              </w:rPr>
              <w:t>(9)</w:t>
            </w:r>
          </w:p>
        </w:tc>
        <w:tc>
          <w:tcPr>
            <w:tcW w:w="920" w:type="dxa"/>
            <w:vAlign w:val="bottom"/>
            <w:gridSpan w:val="3"/>
          </w:tcPr>
          <w:p>
            <w:pPr>
              <w:jc w:val="center"/>
              <w:ind w:left="30"/>
              <w:spacing w:after="0"/>
              <w:rPr>
                <w:sz w:val="20"/>
                <w:szCs w:val="20"/>
                <w:color w:val="auto"/>
              </w:rPr>
            </w:pPr>
            <w:r>
              <w:rPr>
                <w:rFonts w:ascii="Arial" w:cs="Arial" w:eastAsia="Arial" w:hAnsi="Arial"/>
                <w:sz w:val="14"/>
                <w:szCs w:val="14"/>
                <w:color w:val="auto"/>
                <w:w w:val="98"/>
              </w:rPr>
              <w:t>165,801</w:t>
            </w:r>
          </w:p>
        </w:tc>
        <w:tc>
          <w:tcPr>
            <w:tcW w:w="0" w:type="dxa"/>
            <w:vAlign w:val="bottom"/>
          </w:tcPr>
          <w:p>
            <w:pPr>
              <w:spacing w:after="0"/>
              <w:rPr>
                <w:sz w:val="1"/>
                <w:szCs w:val="1"/>
                <w:color w:val="auto"/>
              </w:rPr>
            </w:pPr>
          </w:p>
        </w:tc>
      </w:tr>
      <w:tr>
        <w:trPr>
          <w:trHeight w:val="154"/>
        </w:trPr>
        <w:tc>
          <w:tcPr>
            <w:tcW w:w="1240" w:type="dxa"/>
            <w:vAlign w:val="bottom"/>
            <w:shd w:val="clear" w:color="auto" w:fill="CFF0FC"/>
          </w:tcPr>
          <w:p>
            <w:pPr>
              <w:ind w:left="100"/>
              <w:spacing w:after="0" w:line="154" w:lineRule="exact"/>
              <w:rPr>
                <w:sz w:val="20"/>
                <w:szCs w:val="20"/>
                <w:color w:val="auto"/>
              </w:rPr>
            </w:pPr>
            <w:r>
              <w:rPr>
                <w:rFonts w:ascii="Arial" w:cs="Arial" w:eastAsia="Arial" w:hAnsi="Arial"/>
                <w:sz w:val="14"/>
                <w:szCs w:val="14"/>
                <w:i w:val="1"/>
                <w:iCs w:val="1"/>
                <w:color w:val="auto"/>
                <w:shd w:val="clear" w:color="auto" w:fill="CFF0FC"/>
              </w:rPr>
              <w:t>Jason A. Amello</w:t>
            </w:r>
          </w:p>
        </w:tc>
        <w:tc>
          <w:tcPr>
            <w:tcW w:w="200" w:type="dxa"/>
            <w:vAlign w:val="bottom"/>
            <w:shd w:val="clear" w:color="auto" w:fill="CFF0FC"/>
          </w:tcPr>
          <w:p>
            <w:pPr>
              <w:spacing w:after="0"/>
              <w:rPr>
                <w:sz w:val="13"/>
                <w:szCs w:val="13"/>
                <w:color w:val="auto"/>
              </w:rPr>
            </w:pPr>
          </w:p>
        </w:tc>
        <w:tc>
          <w:tcPr>
            <w:tcW w:w="900" w:type="dxa"/>
            <w:vAlign w:val="bottom"/>
            <w:vMerge w:val="restart"/>
            <w:shd w:val="clear" w:color="auto" w:fill="CFF0FC"/>
          </w:tcPr>
          <w:p>
            <w:pPr>
              <w:jc w:val="center"/>
              <w:spacing w:after="0"/>
              <w:rPr>
                <w:sz w:val="20"/>
                <w:szCs w:val="20"/>
                <w:color w:val="auto"/>
              </w:rPr>
            </w:pPr>
            <w:r>
              <w:rPr>
                <w:rFonts w:ascii="Arial" w:cs="Arial" w:eastAsia="Arial" w:hAnsi="Arial"/>
                <w:sz w:val="14"/>
                <w:szCs w:val="14"/>
                <w:color w:val="auto"/>
                <w:w w:val="99"/>
              </w:rPr>
              <w:t>9/21/2022</w:t>
            </w:r>
          </w:p>
        </w:tc>
        <w:tc>
          <w:tcPr>
            <w:tcW w:w="200" w:type="dxa"/>
            <w:vAlign w:val="bottom"/>
            <w:shd w:val="clear" w:color="auto" w:fill="CFF0FC"/>
          </w:tcPr>
          <w:p>
            <w:pPr>
              <w:spacing w:after="0"/>
              <w:rPr>
                <w:sz w:val="13"/>
                <w:szCs w:val="13"/>
                <w:color w:val="auto"/>
              </w:rPr>
            </w:pPr>
          </w:p>
        </w:tc>
        <w:tc>
          <w:tcPr>
            <w:tcW w:w="940" w:type="dxa"/>
            <w:vAlign w:val="bottom"/>
            <w:vMerge w:val="restart"/>
            <w:shd w:val="clear" w:color="auto" w:fill="CFF0FC"/>
          </w:tcPr>
          <w:p>
            <w:pPr>
              <w:jc w:val="center"/>
              <w:spacing w:after="0"/>
              <w:rPr>
                <w:sz w:val="20"/>
                <w:szCs w:val="20"/>
                <w:color w:val="auto"/>
              </w:rPr>
            </w:pPr>
            <w:r>
              <w:rPr>
                <w:rFonts w:ascii="Arial" w:cs="Arial" w:eastAsia="Arial" w:hAnsi="Arial"/>
                <w:sz w:val="14"/>
                <w:szCs w:val="14"/>
                <w:color w:val="auto"/>
                <w:w w:val="97"/>
              </w:rPr>
              <w:t>71,875</w:t>
            </w:r>
          </w:p>
        </w:tc>
        <w:tc>
          <w:tcPr>
            <w:tcW w:w="220" w:type="dxa"/>
            <w:vAlign w:val="bottom"/>
            <w:shd w:val="clear" w:color="auto" w:fill="CFF0FC"/>
          </w:tcPr>
          <w:p>
            <w:pPr>
              <w:spacing w:after="0"/>
              <w:rPr>
                <w:sz w:val="13"/>
                <w:szCs w:val="13"/>
                <w:color w:val="auto"/>
              </w:rPr>
            </w:pPr>
          </w:p>
        </w:tc>
        <w:tc>
          <w:tcPr>
            <w:tcW w:w="1060" w:type="dxa"/>
            <w:vAlign w:val="bottom"/>
            <w:gridSpan w:val="2"/>
            <w:vMerge w:val="restart"/>
            <w:shd w:val="clear" w:color="auto" w:fill="CFF0FC"/>
          </w:tcPr>
          <w:p>
            <w:pPr>
              <w:jc w:val="center"/>
              <w:spacing w:after="0"/>
              <w:rPr>
                <w:sz w:val="20"/>
                <w:szCs w:val="20"/>
                <w:color w:val="auto"/>
              </w:rPr>
            </w:pPr>
            <w:r>
              <w:rPr>
                <w:rFonts w:ascii="Arial" w:cs="Arial" w:eastAsia="Arial" w:hAnsi="Arial"/>
                <w:sz w:val="14"/>
                <w:szCs w:val="14"/>
                <w:color w:val="auto"/>
              </w:rPr>
              <w:t>158,125(13)</w:t>
            </w:r>
          </w:p>
        </w:tc>
        <w:tc>
          <w:tcPr>
            <w:tcW w:w="200" w:type="dxa"/>
            <w:vAlign w:val="bottom"/>
            <w:shd w:val="clear" w:color="auto" w:fill="CFF0FC"/>
          </w:tcPr>
          <w:p>
            <w:pPr>
              <w:spacing w:after="0"/>
              <w:rPr>
                <w:sz w:val="13"/>
                <w:szCs w:val="13"/>
                <w:color w:val="auto"/>
              </w:rPr>
            </w:pPr>
          </w:p>
        </w:tc>
        <w:tc>
          <w:tcPr>
            <w:tcW w:w="840" w:type="dxa"/>
            <w:vAlign w:val="bottom"/>
            <w:vMerge w:val="restart"/>
            <w:shd w:val="clear" w:color="auto" w:fill="CFF0FC"/>
          </w:tcPr>
          <w:p>
            <w:pPr>
              <w:jc w:val="center"/>
              <w:spacing w:after="0"/>
              <w:rPr>
                <w:sz w:val="20"/>
                <w:szCs w:val="20"/>
                <w:color w:val="auto"/>
              </w:rPr>
            </w:pPr>
            <w:r>
              <w:rPr>
                <w:rFonts w:ascii="Arial" w:cs="Arial" w:eastAsia="Arial" w:hAnsi="Arial"/>
                <w:sz w:val="14"/>
                <w:szCs w:val="14"/>
                <w:color w:val="auto"/>
                <w:w w:val="84"/>
              </w:rPr>
              <w:t>-</w:t>
            </w:r>
          </w:p>
        </w:tc>
        <w:tc>
          <w:tcPr>
            <w:tcW w:w="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40" w:type="dxa"/>
            <w:vAlign w:val="bottom"/>
            <w:vMerge w:val="restart"/>
            <w:shd w:val="clear" w:color="auto" w:fill="CFF0FC"/>
          </w:tcPr>
          <w:p>
            <w:pPr>
              <w:jc w:val="center"/>
              <w:spacing w:after="0"/>
              <w:rPr>
                <w:sz w:val="20"/>
                <w:szCs w:val="20"/>
                <w:color w:val="auto"/>
              </w:rPr>
            </w:pPr>
            <w:r>
              <w:rPr>
                <w:rFonts w:ascii="Arial" w:cs="Arial" w:eastAsia="Arial" w:hAnsi="Arial"/>
                <w:sz w:val="14"/>
                <w:szCs w:val="14"/>
                <w:color w:val="auto"/>
              </w:rPr>
              <w:t>3.21</w:t>
            </w:r>
          </w:p>
        </w:tc>
        <w:tc>
          <w:tcPr>
            <w:tcW w:w="200" w:type="dxa"/>
            <w:vAlign w:val="bottom"/>
            <w:shd w:val="clear" w:color="auto" w:fill="CFF0FC"/>
          </w:tcPr>
          <w:p>
            <w:pPr>
              <w:spacing w:after="0"/>
              <w:rPr>
                <w:sz w:val="13"/>
                <w:szCs w:val="13"/>
                <w:color w:val="auto"/>
              </w:rPr>
            </w:pPr>
          </w:p>
        </w:tc>
        <w:tc>
          <w:tcPr>
            <w:tcW w:w="960" w:type="dxa"/>
            <w:vAlign w:val="bottom"/>
            <w:vMerge w:val="restart"/>
            <w:shd w:val="clear" w:color="auto" w:fill="CFF0FC"/>
          </w:tcPr>
          <w:p>
            <w:pPr>
              <w:jc w:val="center"/>
              <w:spacing w:after="0"/>
              <w:rPr>
                <w:sz w:val="20"/>
                <w:szCs w:val="20"/>
                <w:color w:val="auto"/>
              </w:rPr>
            </w:pPr>
            <w:r>
              <w:rPr>
                <w:rFonts w:ascii="Arial" w:cs="Arial" w:eastAsia="Arial" w:hAnsi="Arial"/>
                <w:sz w:val="14"/>
                <w:szCs w:val="14"/>
                <w:color w:val="auto"/>
              </w:rPr>
              <w:t>9/21/2032</w:t>
            </w:r>
          </w:p>
        </w:tc>
        <w:tc>
          <w:tcPr>
            <w:tcW w:w="220" w:type="dxa"/>
            <w:vAlign w:val="bottom"/>
            <w:shd w:val="clear" w:color="auto" w:fill="CFF0FC"/>
          </w:tcPr>
          <w:p>
            <w:pPr>
              <w:spacing w:after="0"/>
              <w:rPr>
                <w:sz w:val="13"/>
                <w:szCs w:val="13"/>
                <w:color w:val="auto"/>
              </w:rPr>
            </w:pPr>
          </w:p>
        </w:tc>
        <w:tc>
          <w:tcPr>
            <w:tcW w:w="660" w:type="dxa"/>
            <w:vAlign w:val="bottom"/>
            <w:gridSpan w:val="2"/>
            <w:vMerge w:val="restart"/>
            <w:shd w:val="clear" w:color="auto" w:fill="CFF0FC"/>
          </w:tcPr>
          <w:p>
            <w:pPr>
              <w:jc w:val="center"/>
              <w:spacing w:after="0"/>
              <w:rPr>
                <w:sz w:val="20"/>
                <w:szCs w:val="20"/>
                <w:color w:val="auto"/>
              </w:rPr>
            </w:pPr>
            <w:r>
              <w:rPr>
                <w:rFonts w:ascii="Arial" w:cs="Arial" w:eastAsia="Arial" w:hAnsi="Arial"/>
                <w:sz w:val="14"/>
                <w:szCs w:val="14"/>
                <w:color w:val="auto"/>
                <w:w w:val="84"/>
              </w:rPr>
              <w:t>-</w:t>
            </w:r>
          </w:p>
        </w:tc>
        <w:tc>
          <w:tcPr>
            <w:tcW w:w="200" w:type="dxa"/>
            <w:vAlign w:val="bottom"/>
            <w:shd w:val="clear" w:color="auto" w:fill="CFF0FC"/>
          </w:tcPr>
          <w:p>
            <w:pPr>
              <w:spacing w:after="0"/>
              <w:rPr>
                <w:sz w:val="13"/>
                <w:szCs w:val="13"/>
                <w:color w:val="auto"/>
              </w:rPr>
            </w:pPr>
          </w:p>
        </w:tc>
        <w:tc>
          <w:tcPr>
            <w:tcW w:w="420" w:type="dxa"/>
            <w:vAlign w:val="bottom"/>
            <w:vMerge w:val="restart"/>
            <w:shd w:val="clear" w:color="auto" w:fill="CFF0FC"/>
          </w:tcPr>
          <w:p>
            <w:pPr>
              <w:jc w:val="center"/>
              <w:ind w:left="110"/>
              <w:spacing w:after="0"/>
              <w:rPr>
                <w:sz w:val="20"/>
                <w:szCs w:val="20"/>
                <w:color w:val="auto"/>
              </w:rPr>
            </w:pPr>
            <w:r>
              <w:rPr>
                <w:rFonts w:ascii="Arial" w:cs="Arial" w:eastAsia="Arial" w:hAnsi="Arial"/>
                <w:sz w:val="14"/>
                <w:szCs w:val="14"/>
                <w:color w:val="auto"/>
                <w:w w:val="84"/>
              </w:rPr>
              <w:t>-</w:t>
            </w:r>
          </w:p>
        </w:tc>
        <w:tc>
          <w:tcPr>
            <w:tcW w:w="3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240" w:type="dxa"/>
            <w:vAlign w:val="bottom"/>
            <w:shd w:val="clear" w:color="auto" w:fill="CFF0FC"/>
          </w:tcPr>
          <w:p>
            <w:pPr>
              <w:ind w:left="100"/>
              <w:spacing w:after="0"/>
              <w:rPr>
                <w:sz w:val="20"/>
                <w:szCs w:val="20"/>
                <w:color w:val="auto"/>
              </w:rPr>
            </w:pPr>
            <w:r>
              <w:rPr>
                <w:rFonts w:ascii="Arial" w:cs="Arial" w:eastAsia="Arial" w:hAnsi="Arial"/>
                <w:sz w:val="14"/>
                <w:szCs w:val="14"/>
                <w:i w:val="1"/>
                <w:iCs w:val="1"/>
                <w:color w:val="auto"/>
              </w:rPr>
              <w:t>(12)</w:t>
            </w:r>
          </w:p>
        </w:tc>
        <w:tc>
          <w:tcPr>
            <w:tcW w:w="200" w:type="dxa"/>
            <w:vAlign w:val="bottom"/>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60" w:type="dxa"/>
            <w:vAlign w:val="bottom"/>
            <w:gridSpan w:val="2"/>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60" w:type="dxa"/>
            <w:vAlign w:val="bottom"/>
            <w:gridSpan w:val="2"/>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20" w:type="dxa"/>
            <w:vAlign w:val="bottom"/>
            <w:vMerge w:val="continue"/>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1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9"/>
                <w:shd w:val="clear" w:color="auto" w:fill="CFF0FC"/>
              </w:rPr>
              <w:t>11/28/2022</w:t>
            </w:r>
          </w:p>
        </w:tc>
        <w:tc>
          <w:tcPr>
            <w:tcW w:w="200" w:type="dxa"/>
            <w:vAlign w:val="bottom"/>
            <w:shd w:val="clear" w:color="auto" w:fill="CFF0FC"/>
          </w:tcPr>
          <w:p>
            <w:pPr>
              <w:spacing w:after="0"/>
              <w:rPr>
                <w:sz w:val="22"/>
                <w:szCs w:val="22"/>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4"/>
              </w:rPr>
              <w:t>-</w:t>
            </w:r>
          </w:p>
        </w:tc>
        <w:tc>
          <w:tcPr>
            <w:tcW w:w="220" w:type="dxa"/>
            <w:vAlign w:val="bottom"/>
            <w:shd w:val="clear" w:color="auto" w:fill="CFF0FC"/>
          </w:tcPr>
          <w:p>
            <w:pPr>
              <w:spacing w:after="0"/>
              <w:rPr>
                <w:sz w:val="22"/>
                <w:szCs w:val="22"/>
                <w:color w:val="auto"/>
              </w:rPr>
            </w:pPr>
          </w:p>
        </w:tc>
        <w:tc>
          <w:tcPr>
            <w:tcW w:w="880" w:type="dxa"/>
            <w:vAlign w:val="bottom"/>
            <w:shd w:val="clear" w:color="auto" w:fill="CFF0FC"/>
          </w:tcPr>
          <w:p>
            <w:pPr>
              <w:jc w:val="center"/>
              <w:ind w:left="90"/>
              <w:spacing w:after="0"/>
              <w:rPr>
                <w:sz w:val="20"/>
                <w:szCs w:val="20"/>
                <w:color w:val="auto"/>
              </w:rPr>
            </w:pPr>
            <w:r>
              <w:rPr>
                <w:rFonts w:ascii="Arial" w:cs="Arial" w:eastAsia="Arial" w:hAnsi="Arial"/>
                <w:sz w:val="14"/>
                <w:szCs w:val="14"/>
                <w:color w:val="auto"/>
                <w:w w:val="84"/>
              </w:rPr>
              <w:t>-</w:t>
            </w:r>
          </w:p>
        </w:tc>
        <w:tc>
          <w:tcPr>
            <w:tcW w:w="1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8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4"/>
              </w:rPr>
              <w:t>-</w:t>
            </w:r>
          </w:p>
        </w:tc>
        <w:tc>
          <w:tcPr>
            <w:tcW w:w="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6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4"/>
              </w:rPr>
              <w:t>-</w:t>
            </w:r>
          </w:p>
        </w:tc>
        <w:tc>
          <w:tcPr>
            <w:tcW w:w="200" w:type="dxa"/>
            <w:vAlign w:val="bottom"/>
            <w:shd w:val="clear" w:color="auto" w:fill="CFF0FC"/>
          </w:tcPr>
          <w:p>
            <w:pPr>
              <w:spacing w:after="0"/>
              <w:rPr>
                <w:sz w:val="22"/>
                <w:szCs w:val="22"/>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4"/>
              </w:rPr>
              <w:t>-</w:t>
            </w:r>
          </w:p>
        </w:tc>
        <w:tc>
          <w:tcPr>
            <w:tcW w:w="220" w:type="dxa"/>
            <w:vAlign w:val="bottom"/>
            <w:shd w:val="clear" w:color="auto" w:fill="CFF0FC"/>
          </w:tcPr>
          <w:p>
            <w:pPr>
              <w:spacing w:after="0"/>
              <w:rPr>
                <w:sz w:val="22"/>
                <w:szCs w:val="22"/>
                <w:color w:val="auto"/>
              </w:rPr>
            </w:pPr>
          </w:p>
        </w:tc>
        <w:tc>
          <w:tcPr>
            <w:tcW w:w="660" w:type="dxa"/>
            <w:vAlign w:val="bottom"/>
            <w:gridSpan w:val="2"/>
            <w:shd w:val="clear" w:color="auto" w:fill="CFF0FC"/>
          </w:tcPr>
          <w:p>
            <w:pPr>
              <w:jc w:val="center"/>
              <w:spacing w:after="0"/>
              <w:rPr>
                <w:sz w:val="20"/>
                <w:szCs w:val="20"/>
                <w:color w:val="auto"/>
              </w:rPr>
            </w:pPr>
            <w:r>
              <w:rPr>
                <w:rFonts w:ascii="Arial" w:cs="Arial" w:eastAsia="Arial" w:hAnsi="Arial"/>
                <w:sz w:val="14"/>
                <w:szCs w:val="14"/>
                <w:color w:val="auto"/>
                <w:shd w:val="clear" w:color="auto" w:fill="CFF0FC"/>
              </w:rPr>
              <w:t>45,438 (5)</w:t>
            </w:r>
          </w:p>
        </w:tc>
        <w:tc>
          <w:tcPr>
            <w:tcW w:w="200" w:type="dxa"/>
            <w:vAlign w:val="bottom"/>
            <w:shd w:val="clear" w:color="auto" w:fill="CFF0FC"/>
          </w:tcPr>
          <w:p>
            <w:pPr>
              <w:spacing w:after="0"/>
              <w:rPr>
                <w:sz w:val="22"/>
                <w:szCs w:val="22"/>
                <w:color w:val="auto"/>
              </w:rPr>
            </w:pPr>
          </w:p>
        </w:tc>
        <w:tc>
          <w:tcPr>
            <w:tcW w:w="720" w:type="dxa"/>
            <w:vAlign w:val="bottom"/>
            <w:gridSpan w:val="2"/>
            <w:shd w:val="clear" w:color="auto" w:fill="CFF0FC"/>
          </w:tcPr>
          <w:p>
            <w:pPr>
              <w:jc w:val="center"/>
              <w:ind w:right="120"/>
              <w:spacing w:after="0"/>
              <w:rPr>
                <w:sz w:val="20"/>
                <w:szCs w:val="20"/>
                <w:color w:val="auto"/>
              </w:rPr>
            </w:pPr>
            <w:r>
              <w:rPr>
                <w:rFonts w:ascii="Arial" w:cs="Arial" w:eastAsia="Arial" w:hAnsi="Arial"/>
                <w:sz w:val="14"/>
                <w:szCs w:val="14"/>
                <w:color w:val="auto"/>
              </w:rPr>
              <w:t>66,794</w:t>
            </w:r>
          </w:p>
        </w:tc>
        <w:tc>
          <w:tcPr>
            <w:tcW w:w="0" w:type="dxa"/>
            <w:vAlign w:val="bottom"/>
          </w:tcPr>
          <w:p>
            <w:pPr>
              <w:spacing w:after="0"/>
              <w:rPr>
                <w:sz w:val="1"/>
                <w:szCs w:val="1"/>
                <w:color w:val="auto"/>
              </w:rPr>
            </w:pPr>
          </w:p>
        </w:tc>
      </w:tr>
      <w:tr>
        <w:trPr>
          <w:trHeight w:val="254"/>
        </w:trPr>
        <w:tc>
          <w:tcPr>
            <w:tcW w:w="1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9"/>
              </w:rPr>
              <w:t>4/28/2023</w:t>
            </w:r>
          </w:p>
        </w:tc>
        <w:tc>
          <w:tcPr>
            <w:tcW w:w="200" w:type="dxa"/>
            <w:vAlign w:val="bottom"/>
            <w:shd w:val="clear" w:color="auto" w:fill="CFF0FC"/>
          </w:tcPr>
          <w:p>
            <w:pPr>
              <w:spacing w:after="0"/>
              <w:rPr>
                <w:sz w:val="22"/>
                <w:szCs w:val="22"/>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7"/>
              </w:rPr>
              <w:t>15,000</w:t>
            </w:r>
          </w:p>
        </w:tc>
        <w:tc>
          <w:tcPr>
            <w:tcW w:w="220" w:type="dxa"/>
            <w:vAlign w:val="bottom"/>
            <w:shd w:val="clear" w:color="auto" w:fill="CFF0FC"/>
          </w:tcPr>
          <w:p>
            <w:pPr>
              <w:spacing w:after="0"/>
              <w:rPr>
                <w:sz w:val="22"/>
                <w:szCs w:val="22"/>
                <w:color w:val="auto"/>
              </w:rPr>
            </w:pPr>
          </w:p>
        </w:tc>
        <w:tc>
          <w:tcPr>
            <w:tcW w:w="880" w:type="dxa"/>
            <w:vAlign w:val="bottom"/>
            <w:shd w:val="clear" w:color="auto" w:fill="CFF0FC"/>
          </w:tcPr>
          <w:p>
            <w:pPr>
              <w:jc w:val="center"/>
              <w:ind w:left="90"/>
              <w:spacing w:after="0"/>
              <w:rPr>
                <w:sz w:val="20"/>
                <w:szCs w:val="20"/>
                <w:color w:val="auto"/>
              </w:rPr>
            </w:pPr>
            <w:r>
              <w:rPr>
                <w:rFonts w:ascii="Arial" w:cs="Arial" w:eastAsia="Arial" w:hAnsi="Arial"/>
                <w:sz w:val="14"/>
                <w:szCs w:val="14"/>
                <w:color w:val="auto"/>
              </w:rPr>
              <w:t>75,000 (14)</w:t>
            </w:r>
          </w:p>
        </w:tc>
        <w:tc>
          <w:tcPr>
            <w:tcW w:w="1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8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4"/>
              </w:rPr>
              <w:t>-</w:t>
            </w:r>
          </w:p>
        </w:tc>
        <w:tc>
          <w:tcPr>
            <w:tcW w:w="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6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1.29</w:t>
            </w:r>
          </w:p>
        </w:tc>
        <w:tc>
          <w:tcPr>
            <w:tcW w:w="200" w:type="dxa"/>
            <w:vAlign w:val="bottom"/>
            <w:shd w:val="clear" w:color="auto" w:fill="CFF0FC"/>
          </w:tcPr>
          <w:p>
            <w:pPr>
              <w:spacing w:after="0"/>
              <w:rPr>
                <w:sz w:val="22"/>
                <w:szCs w:val="22"/>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4/28/2033</w:t>
            </w:r>
          </w:p>
        </w:tc>
        <w:tc>
          <w:tcPr>
            <w:tcW w:w="220" w:type="dxa"/>
            <w:vAlign w:val="bottom"/>
            <w:shd w:val="clear" w:color="auto" w:fill="CFF0FC"/>
          </w:tcPr>
          <w:p>
            <w:pPr>
              <w:spacing w:after="0"/>
              <w:rPr>
                <w:sz w:val="22"/>
                <w:szCs w:val="22"/>
                <w:color w:val="auto"/>
              </w:rPr>
            </w:pPr>
          </w:p>
        </w:tc>
        <w:tc>
          <w:tcPr>
            <w:tcW w:w="660" w:type="dxa"/>
            <w:vAlign w:val="bottom"/>
            <w:gridSpan w:val="2"/>
            <w:shd w:val="clear" w:color="auto" w:fill="CFF0FC"/>
          </w:tcPr>
          <w:p>
            <w:pPr>
              <w:jc w:val="center"/>
              <w:spacing w:after="0"/>
              <w:rPr>
                <w:sz w:val="20"/>
                <w:szCs w:val="20"/>
                <w:color w:val="auto"/>
              </w:rPr>
            </w:pPr>
            <w:r>
              <w:rPr>
                <w:rFonts w:ascii="Arial" w:cs="Arial" w:eastAsia="Arial" w:hAnsi="Arial"/>
                <w:sz w:val="14"/>
                <w:szCs w:val="14"/>
                <w:color w:val="auto"/>
                <w:w w:val="84"/>
              </w:rPr>
              <w:t>-</w:t>
            </w:r>
          </w:p>
        </w:tc>
        <w:tc>
          <w:tcPr>
            <w:tcW w:w="200" w:type="dxa"/>
            <w:vAlign w:val="bottom"/>
            <w:shd w:val="clear" w:color="auto" w:fill="CFF0FC"/>
          </w:tcPr>
          <w:p>
            <w:pPr>
              <w:spacing w:after="0"/>
              <w:rPr>
                <w:sz w:val="22"/>
                <w:szCs w:val="22"/>
                <w:color w:val="auto"/>
              </w:rPr>
            </w:pPr>
          </w:p>
        </w:tc>
        <w:tc>
          <w:tcPr>
            <w:tcW w:w="420" w:type="dxa"/>
            <w:vAlign w:val="bottom"/>
            <w:shd w:val="clear" w:color="auto" w:fill="CFF0FC"/>
          </w:tcPr>
          <w:p>
            <w:pPr>
              <w:jc w:val="center"/>
              <w:ind w:left="110"/>
              <w:spacing w:after="0"/>
              <w:rPr>
                <w:sz w:val="20"/>
                <w:szCs w:val="20"/>
                <w:color w:val="auto"/>
              </w:rPr>
            </w:pPr>
            <w:r>
              <w:rPr>
                <w:rFonts w:ascii="Arial" w:cs="Arial" w:eastAsia="Arial" w:hAnsi="Arial"/>
                <w:sz w:val="14"/>
                <w:szCs w:val="14"/>
                <w:color w:val="auto"/>
                <w:w w:val="84"/>
              </w:rPr>
              <w:t>-</w:t>
            </w:r>
          </w:p>
        </w:tc>
        <w:tc>
          <w:tcPr>
            <w:tcW w:w="3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1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center"/>
              <w:spacing w:after="0" w:line="148" w:lineRule="exact"/>
              <w:rPr>
                <w:sz w:val="20"/>
                <w:szCs w:val="20"/>
                <w:color w:val="auto"/>
              </w:rPr>
            </w:pPr>
            <w:r>
              <w:rPr>
                <w:rFonts w:ascii="Arial" w:cs="Arial" w:eastAsia="Arial" w:hAnsi="Arial"/>
                <w:sz w:val="14"/>
                <w:szCs w:val="14"/>
                <w:color w:val="auto"/>
              </w:rPr>
              <w:t>125,717</w:t>
            </w:r>
          </w:p>
        </w:tc>
        <w:tc>
          <w:tcPr>
            <w:tcW w:w="2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9"/>
                <w:shd w:val="clear" w:color="auto" w:fill="CFF0FC"/>
              </w:rPr>
              <w:t>11/26/2023</w:t>
            </w: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4"/>
              </w:rPr>
              <w:t>-</w:t>
            </w: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jc w:val="center"/>
              <w:ind w:left="90"/>
              <w:spacing w:after="0"/>
              <w:rPr>
                <w:sz w:val="20"/>
                <w:szCs w:val="20"/>
                <w:color w:val="auto"/>
              </w:rPr>
            </w:pPr>
            <w:r>
              <w:rPr>
                <w:rFonts w:ascii="Arial" w:cs="Arial" w:eastAsia="Arial" w:hAnsi="Arial"/>
                <w:sz w:val="14"/>
                <w:szCs w:val="14"/>
                <w:color w:val="auto"/>
                <w:w w:val="84"/>
              </w:rPr>
              <w:t>-</w:t>
            </w: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4"/>
              </w:rPr>
              <w:t>-</w:t>
            </w:r>
          </w:p>
        </w:tc>
        <w:tc>
          <w:tcPr>
            <w:tcW w:w="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4"/>
              </w:rPr>
              <w:t>-</w:t>
            </w: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4"/>
              </w:rPr>
              <w:t>-</w:t>
            </w:r>
          </w:p>
        </w:tc>
        <w:tc>
          <w:tcPr>
            <w:tcW w:w="2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center"/>
              <w:spacing w:after="0"/>
              <w:rPr>
                <w:sz w:val="20"/>
                <w:szCs w:val="20"/>
                <w:color w:val="auto"/>
              </w:rPr>
            </w:pPr>
            <w:r>
              <w:rPr>
                <w:rFonts w:ascii="Arial" w:cs="Arial" w:eastAsia="Arial" w:hAnsi="Arial"/>
                <w:sz w:val="14"/>
                <w:szCs w:val="14"/>
                <w:color w:val="auto"/>
                <w:w w:val="93"/>
              </w:rPr>
              <w:t>(9)</w:t>
            </w:r>
          </w:p>
        </w:tc>
        <w:tc>
          <w:tcPr>
            <w:tcW w:w="20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center"/>
              <w:ind w:right="100"/>
              <w:spacing w:after="0"/>
              <w:rPr>
                <w:sz w:val="20"/>
                <w:szCs w:val="20"/>
                <w:color w:val="auto"/>
              </w:rPr>
            </w:pPr>
            <w:r>
              <w:rPr>
                <w:rFonts w:ascii="Arial" w:cs="Arial" w:eastAsia="Arial" w:hAnsi="Arial"/>
                <w:sz w:val="14"/>
                <w:szCs w:val="14"/>
                <w:color w:val="auto"/>
                <w:w w:val="98"/>
                <w:shd w:val="clear" w:color="auto" w:fill="CFF0FC"/>
              </w:rPr>
              <w:t>184,804</w:t>
            </w:r>
          </w:p>
        </w:tc>
        <w:tc>
          <w:tcPr>
            <w:tcW w:w="0" w:type="dxa"/>
            <w:vAlign w:val="bottom"/>
          </w:tcPr>
          <w:p>
            <w:pPr>
              <w:spacing w:after="0"/>
              <w:rPr>
                <w:sz w:val="1"/>
                <w:szCs w:val="1"/>
                <w:color w:val="auto"/>
              </w:rPr>
            </w:pPr>
          </w:p>
        </w:tc>
      </w:tr>
    </w:tbl>
    <w:p>
      <w:pPr>
        <w:spacing w:after="0" w:line="260" w:lineRule="exact"/>
        <w:rPr>
          <w:sz w:val="20"/>
          <w:szCs w:val="20"/>
          <w:color w:val="auto"/>
        </w:rPr>
      </w:pPr>
    </w:p>
    <w:p>
      <w:pPr>
        <w:ind w:left="720" w:right="540" w:hanging="360"/>
        <w:spacing w:after="0" w:line="299" w:lineRule="auto"/>
        <w:tabs>
          <w:tab w:leader="none" w:pos="72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Except as otherwise noted, each of the outstanding option and restricted stock unit, or RSU, awards in the table above was granted pursuant to our 2021 Stock Option and Grant Plan.</w:t>
      </w:r>
    </w:p>
    <w:p>
      <w:pPr>
        <w:ind w:left="720" w:right="460" w:hanging="360"/>
        <w:spacing w:after="0" w:line="300" w:lineRule="auto"/>
        <w:tabs>
          <w:tab w:leader="none" w:pos="72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Market value reflects the value of the applicable equity award, based upon the closing price for the Company’s common stock on December 29, 2023 of $1.47.</w:t>
      </w:r>
    </w:p>
    <w:p>
      <w:pPr>
        <w:ind w:left="720" w:right="280" w:hanging="359"/>
        <w:spacing w:after="0" w:line="299" w:lineRule="auto"/>
        <w:tabs>
          <w:tab w:leader="none" w:pos="72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Represents a stock option granted on October 10, 2020 pursuant to our 2015 Stock Option Plan (the “2015 Plan”). The shares underlying this option vest as follows: 25% vested upon grant date, 25% vesting on the first anniversary of October 10, 2020, and the remainder vesting thereafter in 36 equal monthly installments, subject to Dr. Tak’s continued service on each such vesting date.</w:t>
      </w:r>
    </w:p>
    <w:p>
      <w:pPr>
        <w:spacing w:after="0" w:line="2" w:lineRule="exact"/>
        <w:rPr>
          <w:rFonts w:ascii="Arial" w:cs="Arial" w:eastAsia="Arial" w:hAnsi="Arial"/>
          <w:sz w:val="16"/>
          <w:szCs w:val="16"/>
          <w:color w:val="auto"/>
        </w:rPr>
      </w:pPr>
    </w:p>
    <w:p>
      <w:pPr>
        <w:ind w:left="720" w:right="340" w:hanging="359"/>
        <w:spacing w:after="0" w:line="300" w:lineRule="auto"/>
        <w:tabs>
          <w:tab w:leader="none" w:pos="72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Represents a stock option granted on February 28, 2022. The shares underlying this option vest and become exercisable in forty-eight (48) equal monthly installments following February 28, 2022, subject to the named executive officer’s continued service on each such vesting date.</w:t>
      </w:r>
    </w:p>
    <w:p>
      <w:pPr>
        <w:spacing w:after="0" w:line="1" w:lineRule="exact"/>
        <w:rPr>
          <w:rFonts w:ascii="Arial" w:cs="Arial" w:eastAsia="Arial" w:hAnsi="Arial"/>
          <w:sz w:val="16"/>
          <w:szCs w:val="16"/>
          <w:color w:val="auto"/>
        </w:rPr>
      </w:pPr>
    </w:p>
    <w:p>
      <w:pPr>
        <w:ind w:left="720" w:right="360" w:hanging="359"/>
        <w:spacing w:after="0" w:line="299" w:lineRule="auto"/>
        <w:tabs>
          <w:tab w:leader="none" w:pos="72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Represents RSUs. Each RSU represents a contingent right to receive one share of the Issuer's common stock upon vesting and settlement. 50% of the RSUs vested on November 28, 2023, and the remaining 50% shall vest on November 28, 2024, in each case subject to the named executive officer’s continued service on such vesting date.</w:t>
      </w:r>
    </w:p>
    <w:p>
      <w:pPr>
        <w:spacing w:after="0" w:line="1" w:lineRule="exact"/>
        <w:rPr>
          <w:rFonts w:ascii="Arial" w:cs="Arial" w:eastAsia="Arial" w:hAnsi="Arial"/>
          <w:sz w:val="16"/>
          <w:szCs w:val="16"/>
          <w:color w:val="auto"/>
        </w:rPr>
      </w:pPr>
    </w:p>
    <w:p>
      <w:pPr>
        <w:ind w:left="720" w:right="500" w:hanging="359"/>
        <w:spacing w:after="0" w:line="323" w:lineRule="auto"/>
        <w:tabs>
          <w:tab w:leader="none" w:pos="72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Represents a stock option granted on April 28, 2023. The shares underlying this option vest and become exercisable in forty-eight (48) equal monthly installments following April 28, 2023, subject to the named executive officer’s continued service on each such vesting date.</w:t>
      </w:r>
    </w:p>
    <w:p>
      <w:pPr>
        <w:sectPr>
          <w:pgSz w:w="12240" w:h="15840" w:orient="portrait"/>
          <w:cols w:equalWidth="0" w:num="1">
            <w:col w:w="9640"/>
          </w:cols>
          <w:pgMar w:left="1440" w:top="1432" w:right="1160" w:bottom="1022" w:gutter="0" w:footer="0" w:header="0"/>
        </w:sectPr>
      </w:pPr>
    </w:p>
    <w:bookmarkStart w:id="162" w:name="page163"/>
    <w:bookmarkEnd w:id="162"/>
    <w:p>
      <w:pPr>
        <w:spacing w:after="0" w:line="30" w:lineRule="exact"/>
        <w:rPr>
          <w:sz w:val="20"/>
          <w:szCs w:val="20"/>
          <w:color w:val="auto"/>
        </w:rPr>
      </w:pPr>
    </w:p>
    <w:p>
      <w:pPr>
        <w:jc w:val="both"/>
        <w:ind w:left="720" w:right="220" w:hanging="360"/>
        <w:spacing w:after="0" w:line="299" w:lineRule="auto"/>
        <w:tabs>
          <w:tab w:leader="none" w:pos="72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Represents a stock option granted on April 28, 2023. The shares underlying this option vest and become if the average closing market price of the Company's common stock exceeds $3.00 per share for at least 20 consecutive trading days prior to the expiration of the option.</w:t>
      </w:r>
    </w:p>
    <w:p>
      <w:pPr>
        <w:spacing w:after="0" w:line="1" w:lineRule="exact"/>
        <w:rPr>
          <w:rFonts w:ascii="Arial" w:cs="Arial" w:eastAsia="Arial" w:hAnsi="Arial"/>
          <w:sz w:val="16"/>
          <w:szCs w:val="16"/>
          <w:color w:val="auto"/>
        </w:rPr>
      </w:pPr>
    </w:p>
    <w:p>
      <w:pPr>
        <w:jc w:val="both"/>
        <w:ind w:left="720" w:right="220" w:hanging="360"/>
        <w:spacing w:after="0" w:line="300" w:lineRule="auto"/>
        <w:tabs>
          <w:tab w:leader="none" w:pos="72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Represents a stock option granted on April 28, 2023. The shares underlying this option vest and become if the average closing market price of the Company's common stock exceeds $4.50 per share for at least 20 consecutive trading days prior to the expiration of the option.</w:t>
      </w:r>
    </w:p>
    <w:p>
      <w:pPr>
        <w:spacing w:after="0" w:line="1" w:lineRule="exact"/>
        <w:rPr>
          <w:rFonts w:ascii="Arial" w:cs="Arial" w:eastAsia="Arial" w:hAnsi="Arial"/>
          <w:sz w:val="16"/>
          <w:szCs w:val="16"/>
          <w:color w:val="auto"/>
        </w:rPr>
      </w:pPr>
    </w:p>
    <w:p>
      <w:pPr>
        <w:ind w:left="720" w:right="200" w:hanging="360"/>
        <w:spacing w:after="0" w:line="299" w:lineRule="auto"/>
        <w:tabs>
          <w:tab w:leader="none" w:pos="72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Represents RSUs. Each RSU represents a contingent right to receive one share of the Issuer's common stock upon vesting and settlement. 50% of the RSUs vested on June 30, 2024, and the remaining 50% shall vest on December 31, 2024, in each case subject to the named executive officer’s continued service on such vesting date.</w:t>
      </w:r>
    </w:p>
    <w:p>
      <w:pPr>
        <w:spacing w:after="0" w:line="1" w:lineRule="exact"/>
        <w:rPr>
          <w:rFonts w:ascii="Arial" w:cs="Arial" w:eastAsia="Arial" w:hAnsi="Arial"/>
          <w:sz w:val="16"/>
          <w:szCs w:val="16"/>
          <w:color w:val="auto"/>
        </w:rPr>
      </w:pPr>
    </w:p>
    <w:p>
      <w:pPr>
        <w:ind w:left="720" w:right="200" w:hanging="360"/>
        <w:spacing w:after="0" w:line="300" w:lineRule="auto"/>
        <w:tabs>
          <w:tab w:leader="none" w:pos="72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Represents a stock option granted on December 30, 2020 pursuant to the 2015 Plan. 25% of the shares underlying this option vested and became exercisable on December 30, 2021, with the remainder vesting in twelve equal quarterly installments thereafter, subject to Dr. Barone's continued service on each such vesting date.</w:t>
      </w:r>
    </w:p>
    <w:p>
      <w:pPr>
        <w:spacing w:after="0" w:line="1" w:lineRule="exact"/>
        <w:rPr>
          <w:rFonts w:ascii="Arial" w:cs="Arial" w:eastAsia="Arial" w:hAnsi="Arial"/>
          <w:sz w:val="16"/>
          <w:szCs w:val="16"/>
          <w:color w:val="auto"/>
        </w:rPr>
      </w:pPr>
    </w:p>
    <w:p>
      <w:pPr>
        <w:ind w:left="720" w:right="220" w:hanging="360"/>
        <w:spacing w:after="0" w:line="299" w:lineRule="auto"/>
        <w:tabs>
          <w:tab w:leader="none" w:pos="72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Represents a stock option granted on February 3, 2022. The shares underlying this option shall vest and become exercisable in forty-eight equal monthly installments over four years following February 3, 2022, subject to Dr. Barone’s continued service on each such vesting date.</w:t>
      </w:r>
    </w:p>
    <w:p>
      <w:pPr>
        <w:spacing w:after="0" w:line="1" w:lineRule="exact"/>
        <w:rPr>
          <w:rFonts w:ascii="Arial" w:cs="Arial" w:eastAsia="Arial" w:hAnsi="Arial"/>
          <w:sz w:val="16"/>
          <w:szCs w:val="16"/>
          <w:color w:val="auto"/>
        </w:rPr>
      </w:pPr>
    </w:p>
    <w:p>
      <w:pPr>
        <w:ind w:left="720" w:right="140" w:hanging="360"/>
        <w:spacing w:after="0" w:line="300" w:lineRule="auto"/>
        <w:tabs>
          <w:tab w:leader="none" w:pos="72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Mr. Amello resigned as Chief Financial Officer and his employment with the Company terminated effective as of January 12, 2024.</w:t>
      </w:r>
    </w:p>
    <w:p>
      <w:pPr>
        <w:ind w:left="720" w:right="100" w:hanging="360"/>
        <w:spacing w:after="0" w:line="300" w:lineRule="auto"/>
        <w:tabs>
          <w:tab w:leader="none" w:pos="72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Represents a stock option granted on September 21, 2022. 25% of the shares underlying this option vested and became exercisable on September 21, 2023. The remaining shares underlying this option vested in thirty-six (36) equal monthly installments following September 21, 2023 until March 31, 2024.</w:t>
      </w:r>
    </w:p>
    <w:p>
      <w:pPr>
        <w:spacing w:after="0" w:line="1" w:lineRule="exact"/>
        <w:rPr>
          <w:rFonts w:ascii="Arial" w:cs="Arial" w:eastAsia="Arial" w:hAnsi="Arial"/>
          <w:sz w:val="16"/>
          <w:szCs w:val="16"/>
          <w:color w:val="auto"/>
        </w:rPr>
      </w:pPr>
    </w:p>
    <w:p>
      <w:pPr>
        <w:ind w:left="720" w:right="40" w:hanging="359"/>
        <w:spacing w:after="0" w:line="343" w:lineRule="auto"/>
        <w:tabs>
          <w:tab w:leader="none" w:pos="72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Represents a stock option granted on April 28, 2023. The shares underlying this option vested and became exercisable in forty-eight (48) equal monthly installments following April 28, 2023 until March 31, 2024.</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Risk Assessment</w:t>
      </w:r>
    </w:p>
    <w:p>
      <w:pPr>
        <w:spacing w:after="0" w:line="234"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We believe that although a portion of the compensation provided to our executive officers and other employees is performance-based, our executive compensation program does not encourage excessive or unnecessary risk taking.</w:t>
      </w:r>
    </w:p>
    <w:p>
      <w:pPr>
        <w:spacing w:after="0" w:line="172"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auto"/>
        </w:rPr>
        <w:t>This is primarily due to the fact that our compensation programs are designed to encourage our executive officers and other employees to remain focused on both short -term and long-term strategic goals. As a result, we do not believe that our compensation programs are reasonably likely to have a material adverse effect on us.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Non-Employee Director Compensation</w:t>
      </w:r>
    </w:p>
    <w:p>
      <w:pPr>
        <w:spacing w:after="0" w:line="234"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The following table presents the total compensation for each person who served as a non-employee member of our board of directors and received compensation for such service during the year ended December 31, 2023. Other than as set forth in the table and described more fully below, we did not pay any compensation, make any equity awards to, or pay any other compensation to any of the non-employee members of our board of directors in 2023. Dr. Tak, our President and Chief Executive Officer, did not receive any additional compensation for his service as a member of our board of directors. Dr. Tak’s compensation for service as an employee for the year ended December 31, 2023 is presented in “Executive Compensation-Summary Compensation Table.” We reimburse non- employee members of our board of directors for reasonable travel and out-of-pocket expenses incurred in connection with attending board of directors and committee meetings.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Non-Employee Director Compensation Table - 2023</w:t>
      </w:r>
    </w:p>
    <w:p>
      <w:pPr>
        <w:spacing w:after="0" w:line="200" w:lineRule="exact"/>
        <w:rPr>
          <w:sz w:val="20"/>
          <w:szCs w:val="20"/>
          <w:color w:val="auto"/>
        </w:rPr>
      </w:pPr>
    </w:p>
    <w:p>
      <w:pPr>
        <w:spacing w:after="0" w:line="255" w:lineRule="exact"/>
        <w:rPr>
          <w:sz w:val="20"/>
          <w:szCs w:val="20"/>
          <w:color w:val="auto"/>
        </w:rPr>
      </w:pPr>
    </w:p>
    <w:tbl>
      <w:tblPr>
        <w:tblLayout w:type="fixed"/>
        <w:tblInd w:w="1160" w:type="dxa"/>
        <w:tblCellMar>
          <w:top w:w="0" w:type="dxa"/>
          <w:left w:w="0" w:type="dxa"/>
          <w:bottom w:w="0" w:type="dxa"/>
          <w:right w:w="0" w:type="dxa"/>
        </w:tblCellMar>
      </w:tblPr>
      <w:tr>
        <w:trPr>
          <w:trHeight w:val="184"/>
        </w:trPr>
        <w:tc>
          <w:tcPr>
            <w:tcW w:w="33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8"/>
              </w:rPr>
              <w:t>Fees</w:t>
            </w:r>
          </w:p>
        </w:tc>
        <w:tc>
          <w:tcPr>
            <w:tcW w:w="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3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rPr>
              <w:t>Earned or</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rPr>
              <w:t>Stock</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Option</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320" w:type="dxa"/>
            <w:vAlign w:val="bottom"/>
            <w:vMerge w:val="restart"/>
          </w:tcPr>
          <w:p>
            <w:pPr>
              <w:ind w:left="1460"/>
              <w:spacing w:after="0"/>
              <w:rPr>
                <w:sz w:val="20"/>
                <w:szCs w:val="20"/>
                <w:color w:val="auto"/>
              </w:rPr>
            </w:pPr>
            <w:r>
              <w:rPr>
                <w:rFonts w:ascii="Arial" w:cs="Arial" w:eastAsia="Arial" w:hAnsi="Arial"/>
                <w:sz w:val="16"/>
                <w:szCs w:val="16"/>
                <w:b w:val="1"/>
                <w:bCs w:val="1"/>
                <w:color w:val="auto"/>
              </w:rPr>
              <w:t>Name</w:t>
            </w:r>
          </w:p>
        </w:tc>
        <w:tc>
          <w:tcPr>
            <w:tcW w:w="106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9"/>
              </w:rPr>
              <w:t>Paid in</w:t>
            </w:r>
          </w:p>
        </w:tc>
        <w:tc>
          <w:tcPr>
            <w:tcW w:w="84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Awards</w:t>
            </w:r>
          </w:p>
        </w:tc>
        <w:tc>
          <w:tcPr>
            <w:tcW w:w="88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Awards</w:t>
            </w:r>
          </w:p>
        </w:tc>
        <w:tc>
          <w:tcPr>
            <w:tcW w:w="9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Total ($)</w:t>
            </w:r>
          </w:p>
        </w:tc>
        <w:tc>
          <w:tcPr>
            <w:tcW w:w="0" w:type="dxa"/>
            <w:vAlign w:val="bottom"/>
          </w:tcPr>
          <w:p>
            <w:pPr>
              <w:spacing w:after="0"/>
              <w:rPr>
                <w:sz w:val="1"/>
                <w:szCs w:val="1"/>
                <w:color w:val="auto"/>
              </w:rPr>
            </w:pPr>
          </w:p>
        </w:tc>
      </w:tr>
      <w:tr>
        <w:trPr>
          <w:trHeight w:val="203"/>
        </w:trPr>
        <w:tc>
          <w:tcPr>
            <w:tcW w:w="3320" w:type="dxa"/>
            <w:vAlign w:val="bottom"/>
            <w:vMerge w:val="continue"/>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rPr>
              <w:t>Cash ($)</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8"/>
              </w:rPr>
              <w:t>($)(1)(2)</w:t>
            </w: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3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Paul B. Manning</w:t>
            </w:r>
          </w:p>
        </w:tc>
        <w:tc>
          <w:tcPr>
            <w:tcW w:w="10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8"/>
              </w:rPr>
              <w:t>70,000</w:t>
            </w:r>
          </w:p>
        </w:tc>
        <w:tc>
          <w:tcPr>
            <w:tcW w:w="8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74"/>
              </w:rPr>
              <w:t>-</w:t>
            </w:r>
          </w:p>
        </w:tc>
        <w:tc>
          <w:tcPr>
            <w:tcW w:w="8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13,186</w:t>
            </w:r>
          </w:p>
        </w:tc>
        <w:tc>
          <w:tcPr>
            <w:tcW w:w="9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8"/>
              </w:rPr>
              <w:t>83,186</w:t>
            </w:r>
          </w:p>
        </w:tc>
        <w:tc>
          <w:tcPr>
            <w:tcW w:w="0" w:type="dxa"/>
            <w:vAlign w:val="bottom"/>
          </w:tcPr>
          <w:p>
            <w:pPr>
              <w:spacing w:after="0"/>
              <w:rPr>
                <w:sz w:val="1"/>
                <w:szCs w:val="1"/>
                <w:color w:val="auto"/>
              </w:rPr>
            </w:pPr>
          </w:p>
        </w:tc>
      </w:tr>
      <w:tr>
        <w:trPr>
          <w:trHeight w:val="185"/>
        </w:trPr>
        <w:tc>
          <w:tcPr>
            <w:tcW w:w="3320" w:type="dxa"/>
            <w:vAlign w:val="bottom"/>
          </w:tcPr>
          <w:p>
            <w:pPr>
              <w:ind w:left="100"/>
              <w:spacing w:after="0"/>
              <w:rPr>
                <w:sz w:val="20"/>
                <w:szCs w:val="20"/>
                <w:color w:val="auto"/>
              </w:rPr>
            </w:pPr>
            <w:r>
              <w:rPr>
                <w:rFonts w:ascii="Arial" w:cs="Arial" w:eastAsia="Arial" w:hAnsi="Arial"/>
                <w:sz w:val="16"/>
                <w:szCs w:val="16"/>
                <w:color w:val="auto"/>
              </w:rPr>
              <w:t>Estuardo Aguilar-Cordova M.D., inf., Ph.D.</w:t>
            </w:r>
          </w:p>
        </w:tc>
        <w:tc>
          <w:tcPr>
            <w:tcW w:w="1060" w:type="dxa"/>
            <w:vAlign w:val="bottom"/>
          </w:tcPr>
          <w:p>
            <w:pPr>
              <w:jc w:val="center"/>
              <w:spacing w:after="0"/>
              <w:rPr>
                <w:sz w:val="20"/>
                <w:szCs w:val="20"/>
                <w:color w:val="auto"/>
              </w:rPr>
            </w:pPr>
            <w:r>
              <w:rPr>
                <w:rFonts w:ascii="Arial" w:cs="Arial" w:eastAsia="Arial" w:hAnsi="Arial"/>
                <w:sz w:val="16"/>
                <w:szCs w:val="16"/>
                <w:color w:val="auto"/>
                <w:w w:val="98"/>
              </w:rPr>
              <w:t>35,000</w:t>
            </w:r>
          </w:p>
        </w:tc>
        <w:tc>
          <w:tcPr>
            <w:tcW w:w="840" w:type="dxa"/>
            <w:vAlign w:val="bottom"/>
          </w:tcPr>
          <w:p>
            <w:pPr>
              <w:jc w:val="center"/>
              <w:spacing w:after="0"/>
              <w:rPr>
                <w:sz w:val="20"/>
                <w:szCs w:val="20"/>
                <w:color w:val="auto"/>
              </w:rPr>
            </w:pPr>
            <w:r>
              <w:rPr>
                <w:rFonts w:ascii="Arial" w:cs="Arial" w:eastAsia="Arial" w:hAnsi="Arial"/>
                <w:sz w:val="16"/>
                <w:szCs w:val="16"/>
                <w:color w:val="auto"/>
                <w:w w:val="74"/>
              </w:rPr>
              <w:t>-</w:t>
            </w:r>
          </w:p>
        </w:tc>
        <w:tc>
          <w:tcPr>
            <w:tcW w:w="880" w:type="dxa"/>
            <w:vAlign w:val="bottom"/>
          </w:tcPr>
          <w:p>
            <w:pPr>
              <w:jc w:val="center"/>
              <w:spacing w:after="0"/>
              <w:rPr>
                <w:sz w:val="20"/>
                <w:szCs w:val="20"/>
                <w:color w:val="auto"/>
              </w:rPr>
            </w:pPr>
            <w:r>
              <w:rPr>
                <w:rFonts w:ascii="Arial" w:cs="Arial" w:eastAsia="Arial" w:hAnsi="Arial"/>
                <w:sz w:val="16"/>
                <w:szCs w:val="16"/>
                <w:color w:val="auto"/>
              </w:rPr>
              <w:t>13,186</w:t>
            </w:r>
          </w:p>
        </w:tc>
        <w:tc>
          <w:tcPr>
            <w:tcW w:w="940" w:type="dxa"/>
            <w:vAlign w:val="bottom"/>
          </w:tcPr>
          <w:p>
            <w:pPr>
              <w:jc w:val="center"/>
              <w:spacing w:after="0"/>
              <w:rPr>
                <w:sz w:val="20"/>
                <w:szCs w:val="20"/>
                <w:color w:val="auto"/>
              </w:rPr>
            </w:pPr>
            <w:r>
              <w:rPr>
                <w:rFonts w:ascii="Arial" w:cs="Arial" w:eastAsia="Arial" w:hAnsi="Arial"/>
                <w:sz w:val="16"/>
                <w:szCs w:val="16"/>
                <w:color w:val="auto"/>
                <w:w w:val="98"/>
              </w:rPr>
              <w:t>48,186</w:t>
            </w:r>
          </w:p>
        </w:tc>
        <w:tc>
          <w:tcPr>
            <w:tcW w:w="0" w:type="dxa"/>
            <w:vAlign w:val="bottom"/>
          </w:tcPr>
          <w:p>
            <w:pPr>
              <w:spacing w:after="0"/>
              <w:rPr>
                <w:sz w:val="1"/>
                <w:szCs w:val="1"/>
                <w:color w:val="auto"/>
              </w:rPr>
            </w:pPr>
          </w:p>
        </w:tc>
      </w:tr>
      <w:tr>
        <w:trPr>
          <w:trHeight w:val="182"/>
        </w:trPr>
        <w:tc>
          <w:tcPr>
            <w:tcW w:w="3320" w:type="dxa"/>
            <w:vAlign w:val="bottom"/>
            <w:shd w:val="clear" w:color="auto" w:fill="CFF0FC"/>
          </w:tcPr>
          <w:p>
            <w:pPr>
              <w:ind w:left="100"/>
              <w:spacing w:after="0" w:line="182" w:lineRule="exact"/>
              <w:rPr>
                <w:sz w:val="20"/>
                <w:szCs w:val="20"/>
                <w:color w:val="auto"/>
              </w:rPr>
            </w:pPr>
            <w:r>
              <w:rPr>
                <w:rFonts w:ascii="Arial" w:cs="Arial" w:eastAsia="Arial" w:hAnsi="Arial"/>
                <w:sz w:val="16"/>
                <w:szCs w:val="16"/>
                <w:color w:val="auto"/>
              </w:rPr>
              <w:t>Edward J. Benz, Jr., M.D.</w:t>
            </w:r>
          </w:p>
        </w:tc>
        <w:tc>
          <w:tcPr>
            <w:tcW w:w="1060" w:type="dxa"/>
            <w:vAlign w:val="bottom"/>
            <w:shd w:val="clear" w:color="auto" w:fill="CFF0FC"/>
          </w:tcPr>
          <w:p>
            <w:pPr>
              <w:jc w:val="center"/>
              <w:spacing w:after="0" w:line="182" w:lineRule="exact"/>
              <w:rPr>
                <w:sz w:val="20"/>
                <w:szCs w:val="20"/>
                <w:color w:val="auto"/>
              </w:rPr>
            </w:pPr>
            <w:r>
              <w:rPr>
                <w:rFonts w:ascii="Arial" w:cs="Arial" w:eastAsia="Arial" w:hAnsi="Arial"/>
                <w:sz w:val="16"/>
                <w:szCs w:val="16"/>
                <w:color w:val="auto"/>
                <w:w w:val="98"/>
              </w:rPr>
              <w:t>43,000</w:t>
            </w:r>
          </w:p>
        </w:tc>
        <w:tc>
          <w:tcPr>
            <w:tcW w:w="840" w:type="dxa"/>
            <w:vAlign w:val="bottom"/>
            <w:shd w:val="clear" w:color="auto" w:fill="CFF0FC"/>
          </w:tcPr>
          <w:p>
            <w:pPr>
              <w:jc w:val="center"/>
              <w:spacing w:after="0" w:line="182" w:lineRule="exact"/>
              <w:rPr>
                <w:sz w:val="20"/>
                <w:szCs w:val="20"/>
                <w:color w:val="auto"/>
              </w:rPr>
            </w:pPr>
            <w:r>
              <w:rPr>
                <w:rFonts w:ascii="Arial" w:cs="Arial" w:eastAsia="Arial" w:hAnsi="Arial"/>
                <w:sz w:val="16"/>
                <w:szCs w:val="16"/>
                <w:color w:val="auto"/>
                <w:w w:val="74"/>
              </w:rPr>
              <w:t>-</w:t>
            </w:r>
          </w:p>
        </w:tc>
        <w:tc>
          <w:tcPr>
            <w:tcW w:w="880" w:type="dxa"/>
            <w:vAlign w:val="bottom"/>
            <w:shd w:val="clear" w:color="auto" w:fill="CFF0FC"/>
          </w:tcPr>
          <w:p>
            <w:pPr>
              <w:jc w:val="center"/>
              <w:spacing w:after="0" w:line="182" w:lineRule="exact"/>
              <w:rPr>
                <w:sz w:val="20"/>
                <w:szCs w:val="20"/>
                <w:color w:val="auto"/>
              </w:rPr>
            </w:pPr>
            <w:r>
              <w:rPr>
                <w:rFonts w:ascii="Arial" w:cs="Arial" w:eastAsia="Arial" w:hAnsi="Arial"/>
                <w:sz w:val="16"/>
                <w:szCs w:val="16"/>
                <w:color w:val="auto"/>
              </w:rPr>
              <w:t>13,186</w:t>
            </w:r>
          </w:p>
        </w:tc>
        <w:tc>
          <w:tcPr>
            <w:tcW w:w="940" w:type="dxa"/>
            <w:vAlign w:val="bottom"/>
            <w:shd w:val="clear" w:color="auto" w:fill="CFF0FC"/>
          </w:tcPr>
          <w:p>
            <w:pPr>
              <w:jc w:val="center"/>
              <w:spacing w:after="0" w:line="182" w:lineRule="exact"/>
              <w:rPr>
                <w:sz w:val="20"/>
                <w:szCs w:val="20"/>
                <w:color w:val="auto"/>
              </w:rPr>
            </w:pPr>
            <w:r>
              <w:rPr>
                <w:rFonts w:ascii="Arial" w:cs="Arial" w:eastAsia="Arial" w:hAnsi="Arial"/>
                <w:sz w:val="16"/>
                <w:szCs w:val="16"/>
                <w:color w:val="auto"/>
                <w:w w:val="98"/>
              </w:rPr>
              <w:t>56,186</w:t>
            </w:r>
          </w:p>
        </w:tc>
        <w:tc>
          <w:tcPr>
            <w:tcW w:w="0" w:type="dxa"/>
            <w:vAlign w:val="bottom"/>
          </w:tcPr>
          <w:p>
            <w:pPr>
              <w:spacing w:after="0"/>
              <w:rPr>
                <w:sz w:val="1"/>
                <w:szCs w:val="1"/>
                <w:color w:val="auto"/>
              </w:rPr>
            </w:pPr>
          </w:p>
        </w:tc>
      </w:tr>
    </w:tbl>
    <w:p>
      <w:pPr>
        <w:sectPr>
          <w:pgSz w:w="12240" w:h="15840" w:orient="portrait"/>
          <w:cols w:equalWidth="0" w:num="1">
            <w:col w:w="9360"/>
          </w:cols>
          <w:pgMar w:left="1440" w:top="1440" w:right="1440" w:bottom="1048" w:gutter="0" w:footer="0" w:header="0"/>
        </w:sectPr>
      </w:pPr>
    </w:p>
    <w:bookmarkStart w:id="163" w:name="page164"/>
    <w:bookmarkEnd w:id="163"/>
    <w:p>
      <w:pPr>
        <w:spacing w:after="0" w:line="1" w:lineRule="exact"/>
        <w:rPr>
          <w:sz w:val="20"/>
          <w:szCs w:val="20"/>
          <w:color w:val="auto"/>
        </w:rPr>
      </w:pPr>
    </w:p>
    <w:tbl>
      <w:tblPr>
        <w:tblLayout w:type="fixed"/>
        <w:tblInd w:w="1160" w:type="dxa"/>
        <w:tblCellMar>
          <w:top w:w="0" w:type="dxa"/>
          <w:left w:w="0" w:type="dxa"/>
          <w:bottom w:w="0" w:type="dxa"/>
          <w:right w:w="0" w:type="dxa"/>
        </w:tblCellMar>
      </w:tblPr>
      <w:tr>
        <w:trPr>
          <w:trHeight w:val="201"/>
        </w:trPr>
        <w:tc>
          <w:tcPr>
            <w:tcW w:w="3260" w:type="dxa"/>
            <w:vAlign w:val="bottom"/>
          </w:tcPr>
          <w:p>
            <w:pPr>
              <w:ind w:left="100"/>
              <w:spacing w:after="0"/>
              <w:rPr>
                <w:sz w:val="20"/>
                <w:szCs w:val="20"/>
                <w:color w:val="auto"/>
              </w:rPr>
            </w:pPr>
            <w:r>
              <w:rPr>
                <w:rFonts w:ascii="Arial" w:cs="Arial" w:eastAsia="Arial" w:hAnsi="Arial"/>
                <w:sz w:val="16"/>
                <w:szCs w:val="16"/>
                <w:color w:val="auto"/>
              </w:rPr>
              <w:t>Renee Gaeta</w:t>
            </w:r>
          </w:p>
        </w:tc>
        <w:tc>
          <w:tcPr>
            <w:tcW w:w="1040" w:type="dxa"/>
            <w:vAlign w:val="bottom"/>
          </w:tcPr>
          <w:p>
            <w:pPr>
              <w:jc w:val="right"/>
              <w:ind w:right="100"/>
              <w:spacing w:after="0"/>
              <w:rPr>
                <w:sz w:val="20"/>
                <w:szCs w:val="20"/>
                <w:color w:val="auto"/>
              </w:rPr>
            </w:pPr>
            <w:r>
              <w:rPr>
                <w:rFonts w:ascii="Arial" w:cs="Arial" w:eastAsia="Arial" w:hAnsi="Arial"/>
                <w:sz w:val="16"/>
                <w:szCs w:val="16"/>
                <w:color w:val="auto"/>
              </w:rPr>
              <w:t>42,500</w:t>
            </w:r>
          </w:p>
        </w:tc>
        <w:tc>
          <w:tcPr>
            <w:tcW w:w="7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13,186</w:t>
            </w:r>
          </w:p>
        </w:tc>
        <w:tc>
          <w:tcPr>
            <w:tcW w:w="1040" w:type="dxa"/>
            <w:vAlign w:val="bottom"/>
          </w:tcPr>
          <w:p>
            <w:pPr>
              <w:jc w:val="right"/>
              <w:ind w:right="140"/>
              <w:spacing w:after="0"/>
              <w:rPr>
                <w:sz w:val="20"/>
                <w:szCs w:val="20"/>
                <w:color w:val="auto"/>
              </w:rPr>
            </w:pPr>
            <w:r>
              <w:rPr>
                <w:rFonts w:ascii="Arial" w:cs="Arial" w:eastAsia="Arial" w:hAnsi="Arial"/>
                <w:sz w:val="16"/>
                <w:szCs w:val="16"/>
                <w:color w:val="auto"/>
              </w:rPr>
              <w:t>55,686</w:t>
            </w:r>
          </w:p>
        </w:tc>
      </w:tr>
      <w:tr>
        <w:trPr>
          <w:trHeight w:val="182"/>
        </w:trPr>
        <w:tc>
          <w:tcPr>
            <w:tcW w:w="3260" w:type="dxa"/>
            <w:vAlign w:val="bottom"/>
            <w:shd w:val="clear" w:color="auto" w:fill="CFF0FC"/>
          </w:tcPr>
          <w:p>
            <w:pPr>
              <w:ind w:left="100"/>
              <w:spacing w:after="0" w:line="182" w:lineRule="exact"/>
              <w:rPr>
                <w:sz w:val="20"/>
                <w:szCs w:val="20"/>
                <w:color w:val="auto"/>
              </w:rPr>
            </w:pPr>
            <w:r>
              <w:rPr>
                <w:rFonts w:ascii="Arial" w:cs="Arial" w:eastAsia="Arial" w:hAnsi="Arial"/>
                <w:sz w:val="16"/>
                <w:szCs w:val="16"/>
                <w:color w:val="auto"/>
              </w:rPr>
              <w:t>Nicoletta Loggia, Ph.D., R.Ph.</w:t>
            </w:r>
          </w:p>
        </w:tc>
        <w:tc>
          <w:tcPr>
            <w:tcW w:w="1040" w:type="dxa"/>
            <w:vAlign w:val="bottom"/>
            <w:shd w:val="clear" w:color="auto" w:fill="CFF0FC"/>
          </w:tcPr>
          <w:p>
            <w:pPr>
              <w:jc w:val="right"/>
              <w:ind w:right="100"/>
              <w:spacing w:after="0" w:line="182" w:lineRule="exact"/>
              <w:rPr>
                <w:sz w:val="20"/>
                <w:szCs w:val="20"/>
                <w:color w:val="auto"/>
              </w:rPr>
            </w:pPr>
            <w:r>
              <w:rPr>
                <w:rFonts w:ascii="Arial" w:cs="Arial" w:eastAsia="Arial" w:hAnsi="Arial"/>
                <w:sz w:val="16"/>
                <w:szCs w:val="16"/>
                <w:color w:val="auto"/>
              </w:rPr>
              <w:t>19,808</w:t>
            </w:r>
          </w:p>
        </w:tc>
        <w:tc>
          <w:tcPr>
            <w:tcW w:w="780" w:type="dxa"/>
            <w:vAlign w:val="bottom"/>
            <w:shd w:val="clear" w:color="auto" w:fill="CFF0FC"/>
          </w:tcPr>
          <w:p>
            <w:pPr>
              <w:jc w:val="right"/>
              <w:ind w:right="180"/>
              <w:spacing w:after="0" w:line="182" w:lineRule="exact"/>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20"/>
              <w:spacing w:after="0" w:line="182" w:lineRule="exact"/>
              <w:rPr>
                <w:sz w:val="20"/>
                <w:szCs w:val="20"/>
                <w:color w:val="auto"/>
              </w:rPr>
            </w:pPr>
            <w:r>
              <w:rPr>
                <w:rFonts w:ascii="Arial" w:cs="Arial" w:eastAsia="Arial" w:hAnsi="Arial"/>
                <w:sz w:val="16"/>
                <w:szCs w:val="16"/>
                <w:color w:val="auto"/>
              </w:rPr>
              <w:t>32,949</w:t>
            </w:r>
          </w:p>
        </w:tc>
        <w:tc>
          <w:tcPr>
            <w:tcW w:w="1040" w:type="dxa"/>
            <w:vAlign w:val="bottom"/>
            <w:shd w:val="clear" w:color="auto" w:fill="CFF0FC"/>
          </w:tcPr>
          <w:p>
            <w:pPr>
              <w:jc w:val="right"/>
              <w:ind w:right="140"/>
              <w:spacing w:after="0" w:line="182" w:lineRule="exact"/>
              <w:rPr>
                <w:sz w:val="20"/>
                <w:szCs w:val="20"/>
                <w:color w:val="auto"/>
              </w:rPr>
            </w:pPr>
            <w:r>
              <w:rPr>
                <w:rFonts w:ascii="Arial" w:cs="Arial" w:eastAsia="Arial" w:hAnsi="Arial"/>
                <w:sz w:val="16"/>
                <w:szCs w:val="16"/>
                <w:color w:val="auto"/>
              </w:rPr>
              <w:t>52,757</w:t>
            </w:r>
          </w:p>
        </w:tc>
      </w:tr>
      <w:tr>
        <w:trPr>
          <w:trHeight w:val="185"/>
        </w:trPr>
        <w:tc>
          <w:tcPr>
            <w:tcW w:w="3260" w:type="dxa"/>
            <w:vAlign w:val="bottom"/>
          </w:tcPr>
          <w:p>
            <w:pPr>
              <w:ind w:left="100"/>
              <w:spacing w:after="0"/>
              <w:rPr>
                <w:sz w:val="20"/>
                <w:szCs w:val="20"/>
                <w:color w:val="auto"/>
              </w:rPr>
            </w:pPr>
            <w:r>
              <w:rPr>
                <w:rFonts w:ascii="Arial" w:cs="Arial" w:eastAsia="Arial" w:hAnsi="Arial"/>
                <w:sz w:val="16"/>
                <w:szCs w:val="16"/>
                <w:color w:val="auto"/>
              </w:rPr>
              <w:t>Christopher Martell</w:t>
            </w:r>
          </w:p>
        </w:tc>
        <w:tc>
          <w:tcPr>
            <w:tcW w:w="1040" w:type="dxa"/>
            <w:vAlign w:val="bottom"/>
          </w:tcPr>
          <w:p>
            <w:pPr>
              <w:jc w:val="right"/>
              <w:ind w:right="100"/>
              <w:spacing w:after="0"/>
              <w:rPr>
                <w:sz w:val="20"/>
                <w:szCs w:val="20"/>
                <w:color w:val="auto"/>
              </w:rPr>
            </w:pPr>
            <w:r>
              <w:rPr>
                <w:rFonts w:ascii="Arial" w:cs="Arial" w:eastAsia="Arial" w:hAnsi="Arial"/>
                <w:sz w:val="16"/>
                <w:szCs w:val="16"/>
                <w:color w:val="auto"/>
              </w:rPr>
              <w:t>54,000</w:t>
            </w:r>
          </w:p>
        </w:tc>
        <w:tc>
          <w:tcPr>
            <w:tcW w:w="7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13,186</w:t>
            </w:r>
          </w:p>
        </w:tc>
        <w:tc>
          <w:tcPr>
            <w:tcW w:w="1040" w:type="dxa"/>
            <w:vAlign w:val="bottom"/>
          </w:tcPr>
          <w:p>
            <w:pPr>
              <w:jc w:val="right"/>
              <w:ind w:right="140"/>
              <w:spacing w:after="0"/>
              <w:rPr>
                <w:sz w:val="20"/>
                <w:szCs w:val="20"/>
                <w:color w:val="auto"/>
              </w:rPr>
            </w:pPr>
            <w:r>
              <w:rPr>
                <w:rFonts w:ascii="Arial" w:cs="Arial" w:eastAsia="Arial" w:hAnsi="Arial"/>
                <w:sz w:val="16"/>
                <w:szCs w:val="16"/>
                <w:color w:val="auto"/>
              </w:rPr>
              <w:t>67,186</w:t>
            </w:r>
          </w:p>
        </w:tc>
      </w:tr>
      <w:tr>
        <w:trPr>
          <w:trHeight w:val="185"/>
        </w:trPr>
        <w:tc>
          <w:tcPr>
            <w:tcW w:w="32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Gary J. Nabel, M.D., Ph.D.</w:t>
            </w:r>
          </w:p>
        </w:tc>
        <w:tc>
          <w:tcPr>
            <w:tcW w:w="104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rPr>
              <w:t>39,000</w:t>
            </w:r>
          </w:p>
        </w:tc>
        <w:tc>
          <w:tcPr>
            <w:tcW w:w="780" w:type="dxa"/>
            <w:vAlign w:val="bottom"/>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13,186</w:t>
            </w:r>
          </w:p>
        </w:tc>
        <w:tc>
          <w:tcPr>
            <w:tcW w:w="1040" w:type="dxa"/>
            <w:vAlign w:val="bottom"/>
            <w:shd w:val="clear" w:color="auto" w:fill="CFF0FC"/>
          </w:tcPr>
          <w:p>
            <w:pPr>
              <w:jc w:val="right"/>
              <w:ind w:right="140"/>
              <w:spacing w:after="0"/>
              <w:rPr>
                <w:sz w:val="20"/>
                <w:szCs w:val="20"/>
                <w:color w:val="auto"/>
              </w:rPr>
            </w:pPr>
            <w:r>
              <w:rPr>
                <w:rFonts w:ascii="Arial" w:cs="Arial" w:eastAsia="Arial" w:hAnsi="Arial"/>
                <w:sz w:val="16"/>
                <w:szCs w:val="16"/>
                <w:color w:val="auto"/>
              </w:rPr>
              <w:t>52,186</w:t>
            </w:r>
          </w:p>
        </w:tc>
      </w:tr>
      <w:tr>
        <w:trPr>
          <w:trHeight w:val="182"/>
        </w:trPr>
        <w:tc>
          <w:tcPr>
            <w:tcW w:w="3260" w:type="dxa"/>
            <w:vAlign w:val="bottom"/>
          </w:tcPr>
          <w:p>
            <w:pPr>
              <w:ind w:left="100"/>
              <w:spacing w:after="0" w:line="182" w:lineRule="exact"/>
              <w:rPr>
                <w:sz w:val="20"/>
                <w:szCs w:val="20"/>
                <w:color w:val="auto"/>
              </w:rPr>
            </w:pPr>
            <w:r>
              <w:rPr>
                <w:rFonts w:ascii="Arial" w:cs="Arial" w:eastAsia="Arial" w:hAnsi="Arial"/>
                <w:sz w:val="16"/>
                <w:szCs w:val="16"/>
                <w:color w:val="auto"/>
              </w:rPr>
              <w:t>Diem Nguyen, Ph.D. M.B.A.</w:t>
            </w:r>
          </w:p>
        </w:tc>
        <w:tc>
          <w:tcPr>
            <w:tcW w:w="1040" w:type="dxa"/>
            <w:vAlign w:val="bottom"/>
          </w:tcPr>
          <w:p>
            <w:pPr>
              <w:jc w:val="right"/>
              <w:ind w:right="100"/>
              <w:spacing w:after="0" w:line="182" w:lineRule="exact"/>
              <w:rPr>
                <w:sz w:val="20"/>
                <w:szCs w:val="20"/>
                <w:color w:val="auto"/>
              </w:rPr>
            </w:pPr>
            <w:r>
              <w:rPr>
                <w:rFonts w:ascii="Arial" w:cs="Arial" w:eastAsia="Arial" w:hAnsi="Arial"/>
                <w:sz w:val="16"/>
                <w:szCs w:val="16"/>
                <w:color w:val="auto"/>
              </w:rPr>
              <w:t>47,500</w:t>
            </w:r>
          </w:p>
        </w:tc>
        <w:tc>
          <w:tcPr>
            <w:tcW w:w="780" w:type="dxa"/>
            <w:vAlign w:val="bottom"/>
          </w:tcPr>
          <w:p>
            <w:pPr>
              <w:jc w:val="right"/>
              <w:ind w:right="180"/>
              <w:spacing w:after="0" w:line="182"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line="182" w:lineRule="exact"/>
              <w:rPr>
                <w:sz w:val="20"/>
                <w:szCs w:val="20"/>
                <w:color w:val="auto"/>
              </w:rPr>
            </w:pPr>
            <w:r>
              <w:rPr>
                <w:rFonts w:ascii="Arial" w:cs="Arial" w:eastAsia="Arial" w:hAnsi="Arial"/>
                <w:sz w:val="16"/>
                <w:szCs w:val="16"/>
                <w:color w:val="auto"/>
              </w:rPr>
              <w:t>13,186</w:t>
            </w:r>
          </w:p>
        </w:tc>
        <w:tc>
          <w:tcPr>
            <w:tcW w:w="1040" w:type="dxa"/>
            <w:vAlign w:val="bottom"/>
          </w:tcPr>
          <w:p>
            <w:pPr>
              <w:jc w:val="right"/>
              <w:ind w:right="140"/>
              <w:spacing w:after="0" w:line="182" w:lineRule="exact"/>
              <w:rPr>
                <w:sz w:val="20"/>
                <w:szCs w:val="20"/>
                <w:color w:val="auto"/>
              </w:rPr>
            </w:pPr>
            <w:r>
              <w:rPr>
                <w:rFonts w:ascii="Arial" w:cs="Arial" w:eastAsia="Arial" w:hAnsi="Arial"/>
                <w:sz w:val="16"/>
                <w:szCs w:val="16"/>
                <w:color w:val="auto"/>
              </w:rPr>
              <w:t>60,686</w:t>
            </w:r>
          </w:p>
        </w:tc>
      </w:tr>
      <w:tr>
        <w:trPr>
          <w:trHeight w:val="185"/>
        </w:trPr>
        <w:tc>
          <w:tcPr>
            <w:tcW w:w="32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Joseph Papa</w:t>
            </w:r>
          </w:p>
        </w:tc>
        <w:tc>
          <w:tcPr>
            <w:tcW w:w="104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rPr>
              <w:t>45,000</w:t>
            </w:r>
          </w:p>
        </w:tc>
        <w:tc>
          <w:tcPr>
            <w:tcW w:w="780" w:type="dxa"/>
            <w:vAlign w:val="bottom"/>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13,186</w:t>
            </w:r>
          </w:p>
        </w:tc>
        <w:tc>
          <w:tcPr>
            <w:tcW w:w="1040" w:type="dxa"/>
            <w:vAlign w:val="bottom"/>
            <w:shd w:val="clear" w:color="auto" w:fill="CFF0FC"/>
          </w:tcPr>
          <w:p>
            <w:pPr>
              <w:jc w:val="right"/>
              <w:ind w:right="140"/>
              <w:spacing w:after="0"/>
              <w:rPr>
                <w:sz w:val="20"/>
                <w:szCs w:val="20"/>
                <w:color w:val="auto"/>
              </w:rPr>
            </w:pPr>
            <w:r>
              <w:rPr>
                <w:rFonts w:ascii="Arial" w:cs="Arial" w:eastAsia="Arial" w:hAnsi="Arial"/>
                <w:sz w:val="16"/>
                <w:szCs w:val="16"/>
                <w:color w:val="auto"/>
              </w:rPr>
              <w:t>58,186</w:t>
            </w:r>
          </w:p>
        </w:tc>
      </w:tr>
    </w:tbl>
    <w:p>
      <w:pPr>
        <w:spacing w:after="0" w:line="212" w:lineRule="exact"/>
        <w:rPr>
          <w:sz w:val="20"/>
          <w:szCs w:val="20"/>
          <w:color w:val="auto"/>
        </w:rPr>
      </w:pPr>
    </w:p>
    <w:p>
      <w:pPr>
        <w:ind w:left="720" w:right="100" w:hanging="360"/>
        <w:spacing w:after="0" w:line="239" w:lineRule="auto"/>
        <w:tabs>
          <w:tab w:leader="none" w:pos="72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Represents stock options granted in 2023. In accordance with SEC rules, these columns reflect the aggregate grant date fair value of the option awards granted during 2023 computed in accordance with Financial Accounting Standard Board ASC Topic 718 for stock-based compensation transactions.</w:t>
      </w:r>
    </w:p>
    <w:p>
      <w:pPr>
        <w:spacing w:after="0" w:line="2" w:lineRule="exact"/>
        <w:rPr>
          <w:rFonts w:ascii="Arial" w:cs="Arial" w:eastAsia="Arial" w:hAnsi="Arial"/>
          <w:sz w:val="16"/>
          <w:szCs w:val="16"/>
          <w:color w:val="auto"/>
        </w:rPr>
      </w:pPr>
    </w:p>
    <w:p>
      <w:pPr>
        <w:ind w:left="720" w:right="180" w:hanging="360"/>
        <w:spacing w:after="0" w:line="286" w:lineRule="auto"/>
        <w:tabs>
          <w:tab w:leader="none" w:pos="72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following table provides information regarding the number of shares of common stock underlying stock options held by our non-employee directors that were outstanding as of December 31, 2023:</w:t>
      </w:r>
    </w:p>
    <w:p>
      <w:pPr>
        <w:spacing w:after="0" w:line="112" w:lineRule="exact"/>
        <w:rPr>
          <w:sz w:val="20"/>
          <w:szCs w:val="20"/>
          <w:color w:val="auto"/>
        </w:rPr>
      </w:pPr>
    </w:p>
    <w:tbl>
      <w:tblPr>
        <w:tblLayout w:type="fixed"/>
        <w:tblInd w:w="1180" w:type="dxa"/>
        <w:tblCellMar>
          <w:top w:w="0" w:type="dxa"/>
          <w:left w:w="0" w:type="dxa"/>
          <w:bottom w:w="0" w:type="dxa"/>
          <w:right w:w="0" w:type="dxa"/>
        </w:tblCellMar>
      </w:tblPr>
      <w:tr>
        <w:trPr>
          <w:trHeight w:val="184"/>
        </w:trPr>
        <w:tc>
          <w:tcPr>
            <w:tcW w:w="3220" w:type="dxa"/>
            <w:vAlign w:val="bottom"/>
          </w:tcPr>
          <w:p>
            <w:pPr>
              <w:spacing w:after="0"/>
              <w:rPr>
                <w:sz w:val="16"/>
                <w:szCs w:val="16"/>
                <w:color w:val="auto"/>
              </w:rPr>
            </w:pPr>
          </w:p>
        </w:tc>
        <w:tc>
          <w:tcPr>
            <w:tcW w:w="3760" w:type="dxa"/>
            <w:vAlign w:val="bottom"/>
          </w:tcPr>
          <w:p>
            <w:pPr>
              <w:jc w:val="center"/>
              <w:ind w:left="20"/>
              <w:spacing w:after="0"/>
              <w:rPr>
                <w:sz w:val="20"/>
                <w:szCs w:val="20"/>
                <w:color w:val="auto"/>
              </w:rPr>
            </w:pPr>
            <w:r>
              <w:rPr>
                <w:rFonts w:ascii="Arial" w:cs="Arial" w:eastAsia="Arial" w:hAnsi="Arial"/>
                <w:sz w:val="16"/>
                <w:szCs w:val="16"/>
                <w:b w:val="1"/>
                <w:bCs w:val="1"/>
                <w:color w:val="auto"/>
              </w:rPr>
              <w:t>Number of Unexercised Stock Options</w:t>
            </w:r>
          </w:p>
        </w:tc>
      </w:tr>
      <w:tr>
        <w:trPr>
          <w:trHeight w:val="203"/>
        </w:trPr>
        <w:tc>
          <w:tcPr>
            <w:tcW w:w="3220" w:type="dxa"/>
            <w:vAlign w:val="bottom"/>
          </w:tcPr>
          <w:p>
            <w:pPr>
              <w:ind w:left="1440"/>
              <w:spacing w:after="0"/>
              <w:rPr>
                <w:sz w:val="20"/>
                <w:szCs w:val="20"/>
                <w:color w:val="auto"/>
              </w:rPr>
            </w:pPr>
            <w:r>
              <w:rPr>
                <w:rFonts w:ascii="Arial" w:cs="Arial" w:eastAsia="Arial" w:hAnsi="Arial"/>
                <w:sz w:val="16"/>
                <w:szCs w:val="16"/>
                <w:b w:val="1"/>
                <w:bCs w:val="1"/>
                <w:color w:val="auto"/>
              </w:rPr>
              <w:t>Name</w:t>
            </w:r>
          </w:p>
        </w:tc>
        <w:tc>
          <w:tcPr>
            <w:tcW w:w="3760" w:type="dxa"/>
            <w:vAlign w:val="bottom"/>
          </w:tcPr>
          <w:p>
            <w:pPr>
              <w:jc w:val="center"/>
              <w:ind w:left="40"/>
              <w:spacing w:after="0"/>
              <w:rPr>
                <w:sz w:val="20"/>
                <w:szCs w:val="20"/>
                <w:color w:val="auto"/>
              </w:rPr>
            </w:pPr>
            <w:r>
              <w:rPr>
                <w:rFonts w:ascii="Arial" w:cs="Arial" w:eastAsia="Arial" w:hAnsi="Arial"/>
                <w:sz w:val="16"/>
                <w:szCs w:val="16"/>
                <w:b w:val="1"/>
                <w:bCs w:val="1"/>
                <w:color w:val="auto"/>
                <w:w w:val="99"/>
              </w:rPr>
              <w:t>Outstanding as of December 31, 2023 (#)</w:t>
            </w:r>
          </w:p>
        </w:tc>
      </w:tr>
      <w:tr>
        <w:trPr>
          <w:trHeight w:val="185"/>
        </w:trPr>
        <w:tc>
          <w:tcPr>
            <w:tcW w:w="32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Paul B. Manning</w:t>
            </w:r>
          </w:p>
        </w:tc>
        <w:tc>
          <w:tcPr>
            <w:tcW w:w="3760" w:type="dxa"/>
            <w:vAlign w:val="bottom"/>
            <w:shd w:val="clear" w:color="auto" w:fill="CFF0FC"/>
          </w:tcPr>
          <w:p>
            <w:pPr>
              <w:jc w:val="center"/>
              <w:ind w:left="20"/>
              <w:spacing w:after="0"/>
              <w:rPr>
                <w:sz w:val="20"/>
                <w:szCs w:val="20"/>
                <w:color w:val="auto"/>
              </w:rPr>
            </w:pPr>
            <w:r>
              <w:rPr>
                <w:rFonts w:ascii="Arial" w:cs="Arial" w:eastAsia="Arial" w:hAnsi="Arial"/>
                <w:sz w:val="16"/>
                <w:szCs w:val="16"/>
                <w:color w:val="auto"/>
              </w:rPr>
              <w:t>14,240</w:t>
            </w:r>
          </w:p>
        </w:tc>
      </w:tr>
      <w:tr>
        <w:trPr>
          <w:trHeight w:val="182"/>
        </w:trPr>
        <w:tc>
          <w:tcPr>
            <w:tcW w:w="3220" w:type="dxa"/>
            <w:vAlign w:val="bottom"/>
          </w:tcPr>
          <w:p>
            <w:pPr>
              <w:ind w:left="100"/>
              <w:spacing w:after="0" w:line="182" w:lineRule="exact"/>
              <w:rPr>
                <w:sz w:val="20"/>
                <w:szCs w:val="20"/>
                <w:color w:val="auto"/>
              </w:rPr>
            </w:pPr>
            <w:r>
              <w:rPr>
                <w:rFonts w:ascii="Arial" w:cs="Arial" w:eastAsia="Arial" w:hAnsi="Arial"/>
                <w:sz w:val="16"/>
                <w:szCs w:val="16"/>
                <w:color w:val="auto"/>
              </w:rPr>
              <w:t>Estuardo Aguilar-Cordova M.D., inf., Ph.D.</w:t>
            </w:r>
          </w:p>
        </w:tc>
        <w:tc>
          <w:tcPr>
            <w:tcW w:w="3760" w:type="dxa"/>
            <w:vAlign w:val="bottom"/>
          </w:tcPr>
          <w:p>
            <w:pPr>
              <w:jc w:val="center"/>
              <w:ind w:left="20"/>
              <w:spacing w:after="0" w:line="182" w:lineRule="exact"/>
              <w:rPr>
                <w:sz w:val="20"/>
                <w:szCs w:val="20"/>
                <w:color w:val="auto"/>
              </w:rPr>
            </w:pPr>
            <w:r>
              <w:rPr>
                <w:rFonts w:ascii="Arial" w:cs="Arial" w:eastAsia="Arial" w:hAnsi="Arial"/>
                <w:sz w:val="16"/>
                <w:szCs w:val="16"/>
                <w:color w:val="auto"/>
              </w:rPr>
              <w:t>14,240</w:t>
            </w:r>
          </w:p>
        </w:tc>
      </w:tr>
      <w:tr>
        <w:trPr>
          <w:trHeight w:val="185"/>
        </w:trPr>
        <w:tc>
          <w:tcPr>
            <w:tcW w:w="32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Edward J. Benz, Jr., M.D.</w:t>
            </w:r>
          </w:p>
        </w:tc>
        <w:tc>
          <w:tcPr>
            <w:tcW w:w="3760" w:type="dxa"/>
            <w:vAlign w:val="bottom"/>
            <w:shd w:val="clear" w:color="auto" w:fill="CFF0FC"/>
          </w:tcPr>
          <w:p>
            <w:pPr>
              <w:jc w:val="center"/>
              <w:ind w:left="20"/>
              <w:spacing w:after="0"/>
              <w:rPr>
                <w:sz w:val="20"/>
                <w:szCs w:val="20"/>
                <w:color w:val="auto"/>
              </w:rPr>
            </w:pPr>
            <w:r>
              <w:rPr>
                <w:rFonts w:ascii="Arial" w:cs="Arial" w:eastAsia="Arial" w:hAnsi="Arial"/>
                <w:sz w:val="16"/>
                <w:szCs w:val="16"/>
                <w:color w:val="auto"/>
              </w:rPr>
              <w:t>83,404</w:t>
            </w:r>
          </w:p>
        </w:tc>
      </w:tr>
      <w:tr>
        <w:trPr>
          <w:trHeight w:val="185"/>
        </w:trPr>
        <w:tc>
          <w:tcPr>
            <w:tcW w:w="3220" w:type="dxa"/>
            <w:vAlign w:val="bottom"/>
          </w:tcPr>
          <w:p>
            <w:pPr>
              <w:ind w:left="100"/>
              <w:spacing w:after="0"/>
              <w:rPr>
                <w:sz w:val="20"/>
                <w:szCs w:val="20"/>
                <w:color w:val="auto"/>
              </w:rPr>
            </w:pPr>
            <w:r>
              <w:rPr>
                <w:rFonts w:ascii="Arial" w:cs="Arial" w:eastAsia="Arial" w:hAnsi="Arial"/>
                <w:sz w:val="16"/>
                <w:szCs w:val="16"/>
                <w:color w:val="auto"/>
              </w:rPr>
              <w:t>Renee Gaeta</w:t>
            </w:r>
          </w:p>
        </w:tc>
        <w:tc>
          <w:tcPr>
            <w:tcW w:w="3760" w:type="dxa"/>
            <w:vAlign w:val="bottom"/>
          </w:tcPr>
          <w:p>
            <w:pPr>
              <w:jc w:val="center"/>
              <w:ind w:left="20"/>
              <w:spacing w:after="0"/>
              <w:rPr>
                <w:sz w:val="20"/>
                <w:szCs w:val="20"/>
                <w:color w:val="auto"/>
              </w:rPr>
            </w:pPr>
            <w:r>
              <w:rPr>
                <w:rFonts w:ascii="Arial" w:cs="Arial" w:eastAsia="Arial" w:hAnsi="Arial"/>
                <w:sz w:val="16"/>
                <w:szCs w:val="16"/>
                <w:color w:val="auto"/>
              </w:rPr>
              <w:t>12,657</w:t>
            </w:r>
          </w:p>
        </w:tc>
      </w:tr>
      <w:tr>
        <w:trPr>
          <w:trHeight w:val="182"/>
        </w:trPr>
        <w:tc>
          <w:tcPr>
            <w:tcW w:w="3220" w:type="dxa"/>
            <w:vAlign w:val="bottom"/>
            <w:shd w:val="clear" w:color="auto" w:fill="CFF0FC"/>
          </w:tcPr>
          <w:p>
            <w:pPr>
              <w:ind w:left="100"/>
              <w:spacing w:after="0" w:line="182" w:lineRule="exact"/>
              <w:rPr>
                <w:sz w:val="20"/>
                <w:szCs w:val="20"/>
                <w:color w:val="auto"/>
              </w:rPr>
            </w:pPr>
            <w:r>
              <w:rPr>
                <w:rFonts w:ascii="Arial" w:cs="Arial" w:eastAsia="Arial" w:hAnsi="Arial"/>
                <w:sz w:val="16"/>
                <w:szCs w:val="16"/>
                <w:color w:val="auto"/>
              </w:rPr>
              <w:t>Nicoletta Loggia, Ph.D., R.Ph.</w:t>
            </w:r>
          </w:p>
        </w:tc>
        <w:tc>
          <w:tcPr>
            <w:tcW w:w="3760" w:type="dxa"/>
            <w:vAlign w:val="bottom"/>
            <w:shd w:val="clear" w:color="auto" w:fill="CFF0FC"/>
          </w:tcPr>
          <w:p>
            <w:pPr>
              <w:jc w:val="center"/>
              <w:ind w:left="40"/>
              <w:spacing w:after="0" w:line="182" w:lineRule="exact"/>
              <w:rPr>
                <w:sz w:val="20"/>
                <w:szCs w:val="20"/>
                <w:color w:val="auto"/>
              </w:rPr>
            </w:pPr>
            <w:r>
              <w:rPr>
                <w:rFonts w:ascii="Arial" w:cs="Arial" w:eastAsia="Arial" w:hAnsi="Arial"/>
                <w:sz w:val="16"/>
                <w:szCs w:val="16"/>
                <w:color w:val="auto"/>
                <w:w w:val="99"/>
              </w:rPr>
              <w:t>4,746</w:t>
            </w:r>
          </w:p>
        </w:tc>
      </w:tr>
      <w:tr>
        <w:trPr>
          <w:trHeight w:val="185"/>
        </w:trPr>
        <w:tc>
          <w:tcPr>
            <w:tcW w:w="3220" w:type="dxa"/>
            <w:vAlign w:val="bottom"/>
          </w:tcPr>
          <w:p>
            <w:pPr>
              <w:ind w:left="100"/>
              <w:spacing w:after="0"/>
              <w:rPr>
                <w:sz w:val="20"/>
                <w:szCs w:val="20"/>
                <w:color w:val="auto"/>
              </w:rPr>
            </w:pPr>
            <w:r>
              <w:rPr>
                <w:rFonts w:ascii="Arial" w:cs="Arial" w:eastAsia="Arial" w:hAnsi="Arial"/>
                <w:sz w:val="16"/>
                <w:szCs w:val="16"/>
                <w:color w:val="auto"/>
              </w:rPr>
              <w:t>Christopher Martell</w:t>
            </w:r>
          </w:p>
        </w:tc>
        <w:tc>
          <w:tcPr>
            <w:tcW w:w="3760" w:type="dxa"/>
            <w:vAlign w:val="bottom"/>
          </w:tcPr>
          <w:p>
            <w:pPr>
              <w:jc w:val="center"/>
              <w:ind w:left="20"/>
              <w:spacing w:after="0"/>
              <w:rPr>
                <w:sz w:val="20"/>
                <w:szCs w:val="20"/>
                <w:color w:val="auto"/>
              </w:rPr>
            </w:pPr>
            <w:r>
              <w:rPr>
                <w:rFonts w:ascii="Arial" w:cs="Arial" w:eastAsia="Arial" w:hAnsi="Arial"/>
                <w:sz w:val="16"/>
                <w:szCs w:val="16"/>
                <w:color w:val="auto"/>
              </w:rPr>
              <w:t>46,788</w:t>
            </w:r>
          </w:p>
        </w:tc>
      </w:tr>
      <w:tr>
        <w:trPr>
          <w:trHeight w:val="185"/>
        </w:trPr>
        <w:tc>
          <w:tcPr>
            <w:tcW w:w="32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Gary J. Nabel, M.D., Ph.D.</w:t>
            </w:r>
          </w:p>
        </w:tc>
        <w:tc>
          <w:tcPr>
            <w:tcW w:w="3760" w:type="dxa"/>
            <w:vAlign w:val="bottom"/>
            <w:shd w:val="clear" w:color="auto" w:fill="CFF0FC"/>
          </w:tcPr>
          <w:p>
            <w:pPr>
              <w:jc w:val="center"/>
              <w:ind w:left="20"/>
              <w:spacing w:after="0"/>
              <w:rPr>
                <w:sz w:val="20"/>
                <w:szCs w:val="20"/>
                <w:color w:val="auto"/>
              </w:rPr>
            </w:pPr>
            <w:r>
              <w:rPr>
                <w:rFonts w:ascii="Arial" w:cs="Arial" w:eastAsia="Arial" w:hAnsi="Arial"/>
                <w:sz w:val="16"/>
                <w:szCs w:val="16"/>
                <w:color w:val="auto"/>
              </w:rPr>
              <w:t>12,657</w:t>
            </w:r>
          </w:p>
        </w:tc>
      </w:tr>
      <w:tr>
        <w:trPr>
          <w:trHeight w:val="182"/>
        </w:trPr>
        <w:tc>
          <w:tcPr>
            <w:tcW w:w="3220" w:type="dxa"/>
            <w:vAlign w:val="bottom"/>
          </w:tcPr>
          <w:p>
            <w:pPr>
              <w:ind w:left="100"/>
              <w:spacing w:after="0" w:line="182" w:lineRule="exact"/>
              <w:rPr>
                <w:sz w:val="20"/>
                <w:szCs w:val="20"/>
                <w:color w:val="auto"/>
              </w:rPr>
            </w:pPr>
            <w:r>
              <w:rPr>
                <w:rFonts w:ascii="Arial" w:cs="Arial" w:eastAsia="Arial" w:hAnsi="Arial"/>
                <w:sz w:val="16"/>
                <w:szCs w:val="16"/>
                <w:color w:val="auto"/>
              </w:rPr>
              <w:t>Diem Nguyen, Ph.D. M.B.A.</w:t>
            </w:r>
          </w:p>
        </w:tc>
        <w:tc>
          <w:tcPr>
            <w:tcW w:w="3760" w:type="dxa"/>
            <w:vAlign w:val="bottom"/>
          </w:tcPr>
          <w:p>
            <w:pPr>
              <w:jc w:val="center"/>
              <w:ind w:left="20"/>
              <w:spacing w:after="0" w:line="182" w:lineRule="exact"/>
              <w:rPr>
                <w:sz w:val="20"/>
                <w:szCs w:val="20"/>
                <w:color w:val="auto"/>
              </w:rPr>
            </w:pPr>
            <w:r>
              <w:rPr>
                <w:rFonts w:ascii="Arial" w:cs="Arial" w:eastAsia="Arial" w:hAnsi="Arial"/>
                <w:sz w:val="16"/>
                <w:szCs w:val="16"/>
                <w:color w:val="auto"/>
              </w:rPr>
              <w:t>37,182</w:t>
            </w:r>
          </w:p>
        </w:tc>
      </w:tr>
      <w:tr>
        <w:trPr>
          <w:trHeight w:val="185"/>
        </w:trPr>
        <w:tc>
          <w:tcPr>
            <w:tcW w:w="32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Joseph Papa</w:t>
            </w:r>
          </w:p>
        </w:tc>
        <w:tc>
          <w:tcPr>
            <w:tcW w:w="3760" w:type="dxa"/>
            <w:vAlign w:val="bottom"/>
            <w:shd w:val="clear" w:color="auto" w:fill="CFF0FC"/>
          </w:tcPr>
          <w:p>
            <w:pPr>
              <w:jc w:val="center"/>
              <w:ind w:left="20"/>
              <w:spacing w:after="0"/>
              <w:rPr>
                <w:sz w:val="20"/>
                <w:szCs w:val="20"/>
                <w:color w:val="auto"/>
              </w:rPr>
            </w:pPr>
            <w:r>
              <w:rPr>
                <w:rFonts w:ascii="Arial" w:cs="Arial" w:eastAsia="Arial" w:hAnsi="Arial"/>
                <w:sz w:val="16"/>
                <w:szCs w:val="16"/>
                <w:color w:val="auto"/>
              </w:rPr>
              <w:t>12,657</w:t>
            </w:r>
          </w:p>
        </w:tc>
      </w:tr>
    </w:tbl>
    <w:p>
      <w:pPr>
        <w:spacing w:after="0" w:line="3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Non-Employee Director Compensation Policy</w:t>
      </w:r>
    </w:p>
    <w:p>
      <w:pPr>
        <w:spacing w:after="0" w:line="227" w:lineRule="exact"/>
        <w:rPr>
          <w:sz w:val="20"/>
          <w:szCs w:val="20"/>
          <w:color w:val="auto"/>
        </w:rPr>
      </w:pPr>
    </w:p>
    <w:p>
      <w:pPr>
        <w:ind w:right="120"/>
        <w:spacing w:after="0" w:line="254" w:lineRule="auto"/>
        <w:rPr>
          <w:sz w:val="20"/>
          <w:szCs w:val="20"/>
          <w:color w:val="auto"/>
        </w:rPr>
      </w:pPr>
      <w:r>
        <w:rPr>
          <w:rFonts w:ascii="Arial" w:cs="Arial" w:eastAsia="Arial" w:hAnsi="Arial"/>
          <w:sz w:val="20"/>
          <w:szCs w:val="20"/>
          <w:color w:val="auto"/>
        </w:rPr>
        <w:t>Our board of directors has adopted a non-employee director compensation policy that is designed to enable us to attract and retain, on a long-term basis, highly qualified non-employee directors. The fees paid to independent non-employee directors for service on our board of directors and for service on each committee of our board of directors on which the director is a member are set forth below:</w:t>
      </w:r>
    </w:p>
    <w:p>
      <w:pPr>
        <w:spacing w:after="0" w:line="273" w:lineRule="exact"/>
        <w:rPr>
          <w:sz w:val="20"/>
          <w:szCs w:val="20"/>
          <w:color w:val="auto"/>
        </w:rPr>
      </w:pPr>
    </w:p>
    <w:tbl>
      <w:tblPr>
        <w:tblLayout w:type="fixed"/>
        <w:tblInd w:w="1260" w:type="dxa"/>
        <w:tblCellMar>
          <w:top w:w="0" w:type="dxa"/>
          <w:left w:w="0" w:type="dxa"/>
          <w:bottom w:w="0" w:type="dxa"/>
          <w:right w:w="0" w:type="dxa"/>
        </w:tblCellMar>
      </w:tblPr>
      <w:tr>
        <w:trPr>
          <w:trHeight w:val="203"/>
        </w:trPr>
        <w:tc>
          <w:tcPr>
            <w:tcW w:w="4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Annual Retainer</w:t>
            </w:r>
          </w:p>
        </w:tc>
      </w:tr>
      <w:tr>
        <w:trPr>
          <w:trHeight w:val="270"/>
        </w:trPr>
        <w:tc>
          <w:tcPr>
            <w:tcW w:w="4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Board of Directors:</w:t>
            </w:r>
          </w:p>
        </w:tc>
        <w:tc>
          <w:tcPr>
            <w:tcW w:w="380" w:type="dxa"/>
            <w:vAlign w:val="bottom"/>
            <w:tcBorders>
              <w:bottom w:val="single" w:sz="8" w:color="CFF0FC"/>
            </w:tcBorders>
          </w:tcPr>
          <w:p>
            <w:pPr>
              <w:spacing w:after="0"/>
              <w:rPr>
                <w:sz w:val="23"/>
                <w:szCs w:val="23"/>
                <w:color w:val="auto"/>
              </w:rPr>
            </w:pPr>
          </w:p>
        </w:tc>
        <w:tc>
          <w:tcPr>
            <w:tcW w:w="100" w:type="dxa"/>
            <w:vAlign w:val="bottom"/>
            <w:tcBorders>
              <w:top w:val="single" w:sz="8" w:color="auto"/>
              <w:bottom w:val="single" w:sz="8" w:color="auto"/>
            </w:tcBorders>
          </w:tcPr>
          <w:p>
            <w:pPr>
              <w:spacing w:after="0"/>
              <w:rPr>
                <w:sz w:val="23"/>
                <w:szCs w:val="23"/>
                <w:color w:val="auto"/>
              </w:rPr>
            </w:pPr>
          </w:p>
        </w:tc>
        <w:tc>
          <w:tcPr>
            <w:tcW w:w="1580" w:type="dxa"/>
            <w:vAlign w:val="bottom"/>
            <w:tcBorders>
              <w:top w:val="single" w:sz="8" w:color="auto"/>
              <w:bottom w:val="single" w:sz="8" w:color="auto"/>
            </w:tcBorders>
          </w:tcPr>
          <w:p>
            <w:pPr>
              <w:spacing w:after="0"/>
              <w:rPr>
                <w:sz w:val="23"/>
                <w:szCs w:val="23"/>
                <w:color w:val="auto"/>
              </w:rPr>
            </w:pPr>
          </w:p>
        </w:tc>
        <w:tc>
          <w:tcPr>
            <w:tcW w:w="200" w:type="dxa"/>
            <w:vAlign w:val="bottom"/>
            <w:tcBorders>
              <w:bottom w:val="single" w:sz="8" w:color="CFF0FC"/>
            </w:tcBorders>
          </w:tcPr>
          <w:p>
            <w:pPr>
              <w:spacing w:after="0"/>
              <w:rPr>
                <w:sz w:val="23"/>
                <w:szCs w:val="23"/>
                <w:color w:val="auto"/>
              </w:rPr>
            </w:pPr>
          </w:p>
        </w:tc>
      </w:tr>
      <w:tr>
        <w:trPr>
          <w:trHeight w:val="270"/>
        </w:trPr>
        <w:tc>
          <w:tcPr>
            <w:tcW w:w="4580" w:type="dxa"/>
            <w:vAlign w:val="bottom"/>
            <w:shd w:val="clear" w:color="auto" w:fill="CFF0FC"/>
          </w:tcPr>
          <w:p>
            <w:pPr>
              <w:spacing w:after="0"/>
              <w:rPr>
                <w:sz w:val="20"/>
                <w:szCs w:val="20"/>
                <w:color w:val="auto"/>
              </w:rPr>
            </w:pPr>
            <w:r>
              <w:rPr>
                <w:rFonts w:ascii="Arial" w:cs="Arial" w:eastAsia="Arial" w:hAnsi="Arial"/>
                <w:sz w:val="16"/>
                <w:szCs w:val="16"/>
                <w:color w:val="auto"/>
              </w:rPr>
              <w:t>All non-employee members</w:t>
            </w:r>
          </w:p>
        </w:tc>
        <w:tc>
          <w:tcPr>
            <w:tcW w:w="380" w:type="dxa"/>
            <w:vAlign w:val="bottom"/>
            <w:shd w:val="clear" w:color="auto" w:fill="CFF0FC"/>
          </w:tcPr>
          <w:p>
            <w:pPr>
              <w:spacing w:after="0"/>
              <w:rPr>
                <w:sz w:val="23"/>
                <w:szCs w:val="2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shd w:val="clear" w:color="auto" w:fill="CFF0FC"/>
              </w:rPr>
              <w:t>$</w:t>
            </w:r>
          </w:p>
        </w:tc>
        <w:tc>
          <w:tcPr>
            <w:tcW w:w="17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35,000</w:t>
            </w:r>
          </w:p>
        </w:tc>
      </w:tr>
      <w:tr>
        <w:trPr>
          <w:trHeight w:val="166"/>
        </w:trPr>
        <w:tc>
          <w:tcPr>
            <w:tcW w:w="4580" w:type="dxa"/>
            <w:vAlign w:val="bottom"/>
          </w:tcPr>
          <w:p>
            <w:pPr>
              <w:spacing w:after="0" w:line="167" w:lineRule="exact"/>
              <w:rPr>
                <w:sz w:val="20"/>
                <w:szCs w:val="20"/>
                <w:color w:val="auto"/>
              </w:rPr>
            </w:pPr>
            <w:r>
              <w:rPr>
                <w:rFonts w:ascii="Arial" w:cs="Arial" w:eastAsia="Arial" w:hAnsi="Arial"/>
                <w:sz w:val="16"/>
                <w:szCs w:val="16"/>
                <w:color w:val="auto"/>
              </w:rPr>
              <w:t>Additional compensation for service as non-executive chair of</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01"/>
        </w:trPr>
        <w:tc>
          <w:tcPr>
            <w:tcW w:w="4580" w:type="dxa"/>
            <w:vAlign w:val="bottom"/>
          </w:tcPr>
          <w:p>
            <w:pPr>
              <w:spacing w:after="0"/>
              <w:rPr>
                <w:sz w:val="20"/>
                <w:szCs w:val="20"/>
                <w:color w:val="auto"/>
              </w:rPr>
            </w:pPr>
            <w:r>
              <w:rPr>
                <w:rFonts w:ascii="Arial" w:cs="Arial" w:eastAsia="Arial" w:hAnsi="Arial"/>
                <w:sz w:val="16"/>
                <w:szCs w:val="16"/>
                <w:color w:val="auto"/>
              </w:rPr>
              <w:t>the board of directors</w:t>
            </w: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780" w:type="dxa"/>
            <w:vAlign w:val="bottom"/>
            <w:gridSpan w:val="2"/>
          </w:tcPr>
          <w:p>
            <w:pPr>
              <w:jc w:val="right"/>
              <w:ind w:right="200"/>
              <w:spacing w:after="0"/>
              <w:rPr>
                <w:sz w:val="20"/>
                <w:szCs w:val="20"/>
                <w:color w:val="auto"/>
              </w:rPr>
            </w:pPr>
            <w:r>
              <w:rPr>
                <w:rFonts w:ascii="Arial" w:cs="Arial" w:eastAsia="Arial" w:hAnsi="Arial"/>
                <w:sz w:val="16"/>
                <w:szCs w:val="16"/>
                <w:color w:val="auto"/>
              </w:rPr>
              <w:t>30,000</w:t>
            </w:r>
          </w:p>
        </w:tc>
      </w:tr>
      <w:tr>
        <w:trPr>
          <w:trHeight w:val="281"/>
        </w:trPr>
        <w:tc>
          <w:tcPr>
            <w:tcW w:w="45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Audit Committee:</w:t>
            </w:r>
          </w:p>
        </w:tc>
        <w:tc>
          <w:tcPr>
            <w:tcW w:w="38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58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r>
      <w:tr>
        <w:trPr>
          <w:trHeight w:val="278"/>
        </w:trPr>
        <w:tc>
          <w:tcPr>
            <w:tcW w:w="4580" w:type="dxa"/>
            <w:vAlign w:val="bottom"/>
          </w:tcPr>
          <w:p>
            <w:pPr>
              <w:spacing w:after="0"/>
              <w:rPr>
                <w:sz w:val="20"/>
                <w:szCs w:val="20"/>
                <w:color w:val="auto"/>
              </w:rPr>
            </w:pPr>
            <w:r>
              <w:rPr>
                <w:rFonts w:ascii="Arial" w:cs="Arial" w:eastAsia="Arial" w:hAnsi="Arial"/>
                <w:sz w:val="16"/>
                <w:szCs w:val="16"/>
                <w:color w:val="auto"/>
              </w:rPr>
              <w:t>Chair</w:t>
            </w: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780" w:type="dxa"/>
            <w:vAlign w:val="bottom"/>
            <w:gridSpan w:val="2"/>
          </w:tcPr>
          <w:p>
            <w:pPr>
              <w:jc w:val="right"/>
              <w:ind w:right="200"/>
              <w:spacing w:after="0"/>
              <w:rPr>
                <w:sz w:val="20"/>
                <w:szCs w:val="20"/>
                <w:color w:val="auto"/>
              </w:rPr>
            </w:pPr>
            <w:r>
              <w:rPr>
                <w:rFonts w:ascii="Arial" w:cs="Arial" w:eastAsia="Arial" w:hAnsi="Arial"/>
                <w:sz w:val="16"/>
                <w:szCs w:val="16"/>
                <w:color w:val="auto"/>
              </w:rPr>
              <w:t>15,000</w:t>
            </w:r>
          </w:p>
        </w:tc>
      </w:tr>
      <w:tr>
        <w:trPr>
          <w:trHeight w:val="281"/>
        </w:trPr>
        <w:tc>
          <w:tcPr>
            <w:tcW w:w="4580" w:type="dxa"/>
            <w:vAlign w:val="bottom"/>
            <w:shd w:val="clear" w:color="auto" w:fill="CCECFF"/>
          </w:tcPr>
          <w:p>
            <w:pPr>
              <w:spacing w:after="0"/>
              <w:rPr>
                <w:sz w:val="20"/>
                <w:szCs w:val="20"/>
                <w:color w:val="auto"/>
              </w:rPr>
            </w:pPr>
            <w:r>
              <w:rPr>
                <w:rFonts w:ascii="Arial" w:cs="Arial" w:eastAsia="Arial" w:hAnsi="Arial"/>
                <w:sz w:val="16"/>
                <w:szCs w:val="16"/>
                <w:color w:val="auto"/>
              </w:rPr>
              <w:t>Members</w:t>
            </w:r>
          </w:p>
        </w:tc>
        <w:tc>
          <w:tcPr>
            <w:tcW w:w="380" w:type="dxa"/>
            <w:vAlign w:val="bottom"/>
            <w:shd w:val="clear" w:color="auto" w:fill="CCECFF"/>
          </w:tcPr>
          <w:p>
            <w:pPr>
              <w:spacing w:after="0"/>
              <w:rPr>
                <w:sz w:val="24"/>
                <w:szCs w:val="24"/>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16"/>
                <w:szCs w:val="16"/>
                <w:color w:val="auto"/>
                <w:w w:val="89"/>
                <w:shd w:val="clear" w:color="auto" w:fill="CCECFF"/>
              </w:rPr>
              <w:t>$</w:t>
            </w:r>
          </w:p>
        </w:tc>
        <w:tc>
          <w:tcPr>
            <w:tcW w:w="1780" w:type="dxa"/>
            <w:vAlign w:val="bottom"/>
            <w:gridSpan w:val="2"/>
            <w:shd w:val="clear" w:color="auto" w:fill="CCECFF"/>
          </w:tcPr>
          <w:p>
            <w:pPr>
              <w:jc w:val="right"/>
              <w:ind w:right="200"/>
              <w:spacing w:after="0"/>
              <w:rPr>
                <w:sz w:val="20"/>
                <w:szCs w:val="20"/>
                <w:color w:val="auto"/>
              </w:rPr>
            </w:pPr>
            <w:r>
              <w:rPr>
                <w:rFonts w:ascii="Arial" w:cs="Arial" w:eastAsia="Arial" w:hAnsi="Arial"/>
                <w:sz w:val="16"/>
                <w:szCs w:val="16"/>
                <w:color w:val="auto"/>
              </w:rPr>
              <w:t>7,500</w:t>
            </w:r>
          </w:p>
        </w:tc>
      </w:tr>
      <w:tr>
        <w:trPr>
          <w:trHeight w:val="281"/>
        </w:trPr>
        <w:tc>
          <w:tcPr>
            <w:tcW w:w="4580" w:type="dxa"/>
            <w:vAlign w:val="bottom"/>
          </w:tcPr>
          <w:p>
            <w:pPr>
              <w:spacing w:after="0"/>
              <w:rPr>
                <w:sz w:val="20"/>
                <w:szCs w:val="20"/>
                <w:color w:val="auto"/>
              </w:rPr>
            </w:pPr>
            <w:r>
              <w:rPr>
                <w:rFonts w:ascii="Arial" w:cs="Arial" w:eastAsia="Arial" w:hAnsi="Arial"/>
                <w:sz w:val="16"/>
                <w:szCs w:val="16"/>
                <w:b w:val="1"/>
                <w:bCs w:val="1"/>
                <w:color w:val="auto"/>
              </w:rPr>
              <w:t>Compensation Committee:</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8"/>
        </w:trPr>
        <w:tc>
          <w:tcPr>
            <w:tcW w:w="4580" w:type="dxa"/>
            <w:vAlign w:val="bottom"/>
            <w:shd w:val="clear" w:color="auto" w:fill="CCECFF"/>
          </w:tcPr>
          <w:p>
            <w:pPr>
              <w:spacing w:after="0"/>
              <w:rPr>
                <w:sz w:val="20"/>
                <w:szCs w:val="20"/>
                <w:color w:val="auto"/>
              </w:rPr>
            </w:pPr>
            <w:r>
              <w:rPr>
                <w:rFonts w:ascii="Arial" w:cs="Arial" w:eastAsia="Arial" w:hAnsi="Arial"/>
                <w:sz w:val="16"/>
                <w:szCs w:val="16"/>
                <w:color w:val="auto"/>
              </w:rPr>
              <w:t>Chair</w:t>
            </w:r>
          </w:p>
        </w:tc>
        <w:tc>
          <w:tcPr>
            <w:tcW w:w="380" w:type="dxa"/>
            <w:vAlign w:val="bottom"/>
            <w:shd w:val="clear" w:color="auto" w:fill="CCECFF"/>
          </w:tcPr>
          <w:p>
            <w:pPr>
              <w:spacing w:after="0"/>
              <w:rPr>
                <w:sz w:val="24"/>
                <w:szCs w:val="24"/>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16"/>
                <w:szCs w:val="16"/>
                <w:color w:val="auto"/>
                <w:w w:val="89"/>
                <w:shd w:val="clear" w:color="auto" w:fill="CCECFF"/>
              </w:rPr>
              <w:t>$</w:t>
            </w:r>
          </w:p>
        </w:tc>
        <w:tc>
          <w:tcPr>
            <w:tcW w:w="1780" w:type="dxa"/>
            <w:vAlign w:val="bottom"/>
            <w:gridSpan w:val="2"/>
            <w:shd w:val="clear" w:color="auto" w:fill="CCECFF"/>
          </w:tcPr>
          <w:p>
            <w:pPr>
              <w:jc w:val="right"/>
              <w:ind w:right="200"/>
              <w:spacing w:after="0"/>
              <w:rPr>
                <w:sz w:val="20"/>
                <w:szCs w:val="20"/>
                <w:color w:val="auto"/>
              </w:rPr>
            </w:pPr>
            <w:r>
              <w:rPr>
                <w:rFonts w:ascii="Arial" w:cs="Arial" w:eastAsia="Arial" w:hAnsi="Arial"/>
                <w:sz w:val="16"/>
                <w:szCs w:val="16"/>
                <w:color w:val="auto"/>
              </w:rPr>
              <w:t>10,000</w:t>
            </w:r>
          </w:p>
        </w:tc>
      </w:tr>
      <w:tr>
        <w:trPr>
          <w:trHeight w:val="281"/>
        </w:trPr>
        <w:tc>
          <w:tcPr>
            <w:tcW w:w="4580" w:type="dxa"/>
            <w:vAlign w:val="bottom"/>
          </w:tcPr>
          <w:p>
            <w:pPr>
              <w:spacing w:after="0"/>
              <w:rPr>
                <w:sz w:val="20"/>
                <w:szCs w:val="20"/>
                <w:color w:val="auto"/>
              </w:rPr>
            </w:pPr>
            <w:r>
              <w:rPr>
                <w:rFonts w:ascii="Arial" w:cs="Arial" w:eastAsia="Arial" w:hAnsi="Arial"/>
                <w:sz w:val="16"/>
                <w:szCs w:val="16"/>
                <w:color w:val="auto"/>
              </w:rPr>
              <w:t>Members</w:t>
            </w: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780" w:type="dxa"/>
            <w:vAlign w:val="bottom"/>
            <w:gridSpan w:val="2"/>
          </w:tcPr>
          <w:p>
            <w:pPr>
              <w:jc w:val="right"/>
              <w:ind w:right="200"/>
              <w:spacing w:after="0"/>
              <w:rPr>
                <w:sz w:val="20"/>
                <w:szCs w:val="20"/>
                <w:color w:val="auto"/>
              </w:rPr>
            </w:pPr>
            <w:r>
              <w:rPr>
                <w:rFonts w:ascii="Arial" w:cs="Arial" w:eastAsia="Arial" w:hAnsi="Arial"/>
                <w:sz w:val="16"/>
                <w:szCs w:val="16"/>
                <w:color w:val="auto"/>
              </w:rPr>
              <w:t>5,000</w:t>
            </w:r>
          </w:p>
        </w:tc>
      </w:tr>
      <w:tr>
        <w:trPr>
          <w:trHeight w:val="281"/>
        </w:trPr>
        <w:tc>
          <w:tcPr>
            <w:tcW w:w="4580" w:type="dxa"/>
            <w:vAlign w:val="bottom"/>
            <w:shd w:val="clear" w:color="auto" w:fill="CCECFF"/>
          </w:tcPr>
          <w:p>
            <w:pPr>
              <w:spacing w:after="0"/>
              <w:rPr>
                <w:sz w:val="20"/>
                <w:szCs w:val="20"/>
                <w:color w:val="auto"/>
              </w:rPr>
            </w:pPr>
            <w:r>
              <w:rPr>
                <w:rFonts w:ascii="Arial" w:cs="Arial" w:eastAsia="Arial" w:hAnsi="Arial"/>
                <w:sz w:val="16"/>
                <w:szCs w:val="16"/>
                <w:b w:val="1"/>
                <w:bCs w:val="1"/>
                <w:color w:val="auto"/>
              </w:rPr>
              <w:t>Nominating and Corporate Governance Committee:</w:t>
            </w:r>
          </w:p>
        </w:tc>
        <w:tc>
          <w:tcPr>
            <w:tcW w:w="380" w:type="dxa"/>
            <w:vAlign w:val="bottom"/>
            <w:shd w:val="clear" w:color="auto" w:fill="CCECFF"/>
          </w:tcPr>
          <w:p>
            <w:pPr>
              <w:spacing w:after="0"/>
              <w:rPr>
                <w:sz w:val="24"/>
                <w:szCs w:val="24"/>
                <w:color w:val="auto"/>
              </w:rPr>
            </w:pPr>
          </w:p>
        </w:tc>
        <w:tc>
          <w:tcPr>
            <w:tcW w:w="100" w:type="dxa"/>
            <w:vAlign w:val="bottom"/>
            <w:shd w:val="clear" w:color="auto" w:fill="CCECFF"/>
          </w:tcPr>
          <w:p>
            <w:pPr>
              <w:spacing w:after="0"/>
              <w:rPr>
                <w:sz w:val="24"/>
                <w:szCs w:val="24"/>
                <w:color w:val="auto"/>
              </w:rPr>
            </w:pPr>
          </w:p>
        </w:tc>
        <w:tc>
          <w:tcPr>
            <w:tcW w:w="1580" w:type="dxa"/>
            <w:vAlign w:val="bottom"/>
            <w:shd w:val="clear" w:color="auto" w:fill="CCECFF"/>
          </w:tcPr>
          <w:p>
            <w:pPr>
              <w:spacing w:after="0"/>
              <w:rPr>
                <w:sz w:val="24"/>
                <w:szCs w:val="24"/>
                <w:color w:val="auto"/>
              </w:rPr>
            </w:pPr>
          </w:p>
        </w:tc>
        <w:tc>
          <w:tcPr>
            <w:tcW w:w="200" w:type="dxa"/>
            <w:vAlign w:val="bottom"/>
            <w:shd w:val="clear" w:color="auto" w:fill="CCECFF"/>
          </w:tcPr>
          <w:p>
            <w:pPr>
              <w:spacing w:after="0"/>
              <w:rPr>
                <w:sz w:val="24"/>
                <w:szCs w:val="24"/>
                <w:color w:val="auto"/>
              </w:rPr>
            </w:pPr>
          </w:p>
        </w:tc>
      </w:tr>
      <w:tr>
        <w:trPr>
          <w:trHeight w:val="278"/>
        </w:trPr>
        <w:tc>
          <w:tcPr>
            <w:tcW w:w="4580" w:type="dxa"/>
            <w:vAlign w:val="bottom"/>
          </w:tcPr>
          <w:p>
            <w:pPr>
              <w:spacing w:after="0"/>
              <w:rPr>
                <w:sz w:val="20"/>
                <w:szCs w:val="20"/>
                <w:color w:val="auto"/>
              </w:rPr>
            </w:pPr>
            <w:r>
              <w:rPr>
                <w:rFonts w:ascii="Arial" w:cs="Arial" w:eastAsia="Arial" w:hAnsi="Arial"/>
                <w:sz w:val="16"/>
                <w:szCs w:val="16"/>
                <w:color w:val="auto"/>
              </w:rPr>
              <w:t>Chair</w:t>
            </w: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780" w:type="dxa"/>
            <w:vAlign w:val="bottom"/>
            <w:gridSpan w:val="2"/>
          </w:tcPr>
          <w:p>
            <w:pPr>
              <w:jc w:val="right"/>
              <w:ind w:right="200"/>
              <w:spacing w:after="0"/>
              <w:rPr>
                <w:sz w:val="20"/>
                <w:szCs w:val="20"/>
                <w:color w:val="auto"/>
              </w:rPr>
            </w:pPr>
            <w:r>
              <w:rPr>
                <w:rFonts w:ascii="Arial" w:cs="Arial" w:eastAsia="Arial" w:hAnsi="Arial"/>
                <w:sz w:val="16"/>
                <w:szCs w:val="16"/>
                <w:color w:val="auto"/>
              </w:rPr>
              <w:t>8,000</w:t>
            </w:r>
          </w:p>
        </w:tc>
      </w:tr>
      <w:tr>
        <w:trPr>
          <w:trHeight w:val="281"/>
        </w:trPr>
        <w:tc>
          <w:tcPr>
            <w:tcW w:w="4580" w:type="dxa"/>
            <w:vAlign w:val="bottom"/>
            <w:shd w:val="clear" w:color="auto" w:fill="CCECFF"/>
          </w:tcPr>
          <w:p>
            <w:pPr>
              <w:spacing w:after="0"/>
              <w:rPr>
                <w:sz w:val="20"/>
                <w:szCs w:val="20"/>
                <w:color w:val="auto"/>
              </w:rPr>
            </w:pPr>
            <w:r>
              <w:rPr>
                <w:rFonts w:ascii="Arial" w:cs="Arial" w:eastAsia="Arial" w:hAnsi="Arial"/>
                <w:sz w:val="16"/>
                <w:szCs w:val="16"/>
                <w:color w:val="auto"/>
              </w:rPr>
              <w:t>Members</w:t>
            </w:r>
          </w:p>
        </w:tc>
        <w:tc>
          <w:tcPr>
            <w:tcW w:w="380" w:type="dxa"/>
            <w:vAlign w:val="bottom"/>
            <w:shd w:val="clear" w:color="auto" w:fill="CCECFF"/>
          </w:tcPr>
          <w:p>
            <w:pPr>
              <w:spacing w:after="0"/>
              <w:rPr>
                <w:sz w:val="24"/>
                <w:szCs w:val="24"/>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16"/>
                <w:szCs w:val="16"/>
                <w:color w:val="auto"/>
                <w:w w:val="89"/>
                <w:shd w:val="clear" w:color="auto" w:fill="CCECFF"/>
              </w:rPr>
              <w:t>$</w:t>
            </w:r>
          </w:p>
        </w:tc>
        <w:tc>
          <w:tcPr>
            <w:tcW w:w="1780" w:type="dxa"/>
            <w:vAlign w:val="bottom"/>
            <w:gridSpan w:val="2"/>
            <w:shd w:val="clear" w:color="auto" w:fill="CCECFF"/>
          </w:tcPr>
          <w:p>
            <w:pPr>
              <w:jc w:val="right"/>
              <w:ind w:right="200"/>
              <w:spacing w:after="0"/>
              <w:rPr>
                <w:sz w:val="20"/>
                <w:szCs w:val="20"/>
                <w:color w:val="auto"/>
              </w:rPr>
            </w:pPr>
            <w:r>
              <w:rPr>
                <w:rFonts w:ascii="Arial" w:cs="Arial" w:eastAsia="Arial" w:hAnsi="Arial"/>
                <w:sz w:val="16"/>
                <w:szCs w:val="16"/>
                <w:color w:val="auto"/>
              </w:rPr>
              <w:t>4,000</w:t>
            </w:r>
          </w:p>
        </w:tc>
      </w:tr>
    </w:tbl>
    <w:p>
      <w:pPr>
        <w:spacing w:after="0" w:line="200" w:lineRule="exact"/>
        <w:rPr>
          <w:sz w:val="20"/>
          <w:szCs w:val="20"/>
          <w:color w:val="auto"/>
        </w:rPr>
      </w:pPr>
    </w:p>
    <w:p>
      <w:pPr>
        <w:spacing w:after="0" w:line="239" w:lineRule="exact"/>
        <w:rPr>
          <w:sz w:val="20"/>
          <w:szCs w:val="20"/>
          <w:color w:val="auto"/>
        </w:rPr>
      </w:pPr>
    </w:p>
    <w:p>
      <w:pPr>
        <w:ind w:right="60"/>
        <w:spacing w:after="0" w:line="245" w:lineRule="auto"/>
        <w:rPr>
          <w:sz w:val="20"/>
          <w:szCs w:val="20"/>
          <w:color w:val="auto"/>
        </w:rPr>
      </w:pPr>
      <w:r>
        <w:rPr>
          <w:rFonts w:ascii="Arial" w:cs="Arial" w:eastAsia="Arial" w:hAnsi="Arial"/>
          <w:sz w:val="20"/>
          <w:szCs w:val="20"/>
          <w:color w:val="auto"/>
        </w:rPr>
        <w:t>In addition, each non-employee director elected or appointed to our board of directors will be granted an initial one-time non-qualified stock option to purchase 28,480 shares of our common stock, based on the current fair market value of our common stock, which shall vest in equal monthly installments over three years from the date of grant, subject to continued service through such vesting date(s). In addition, at the end of each year, each non-employee director, other than a director receiving an initial equity award, will be granted a non-qualified stock option to purchase 14,240 shares of our common stock, based on the then fair market value of our common stock, which will vest and become fully exercisable upon the earlier of (i) the first anniversary of the grant date or (ii) our next annual meeting of stockholders, subject to such director’s continued service as a director through such vesting date(s).</w:t>
      </w:r>
    </w:p>
    <w:p>
      <w:pPr>
        <w:sectPr>
          <w:pgSz w:w="12240" w:h="15840" w:orient="portrait"/>
          <w:cols w:equalWidth="0" w:num="1">
            <w:col w:w="9360"/>
          </w:cols>
          <w:pgMar w:left="1440" w:top="1424" w:right="1440" w:bottom="1050" w:gutter="0" w:footer="0" w:header="0"/>
        </w:sectPr>
      </w:pPr>
    </w:p>
    <w:bookmarkStart w:id="164" w:name="page165"/>
    <w:bookmarkEnd w:id="164"/>
    <w:p>
      <w:pPr>
        <w:ind w:right="1020"/>
        <w:spacing w:after="0" w:line="309" w:lineRule="auto"/>
        <w:rPr>
          <w:sz w:val="20"/>
          <w:szCs w:val="20"/>
          <w:color w:val="auto"/>
        </w:rPr>
      </w:pPr>
      <w:r>
        <w:rPr>
          <w:rFonts w:ascii="Arial" w:cs="Arial" w:eastAsia="Arial" w:hAnsi="Arial"/>
          <w:sz w:val="19"/>
          <w:szCs w:val="19"/>
          <w:b w:val="1"/>
          <w:bCs w:val="1"/>
          <w:color w:val="auto"/>
        </w:rPr>
        <w:t>Item 12. Security Ownership of Certain Beneficial Owners and Management and Related Stockholder Matters.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323" w:lineRule="exact"/>
        <w:rPr>
          <w:sz w:val="20"/>
          <w:szCs w:val="20"/>
          <w:color w:val="auto"/>
        </w:rPr>
      </w:pPr>
    </w:p>
    <w:p>
      <w:pPr>
        <w:ind w:right="780"/>
        <w:spacing w:after="0" w:line="273" w:lineRule="auto"/>
        <w:rPr>
          <w:sz w:val="20"/>
          <w:szCs w:val="20"/>
          <w:color w:val="auto"/>
        </w:rPr>
      </w:pPr>
      <w:r>
        <w:rPr>
          <w:rFonts w:ascii="Arial" w:cs="Arial" w:eastAsia="Arial" w:hAnsi="Arial"/>
          <w:sz w:val="19"/>
          <w:szCs w:val="19"/>
          <w:color w:val="auto"/>
        </w:rPr>
        <w:t>The following table provides information relating to our equity compensation plans as of December 31, 2023. As of December 31, 2023, we had two equity compensation plans, our 2021 Stock Option and Incentive Plan and our Employee Stock Purchase Plan, which were approved by our Board of Directors and our stockholders.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9"/>
              </w:rPr>
              <w:t>Number of</w:t>
            </w:r>
          </w:p>
        </w:tc>
        <w:tc>
          <w:tcPr>
            <w:tcW w:w="0" w:type="dxa"/>
            <w:vAlign w:val="bottom"/>
          </w:tcPr>
          <w:p>
            <w:pPr>
              <w:spacing w:after="0"/>
              <w:rPr>
                <w:sz w:val="1"/>
                <w:szCs w:val="1"/>
                <w:color w:val="auto"/>
              </w:rPr>
            </w:pPr>
          </w:p>
        </w:tc>
      </w:tr>
      <w:tr>
        <w:trPr>
          <w:trHeight w:val="185"/>
        </w:trPr>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rPr>
              <w:t>securities</w:t>
            </w:r>
          </w:p>
        </w:tc>
        <w:tc>
          <w:tcPr>
            <w:tcW w:w="0" w:type="dxa"/>
            <w:vAlign w:val="bottom"/>
          </w:tcPr>
          <w:p>
            <w:pPr>
              <w:spacing w:after="0"/>
              <w:rPr>
                <w:sz w:val="1"/>
                <w:szCs w:val="1"/>
                <w:color w:val="auto"/>
              </w:rPr>
            </w:pPr>
          </w:p>
        </w:tc>
      </w:tr>
      <w:tr>
        <w:trPr>
          <w:trHeight w:val="182"/>
        </w:trPr>
        <w:tc>
          <w:tcPr>
            <w:tcW w:w="2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9"/>
              </w:rPr>
              <w:t>remaining</w:t>
            </w:r>
          </w:p>
        </w:tc>
        <w:tc>
          <w:tcPr>
            <w:tcW w:w="0" w:type="dxa"/>
            <w:vAlign w:val="bottom"/>
          </w:tcPr>
          <w:p>
            <w:pPr>
              <w:spacing w:after="0"/>
              <w:rPr>
                <w:sz w:val="1"/>
                <w:szCs w:val="1"/>
                <w:color w:val="auto"/>
              </w:rPr>
            </w:pPr>
          </w:p>
        </w:tc>
      </w:tr>
      <w:tr>
        <w:trPr>
          <w:trHeight w:val="185"/>
        </w:trPr>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rPr>
              <w:t>available for future</w:t>
            </w:r>
          </w:p>
        </w:tc>
        <w:tc>
          <w:tcPr>
            <w:tcW w:w="0" w:type="dxa"/>
            <w:vAlign w:val="bottom"/>
          </w:tcPr>
          <w:p>
            <w:pPr>
              <w:spacing w:after="0"/>
              <w:rPr>
                <w:sz w:val="1"/>
                <w:szCs w:val="1"/>
                <w:color w:val="auto"/>
              </w:rPr>
            </w:pPr>
          </w:p>
        </w:tc>
      </w:tr>
      <w:tr>
        <w:trPr>
          <w:trHeight w:val="185"/>
        </w:trPr>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8"/>
              </w:rPr>
              <w:t>issuance under</w:t>
            </w:r>
          </w:p>
        </w:tc>
        <w:tc>
          <w:tcPr>
            <w:tcW w:w="0" w:type="dxa"/>
            <w:vAlign w:val="bottom"/>
          </w:tcPr>
          <w:p>
            <w:pPr>
              <w:spacing w:after="0"/>
              <w:rPr>
                <w:sz w:val="1"/>
                <w:szCs w:val="1"/>
                <w:color w:val="auto"/>
              </w:rPr>
            </w:pPr>
          </w:p>
        </w:tc>
      </w:tr>
      <w:tr>
        <w:trPr>
          <w:trHeight w:val="182"/>
        </w:trPr>
        <w:tc>
          <w:tcPr>
            <w:tcW w:w="2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Number of securities to</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Weighted-average exercise</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185"/>
        </w:trPr>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9"/>
              </w:rPr>
              <w:t>compensation</w:t>
            </w:r>
          </w:p>
        </w:tc>
        <w:tc>
          <w:tcPr>
            <w:tcW w:w="0" w:type="dxa"/>
            <w:vAlign w:val="bottom"/>
          </w:tcPr>
          <w:p>
            <w:pPr>
              <w:spacing w:after="0"/>
              <w:rPr>
                <w:sz w:val="1"/>
                <w:szCs w:val="1"/>
                <w:color w:val="auto"/>
              </w:rPr>
            </w:pPr>
          </w:p>
        </w:tc>
      </w:tr>
      <w:tr>
        <w:trPr>
          <w:trHeight w:val="185"/>
        </w:trPr>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rPr>
              <w:t>be issued upon exercise</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jc w:val="center"/>
              <w:spacing w:after="0"/>
              <w:rPr>
                <w:sz w:val="20"/>
                <w:szCs w:val="20"/>
                <w:color w:val="auto"/>
              </w:rPr>
            </w:pPr>
            <w:r>
              <w:rPr>
                <w:rFonts w:ascii="Arial" w:cs="Arial" w:eastAsia="Arial" w:hAnsi="Arial"/>
                <w:sz w:val="16"/>
                <w:szCs w:val="16"/>
                <w:b w:val="1"/>
                <w:bCs w:val="1"/>
                <w:color w:val="auto"/>
              </w:rPr>
              <w:t>price of outstanding</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rPr>
              <w:t>plans (excluding</w:t>
            </w:r>
          </w:p>
        </w:tc>
        <w:tc>
          <w:tcPr>
            <w:tcW w:w="0" w:type="dxa"/>
            <w:vAlign w:val="bottom"/>
          </w:tcPr>
          <w:p>
            <w:pPr>
              <w:spacing w:after="0"/>
              <w:rPr>
                <w:sz w:val="1"/>
                <w:szCs w:val="1"/>
                <w:color w:val="auto"/>
              </w:rPr>
            </w:pPr>
          </w:p>
        </w:tc>
      </w:tr>
      <w:tr>
        <w:trPr>
          <w:trHeight w:val="183"/>
        </w:trPr>
        <w:tc>
          <w:tcPr>
            <w:tcW w:w="2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rPr>
              <w:t>of outstanding options,</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99"/>
              </w:rPr>
              <w:t>options, warrants, and</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rPr>
              <w:t>securities reflected</w:t>
            </w:r>
          </w:p>
        </w:tc>
        <w:tc>
          <w:tcPr>
            <w:tcW w:w="0" w:type="dxa"/>
            <w:vAlign w:val="bottom"/>
          </w:tcPr>
          <w:p>
            <w:pPr>
              <w:spacing w:after="0"/>
              <w:rPr>
                <w:sz w:val="1"/>
                <w:szCs w:val="1"/>
                <w:color w:val="auto"/>
              </w:rPr>
            </w:pPr>
          </w:p>
        </w:tc>
      </w:tr>
      <w:tr>
        <w:trPr>
          <w:trHeight w:val="203"/>
        </w:trPr>
        <w:tc>
          <w:tcPr>
            <w:tcW w:w="2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warrants, and rights (#)</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rights ($)</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in column (a)) (#)</w:t>
            </w:r>
          </w:p>
        </w:tc>
        <w:tc>
          <w:tcPr>
            <w:tcW w:w="0" w:type="dxa"/>
            <w:vAlign w:val="bottom"/>
          </w:tcPr>
          <w:p>
            <w:pPr>
              <w:spacing w:after="0"/>
              <w:rPr>
                <w:sz w:val="1"/>
                <w:szCs w:val="1"/>
                <w:color w:val="auto"/>
              </w:rPr>
            </w:pPr>
          </w:p>
        </w:tc>
      </w:tr>
      <w:tr>
        <w:trPr>
          <w:trHeight w:val="158"/>
        </w:trPr>
        <w:tc>
          <w:tcPr>
            <w:tcW w:w="2160" w:type="dxa"/>
            <w:vAlign w:val="bottom"/>
            <w:shd w:val="clear" w:color="auto" w:fill="CFF0FC"/>
          </w:tcPr>
          <w:p>
            <w:pPr>
              <w:ind w:left="100"/>
              <w:spacing w:after="0" w:line="158" w:lineRule="exact"/>
              <w:rPr>
                <w:sz w:val="20"/>
                <w:szCs w:val="20"/>
                <w:color w:val="auto"/>
              </w:rPr>
            </w:pPr>
            <w:r>
              <w:rPr>
                <w:rFonts w:ascii="Arial" w:cs="Arial" w:eastAsia="Arial" w:hAnsi="Arial"/>
                <w:sz w:val="16"/>
                <w:szCs w:val="16"/>
                <w:color w:val="auto"/>
              </w:rPr>
              <w:t>Equity compensation plans</w:t>
            </w: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9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1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approved by stockholders</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9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5,666,621</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1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6"/>
              </w:rPr>
              <w:t>2.47</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1,122,376</w:t>
            </w:r>
          </w:p>
        </w:tc>
        <w:tc>
          <w:tcPr>
            <w:tcW w:w="0" w:type="dxa"/>
            <w:vAlign w:val="bottom"/>
          </w:tcPr>
          <w:p>
            <w:pPr>
              <w:spacing w:after="0"/>
              <w:rPr>
                <w:sz w:val="1"/>
                <w:szCs w:val="1"/>
                <w:color w:val="auto"/>
              </w:rPr>
            </w:pPr>
          </w:p>
        </w:tc>
      </w:tr>
      <w:tr>
        <w:trPr>
          <w:trHeight w:val="166"/>
        </w:trPr>
        <w:tc>
          <w:tcPr>
            <w:tcW w:w="2160" w:type="dxa"/>
            <w:vAlign w:val="bottom"/>
          </w:tcPr>
          <w:p>
            <w:pPr>
              <w:ind w:left="100"/>
              <w:spacing w:after="0" w:line="167" w:lineRule="exact"/>
              <w:rPr>
                <w:sz w:val="20"/>
                <w:szCs w:val="20"/>
                <w:color w:val="auto"/>
              </w:rPr>
            </w:pPr>
            <w:r>
              <w:rPr>
                <w:rFonts w:ascii="Arial" w:cs="Arial" w:eastAsia="Arial" w:hAnsi="Arial"/>
                <w:sz w:val="16"/>
                <w:szCs w:val="16"/>
                <w:color w:val="auto"/>
              </w:rPr>
              <w:t>Equity compensation plans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160" w:type="dxa"/>
            <w:vAlign w:val="bottom"/>
          </w:tcPr>
          <w:p>
            <w:pPr>
              <w:ind w:left="100"/>
              <w:spacing w:after="0"/>
              <w:rPr>
                <w:sz w:val="20"/>
                <w:szCs w:val="20"/>
                <w:color w:val="auto"/>
              </w:rPr>
            </w:pPr>
            <w:r>
              <w:rPr>
                <w:rFonts w:ascii="Arial" w:cs="Arial" w:eastAsia="Arial" w:hAnsi="Arial"/>
                <w:sz w:val="16"/>
                <w:szCs w:val="16"/>
                <w:color w:val="auto"/>
              </w:rPr>
              <w:t>not approved by</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160" w:type="dxa"/>
            <w:vAlign w:val="bottom"/>
          </w:tcPr>
          <w:p>
            <w:pPr>
              <w:ind w:left="100"/>
              <w:spacing w:after="0"/>
              <w:rPr>
                <w:sz w:val="20"/>
                <w:szCs w:val="20"/>
                <w:color w:val="auto"/>
              </w:rPr>
            </w:pPr>
            <w:r>
              <w:rPr>
                <w:rFonts w:ascii="Arial" w:cs="Arial" w:eastAsia="Arial" w:hAnsi="Arial"/>
                <w:sz w:val="16"/>
                <w:szCs w:val="16"/>
                <w:color w:val="auto"/>
              </w:rPr>
              <w:t>stockholders</w:t>
            </w:r>
          </w:p>
        </w:tc>
        <w:tc>
          <w:tcPr>
            <w:tcW w:w="2400" w:type="dxa"/>
            <w:vAlign w:val="bottom"/>
            <w:gridSpan w:val="4"/>
          </w:tcPr>
          <w:p>
            <w:pPr>
              <w:jc w:val="center"/>
              <w:ind w:left="360"/>
              <w:spacing w:after="0"/>
              <w:rPr>
                <w:sz w:val="20"/>
                <w:szCs w:val="20"/>
                <w:color w:val="auto"/>
              </w:rPr>
            </w:pPr>
            <w:r>
              <w:rPr>
                <w:rFonts w:ascii="Arial" w:cs="Arial" w:eastAsia="Arial" w:hAnsi="Arial"/>
                <w:sz w:val="16"/>
                <w:szCs w:val="16"/>
                <w:color w:val="auto"/>
                <w:w w:val="74"/>
              </w:rPr>
              <w:t>-</w:t>
            </w:r>
          </w:p>
        </w:tc>
        <w:tc>
          <w:tcPr>
            <w:tcW w:w="2580" w:type="dxa"/>
            <w:vAlign w:val="bottom"/>
            <w:gridSpan w:val="4"/>
          </w:tcPr>
          <w:p>
            <w:pPr>
              <w:jc w:val="center"/>
              <w:ind w:left="360"/>
              <w:spacing w:after="0"/>
              <w:rPr>
                <w:sz w:val="20"/>
                <w:szCs w:val="20"/>
                <w:color w:val="auto"/>
              </w:rPr>
            </w:pPr>
            <w:r>
              <w:rPr>
                <w:rFonts w:ascii="Arial" w:cs="Arial" w:eastAsia="Arial" w:hAnsi="Arial"/>
                <w:sz w:val="16"/>
                <w:szCs w:val="16"/>
                <w:color w:val="auto"/>
              </w:rPr>
              <w:t>-</w:t>
            </w:r>
          </w:p>
        </w:tc>
        <w:tc>
          <w:tcPr>
            <w:tcW w:w="2000" w:type="dxa"/>
            <w:vAlign w:val="bottom"/>
            <w:gridSpan w:val="3"/>
          </w:tcPr>
          <w:p>
            <w:pPr>
              <w:jc w:val="center"/>
              <w:ind w:left="2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5"/>
        </w:trPr>
        <w:tc>
          <w:tcPr>
            <w:tcW w:w="21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Total</w:t>
            </w:r>
          </w:p>
        </w:tc>
        <w:tc>
          <w:tcPr>
            <w:tcW w:w="2400" w:type="dxa"/>
            <w:vAlign w:val="bottom"/>
            <w:gridSpan w:val="4"/>
            <w:shd w:val="clear" w:color="auto" w:fill="CFF0FC"/>
          </w:tcPr>
          <w:p>
            <w:pPr>
              <w:jc w:val="center"/>
              <w:ind w:left="360"/>
              <w:spacing w:after="0"/>
              <w:rPr>
                <w:sz w:val="20"/>
                <w:szCs w:val="20"/>
                <w:color w:val="auto"/>
              </w:rPr>
            </w:pPr>
            <w:r>
              <w:rPr>
                <w:rFonts w:ascii="Arial" w:cs="Arial" w:eastAsia="Arial" w:hAnsi="Arial"/>
                <w:sz w:val="16"/>
                <w:szCs w:val="16"/>
                <w:color w:val="auto"/>
              </w:rPr>
              <w:t>5,666,621</w:t>
            </w:r>
          </w:p>
        </w:tc>
        <w:tc>
          <w:tcPr>
            <w:tcW w:w="2580" w:type="dxa"/>
            <w:vAlign w:val="bottom"/>
            <w:gridSpan w:val="4"/>
            <w:shd w:val="clear" w:color="auto" w:fill="CFF0FC"/>
          </w:tcPr>
          <w:p>
            <w:pPr>
              <w:jc w:val="center"/>
              <w:ind w:left="360"/>
              <w:spacing w:after="0"/>
              <w:rPr>
                <w:sz w:val="20"/>
                <w:szCs w:val="20"/>
                <w:color w:val="auto"/>
              </w:rPr>
            </w:pPr>
            <w:r>
              <w:rPr>
                <w:rFonts w:ascii="Arial" w:cs="Arial" w:eastAsia="Arial" w:hAnsi="Arial"/>
                <w:sz w:val="16"/>
                <w:szCs w:val="16"/>
                <w:color w:val="auto"/>
                <w:w w:val="96"/>
              </w:rPr>
              <w:t>2.47</w:t>
            </w:r>
          </w:p>
        </w:tc>
        <w:tc>
          <w:tcPr>
            <w:tcW w:w="2000" w:type="dxa"/>
            <w:vAlign w:val="bottom"/>
            <w:gridSpan w:val="3"/>
            <w:shd w:val="clear" w:color="auto" w:fill="CFF0FC"/>
          </w:tcPr>
          <w:p>
            <w:pPr>
              <w:jc w:val="center"/>
              <w:ind w:left="240"/>
              <w:spacing w:after="0"/>
              <w:rPr>
                <w:sz w:val="20"/>
                <w:szCs w:val="20"/>
                <w:color w:val="auto"/>
              </w:rPr>
            </w:pPr>
            <w:r>
              <w:rPr>
                <w:rFonts w:ascii="Arial" w:cs="Arial" w:eastAsia="Arial" w:hAnsi="Arial"/>
                <w:sz w:val="16"/>
                <w:szCs w:val="16"/>
                <w:color w:val="auto"/>
              </w:rPr>
              <w:t>1,122,376</w:t>
            </w: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Security Ownership of Certain Beneficial Owners</w:t>
      </w:r>
    </w:p>
    <w:p>
      <w:pPr>
        <w:spacing w:after="0" w:line="245" w:lineRule="exact"/>
        <w:rPr>
          <w:sz w:val="20"/>
          <w:szCs w:val="20"/>
          <w:color w:val="auto"/>
        </w:rPr>
      </w:pPr>
    </w:p>
    <w:p>
      <w:pPr>
        <w:ind w:right="1200"/>
        <w:spacing w:after="0" w:line="295" w:lineRule="auto"/>
        <w:rPr>
          <w:sz w:val="20"/>
          <w:szCs w:val="20"/>
          <w:color w:val="auto"/>
        </w:rPr>
      </w:pPr>
      <w:r>
        <w:rPr>
          <w:rFonts w:ascii="Arial" w:cs="Arial" w:eastAsia="Arial" w:hAnsi="Arial"/>
          <w:sz w:val="19"/>
          <w:szCs w:val="19"/>
          <w:color w:val="auto"/>
        </w:rPr>
        <w:t>The following table sets forth certain information known to us regarding beneficial ownership of our capital stock outstanding as of April 1, 2024 for:</w:t>
      </w:r>
    </w:p>
    <w:p>
      <w:pPr>
        <w:spacing w:after="0" w:line="200" w:lineRule="exact"/>
        <w:rPr>
          <w:sz w:val="20"/>
          <w:szCs w:val="20"/>
          <w:color w:val="auto"/>
        </w:rPr>
      </w:pPr>
    </w:p>
    <w:p>
      <w:pPr>
        <w:ind w:left="720" w:right="1260" w:hanging="360"/>
        <w:spacing w:after="0" w:line="303" w:lineRule="auto"/>
        <w:tabs>
          <w:tab w:leader="none" w:pos="720" w:val="left"/>
        </w:tabs>
        <w:numPr>
          <w:ilvl w:val="0"/>
          <w:numId w:val="104"/>
        </w:numPr>
        <w:rPr>
          <w:rFonts w:ascii="Arial" w:cs="Arial" w:eastAsia="Arial" w:hAnsi="Arial"/>
          <w:sz w:val="18"/>
          <w:szCs w:val="18"/>
          <w:color w:val="auto"/>
        </w:rPr>
      </w:pPr>
      <w:r>
        <w:rPr>
          <w:rFonts w:ascii="Arial" w:cs="Arial" w:eastAsia="Arial" w:hAnsi="Arial"/>
          <w:sz w:val="19"/>
          <w:szCs w:val="19"/>
          <w:color w:val="auto"/>
        </w:rPr>
        <w:t>each person, or group of affiliated persons, who is known by us to be the beneficial owner of five percent or more of our outstanding common stock;</w:t>
      </w:r>
    </w:p>
    <w:p>
      <w:pPr>
        <w:ind w:left="720" w:hanging="360"/>
        <w:spacing w:after="0"/>
        <w:tabs>
          <w:tab w:leader="none" w:pos="720" w:val="left"/>
        </w:tabs>
        <w:numPr>
          <w:ilvl w:val="0"/>
          <w:numId w:val="104"/>
        </w:numPr>
        <w:rPr>
          <w:rFonts w:ascii="Arial" w:cs="Arial" w:eastAsia="Arial" w:hAnsi="Arial"/>
          <w:sz w:val="18"/>
          <w:szCs w:val="18"/>
          <w:color w:val="auto"/>
        </w:rPr>
      </w:pPr>
      <w:r>
        <w:rPr>
          <w:rFonts w:ascii="Arial" w:cs="Arial" w:eastAsia="Arial" w:hAnsi="Arial"/>
          <w:sz w:val="19"/>
          <w:szCs w:val="19"/>
          <w:color w:val="auto"/>
        </w:rPr>
        <w:t>each of our directors;</w:t>
      </w:r>
    </w:p>
    <w:p>
      <w:pPr>
        <w:spacing w:after="0" w:line="57" w:lineRule="exact"/>
        <w:rPr>
          <w:rFonts w:ascii="Arial" w:cs="Arial" w:eastAsia="Arial" w:hAnsi="Arial"/>
          <w:sz w:val="18"/>
          <w:szCs w:val="18"/>
          <w:color w:val="auto"/>
        </w:rPr>
      </w:pPr>
    </w:p>
    <w:p>
      <w:pPr>
        <w:ind w:left="720" w:hanging="360"/>
        <w:spacing w:after="0"/>
        <w:tabs>
          <w:tab w:leader="none" w:pos="720" w:val="left"/>
        </w:tabs>
        <w:numPr>
          <w:ilvl w:val="0"/>
          <w:numId w:val="104"/>
        </w:numPr>
        <w:rPr>
          <w:rFonts w:ascii="Arial" w:cs="Arial" w:eastAsia="Arial" w:hAnsi="Arial"/>
          <w:sz w:val="18"/>
          <w:szCs w:val="18"/>
          <w:color w:val="auto"/>
        </w:rPr>
      </w:pPr>
      <w:r>
        <w:rPr>
          <w:rFonts w:ascii="Arial" w:cs="Arial" w:eastAsia="Arial" w:hAnsi="Arial"/>
          <w:sz w:val="19"/>
          <w:szCs w:val="19"/>
          <w:color w:val="auto"/>
        </w:rPr>
        <w:t>each of our named executive officers; and</w:t>
      </w:r>
    </w:p>
    <w:p>
      <w:pPr>
        <w:spacing w:after="0" w:line="57" w:lineRule="exact"/>
        <w:rPr>
          <w:rFonts w:ascii="Arial" w:cs="Arial" w:eastAsia="Arial" w:hAnsi="Arial"/>
          <w:sz w:val="18"/>
          <w:szCs w:val="18"/>
          <w:color w:val="auto"/>
        </w:rPr>
      </w:pPr>
    </w:p>
    <w:p>
      <w:pPr>
        <w:ind w:left="720" w:hanging="360"/>
        <w:spacing w:after="0"/>
        <w:tabs>
          <w:tab w:leader="none" w:pos="720" w:val="left"/>
        </w:tabs>
        <w:numPr>
          <w:ilvl w:val="0"/>
          <w:numId w:val="104"/>
        </w:numPr>
        <w:rPr>
          <w:rFonts w:ascii="Arial" w:cs="Arial" w:eastAsia="Arial" w:hAnsi="Arial"/>
          <w:sz w:val="18"/>
          <w:szCs w:val="18"/>
          <w:color w:val="auto"/>
        </w:rPr>
      </w:pPr>
      <w:r>
        <w:rPr>
          <w:rFonts w:ascii="Arial" w:cs="Arial" w:eastAsia="Arial" w:hAnsi="Arial"/>
          <w:sz w:val="19"/>
          <w:szCs w:val="19"/>
          <w:color w:val="auto"/>
        </w:rPr>
        <w:t>all of our current directors and executive officers as a group.</w:t>
      </w:r>
    </w:p>
    <w:p>
      <w:pPr>
        <w:spacing w:after="0" w:line="240" w:lineRule="exact"/>
        <w:rPr>
          <w:sz w:val="20"/>
          <w:szCs w:val="20"/>
          <w:color w:val="auto"/>
        </w:rPr>
      </w:pPr>
    </w:p>
    <w:p>
      <w:pPr>
        <w:ind w:right="820"/>
        <w:spacing w:after="0" w:line="271" w:lineRule="auto"/>
        <w:rPr>
          <w:sz w:val="20"/>
          <w:szCs w:val="20"/>
          <w:color w:val="auto"/>
        </w:rPr>
      </w:pPr>
      <w:r>
        <w:rPr>
          <w:rFonts w:ascii="Arial" w:cs="Arial" w:eastAsia="Arial" w:hAnsi="Arial"/>
          <w:sz w:val="18"/>
          <w:szCs w:val="18"/>
          <w:color w:val="auto"/>
        </w:rPr>
        <w:t>We have determined beneficial ownership in accordance with the rules of the SEC, and the information is not necessarily indicative of beneficial ownership for any other purpose. These rules generally attribute beneficial ownership of securities to persons who possess sole or shared voting power or investment power with respect to those securities as well as any shares of common stock that the person has the right to acquire within 60 days of April 1, 2024 through the exercise of stock options or other rights.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shares shown as beneficially owned by them. Each individual or entity shown on the table has furnished information with respect to beneficial ownership. Except as otherwise indicated below, the address of each officer, director and five percent stockholder listed below is c/o Candel Therapeutics, Inc., 117 Kendrick St, Suite 450, Needham, Massachusetts 02494.</w:t>
      </w:r>
    </w:p>
    <w:p>
      <w:pPr>
        <w:spacing w:after="0" w:line="186" w:lineRule="exact"/>
        <w:rPr>
          <w:sz w:val="20"/>
          <w:szCs w:val="20"/>
          <w:color w:val="auto"/>
        </w:rPr>
      </w:pPr>
    </w:p>
    <w:p>
      <w:pPr>
        <w:ind w:right="1100"/>
        <w:spacing w:after="0" w:line="295" w:lineRule="auto"/>
        <w:rPr>
          <w:sz w:val="20"/>
          <w:szCs w:val="20"/>
          <w:color w:val="auto"/>
        </w:rPr>
      </w:pPr>
      <w:r>
        <w:rPr>
          <w:rFonts w:ascii="Arial" w:cs="Arial" w:eastAsia="Arial" w:hAnsi="Arial"/>
          <w:sz w:val="19"/>
          <w:szCs w:val="19"/>
          <w:color w:val="auto"/>
        </w:rPr>
        <w:t>The percentage of beneficial ownership in the table below is based on 29,347,468 shares of common stock deemed to be outstanding as of April 1,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640" w:type="dxa"/>
            <w:vAlign w:val="bottom"/>
            <w:vMerge w:val="restart"/>
          </w:tcPr>
          <w:p>
            <w:pPr>
              <w:ind w:left="2840"/>
              <w:spacing w:after="0"/>
              <w:rPr>
                <w:sz w:val="20"/>
                <w:szCs w:val="20"/>
                <w:color w:val="auto"/>
              </w:rPr>
            </w:pPr>
            <w:r>
              <w:rPr>
                <w:rFonts w:ascii="Arial" w:cs="Arial" w:eastAsia="Arial" w:hAnsi="Arial"/>
                <w:sz w:val="16"/>
                <w:szCs w:val="16"/>
                <w:b w:val="1"/>
                <w:bCs w:val="1"/>
                <w:color w:val="auto"/>
              </w:rPr>
              <w:t>Name (1)</w:t>
            </w:r>
          </w:p>
        </w:tc>
        <w:tc>
          <w:tcPr>
            <w:tcW w:w="3440" w:type="dxa"/>
            <w:vAlign w:val="bottom"/>
            <w:tcBorders>
              <w:bottom w:val="single" w:sz="8" w:color="auto"/>
            </w:tcBorders>
            <w:gridSpan w:val="3"/>
          </w:tcPr>
          <w:p>
            <w:pPr>
              <w:ind w:left="380"/>
              <w:spacing w:after="0"/>
              <w:rPr>
                <w:sz w:val="20"/>
                <w:szCs w:val="20"/>
                <w:color w:val="auto"/>
              </w:rPr>
            </w:pPr>
            <w:r>
              <w:rPr>
                <w:rFonts w:ascii="Arial" w:cs="Arial" w:eastAsia="Arial" w:hAnsi="Arial"/>
                <w:sz w:val="16"/>
                <w:szCs w:val="16"/>
                <w:b w:val="1"/>
                <w:bCs w:val="1"/>
                <w:color w:val="auto"/>
              </w:rPr>
              <w:t>Common Stock Beneficially Owned</w:t>
            </w:r>
          </w:p>
        </w:tc>
        <w:tc>
          <w:tcPr>
            <w:tcW w:w="0" w:type="dxa"/>
            <w:vAlign w:val="bottom"/>
          </w:tcPr>
          <w:p>
            <w:pPr>
              <w:spacing w:after="0"/>
              <w:rPr>
                <w:sz w:val="1"/>
                <w:szCs w:val="1"/>
                <w:color w:val="auto"/>
              </w:rPr>
            </w:pPr>
          </w:p>
        </w:tc>
      </w:tr>
      <w:tr>
        <w:trPr>
          <w:trHeight w:val="174"/>
        </w:trPr>
        <w:tc>
          <w:tcPr>
            <w:tcW w:w="6640" w:type="dxa"/>
            <w:vAlign w:val="bottom"/>
            <w:vMerge w:val="continue"/>
          </w:tcPr>
          <w:p>
            <w:pPr>
              <w:spacing w:after="0"/>
              <w:rPr>
                <w:sz w:val="15"/>
                <w:szCs w:val="15"/>
                <w:color w:val="auto"/>
              </w:rPr>
            </w:pPr>
          </w:p>
        </w:tc>
        <w:tc>
          <w:tcPr>
            <w:tcW w:w="1500" w:type="dxa"/>
            <w:vAlign w:val="bottom"/>
            <w:tcBorders>
              <w:bottom w:val="single" w:sz="8" w:color="auto"/>
            </w:tcBorders>
          </w:tcPr>
          <w:p>
            <w:pPr>
              <w:ind w:left="480"/>
              <w:spacing w:after="0" w:line="175" w:lineRule="exact"/>
              <w:rPr>
                <w:sz w:val="20"/>
                <w:szCs w:val="20"/>
                <w:color w:val="auto"/>
              </w:rPr>
            </w:pPr>
            <w:r>
              <w:rPr>
                <w:rFonts w:ascii="Arial" w:cs="Arial" w:eastAsia="Arial" w:hAnsi="Arial"/>
                <w:sz w:val="16"/>
                <w:szCs w:val="16"/>
                <w:b w:val="1"/>
                <w:bCs w:val="1"/>
                <w:color w:val="auto"/>
              </w:rPr>
              <w:t>Shares</w:t>
            </w:r>
          </w:p>
        </w:tc>
        <w:tc>
          <w:tcPr>
            <w:tcW w:w="340" w:type="dxa"/>
            <w:vAlign w:val="bottom"/>
          </w:tcPr>
          <w:p>
            <w:pPr>
              <w:spacing w:after="0"/>
              <w:rPr>
                <w:sz w:val="15"/>
                <w:szCs w:val="15"/>
                <w:color w:val="auto"/>
              </w:rPr>
            </w:pPr>
          </w:p>
        </w:tc>
        <w:tc>
          <w:tcPr>
            <w:tcW w:w="1600" w:type="dxa"/>
            <w:vAlign w:val="bottom"/>
            <w:tcBorders>
              <w:bottom w:val="single" w:sz="8" w:color="auto"/>
            </w:tcBorders>
          </w:tcPr>
          <w:p>
            <w:pPr>
              <w:ind w:left="360"/>
              <w:spacing w:after="0" w:line="175" w:lineRule="exact"/>
              <w:rPr>
                <w:sz w:val="20"/>
                <w:szCs w:val="20"/>
                <w:color w:val="auto"/>
              </w:rPr>
            </w:pPr>
            <w:r>
              <w:rPr>
                <w:rFonts w:ascii="Arial" w:cs="Arial" w:eastAsia="Arial" w:hAnsi="Arial"/>
                <w:sz w:val="16"/>
                <w:szCs w:val="16"/>
                <w:b w:val="1"/>
                <w:bCs w:val="1"/>
                <w:color w:val="auto"/>
              </w:rPr>
              <w:t>Percentage</w:t>
            </w:r>
          </w:p>
        </w:tc>
        <w:tc>
          <w:tcPr>
            <w:tcW w:w="0" w:type="dxa"/>
            <w:vAlign w:val="bottom"/>
          </w:tcPr>
          <w:p>
            <w:pPr>
              <w:spacing w:after="0"/>
              <w:rPr>
                <w:sz w:val="1"/>
                <w:szCs w:val="1"/>
                <w:color w:val="auto"/>
              </w:rPr>
            </w:pPr>
          </w:p>
        </w:tc>
      </w:tr>
      <w:tr>
        <w:trPr>
          <w:trHeight w:val="174"/>
        </w:trPr>
        <w:tc>
          <w:tcPr>
            <w:tcW w:w="6640" w:type="dxa"/>
            <w:vAlign w:val="bottom"/>
          </w:tcPr>
          <w:p>
            <w:pPr>
              <w:ind w:left="100"/>
              <w:spacing w:after="0" w:line="175" w:lineRule="exact"/>
              <w:rPr>
                <w:sz w:val="20"/>
                <w:szCs w:val="20"/>
                <w:color w:val="auto"/>
              </w:rPr>
            </w:pPr>
            <w:r>
              <w:rPr>
                <w:rFonts w:ascii="Arial" w:cs="Arial" w:eastAsia="Arial" w:hAnsi="Arial"/>
                <w:sz w:val="16"/>
                <w:szCs w:val="16"/>
                <w:b w:val="1"/>
                <w:bCs w:val="1"/>
                <w:color w:val="auto"/>
              </w:rPr>
              <w:t>5% or Greater Stockholders:</w:t>
            </w:r>
          </w:p>
        </w:tc>
        <w:tc>
          <w:tcPr>
            <w:tcW w:w="1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640" w:type="dxa"/>
            <w:vAlign w:val="bottom"/>
            <w:shd w:val="clear" w:color="auto" w:fill="CFF0FC"/>
          </w:tcPr>
          <w:p>
            <w:pPr>
              <w:ind w:left="100"/>
              <w:spacing w:after="0"/>
              <w:rPr>
                <w:sz w:val="20"/>
                <w:szCs w:val="20"/>
                <w:color w:val="auto"/>
              </w:rPr>
            </w:pPr>
            <w:r>
              <w:rPr>
                <w:rFonts w:ascii="Arial" w:cs="Arial" w:eastAsia="Arial" w:hAnsi="Arial"/>
                <w:sz w:val="16"/>
                <w:szCs w:val="16"/>
                <w:color w:val="auto"/>
              </w:rPr>
              <w:t>Laura K. Aguilar (2)</w:t>
            </w:r>
          </w:p>
        </w:tc>
        <w:tc>
          <w:tcPr>
            <w:tcW w:w="1500" w:type="dxa"/>
            <w:vAlign w:val="bottom"/>
            <w:shd w:val="clear" w:color="auto" w:fill="CFF0FC"/>
          </w:tcPr>
          <w:p>
            <w:pPr>
              <w:ind w:left="400"/>
              <w:spacing w:after="0"/>
              <w:rPr>
                <w:sz w:val="20"/>
                <w:szCs w:val="20"/>
                <w:color w:val="auto"/>
              </w:rPr>
            </w:pPr>
            <w:r>
              <w:rPr>
                <w:rFonts w:ascii="Arial" w:cs="Arial" w:eastAsia="Arial" w:hAnsi="Arial"/>
                <w:sz w:val="16"/>
                <w:szCs w:val="16"/>
                <w:color w:val="auto"/>
              </w:rPr>
              <w:t>6,200,755</w:t>
            </w:r>
          </w:p>
        </w:tc>
        <w:tc>
          <w:tcPr>
            <w:tcW w:w="1940" w:type="dxa"/>
            <w:vAlign w:val="bottom"/>
            <w:gridSpan w:val="2"/>
            <w:shd w:val="clear" w:color="auto" w:fill="CFF0FC"/>
          </w:tcPr>
          <w:p>
            <w:pPr>
              <w:jc w:val="right"/>
              <w:ind w:right="500"/>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19"/>
        </w:trPr>
        <w:tc>
          <w:tcPr>
            <w:tcW w:w="6640" w:type="dxa"/>
            <w:vAlign w:val="bottom"/>
          </w:tcPr>
          <w:p>
            <w:pPr>
              <w:ind w:left="100"/>
              <w:spacing w:after="0"/>
              <w:rPr>
                <w:sz w:val="20"/>
                <w:szCs w:val="20"/>
                <w:color w:val="auto"/>
              </w:rPr>
            </w:pPr>
            <w:r>
              <w:rPr>
                <w:rFonts w:ascii="Arial" w:cs="Arial" w:eastAsia="Arial" w:hAnsi="Arial"/>
                <w:sz w:val="16"/>
                <w:szCs w:val="16"/>
                <w:color w:val="auto"/>
              </w:rPr>
              <w:t>Northpond Ventures, LP (3)</w:t>
            </w:r>
          </w:p>
        </w:tc>
        <w:tc>
          <w:tcPr>
            <w:tcW w:w="1500" w:type="dxa"/>
            <w:vAlign w:val="bottom"/>
          </w:tcPr>
          <w:p>
            <w:pPr>
              <w:ind w:left="400"/>
              <w:spacing w:after="0"/>
              <w:rPr>
                <w:sz w:val="20"/>
                <w:szCs w:val="20"/>
                <w:color w:val="auto"/>
              </w:rPr>
            </w:pPr>
            <w:r>
              <w:rPr>
                <w:rFonts w:ascii="Arial" w:cs="Arial" w:eastAsia="Arial" w:hAnsi="Arial"/>
                <w:sz w:val="16"/>
                <w:szCs w:val="16"/>
                <w:color w:val="auto"/>
              </w:rPr>
              <w:t>1,685,326</w:t>
            </w:r>
          </w:p>
        </w:tc>
        <w:tc>
          <w:tcPr>
            <w:tcW w:w="1940" w:type="dxa"/>
            <w:vAlign w:val="bottom"/>
            <w:gridSpan w:val="2"/>
          </w:tcPr>
          <w:p>
            <w:pPr>
              <w:jc w:val="right"/>
              <w:ind w:right="540"/>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bl>
    <w:p>
      <w:pPr>
        <w:sectPr>
          <w:pgSz w:w="12240" w:h="15840" w:orient="portrait"/>
          <w:cols w:equalWidth="0" w:num="1">
            <w:col w:w="10080"/>
          </w:cols>
          <w:pgMar w:left="1440" w:top="1429" w:right="720" w:bottom="846" w:gutter="0" w:footer="0" w:header="0"/>
        </w:sectPr>
      </w:pPr>
    </w:p>
    <w:bookmarkStart w:id="165" w:name="page166"/>
    <w:bookmarkEnd w:id="1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60" w:type="dxa"/>
            <w:vAlign w:val="bottom"/>
          </w:tcPr>
          <w:p>
            <w:pPr>
              <w:ind w:left="100"/>
              <w:spacing w:after="0"/>
              <w:rPr>
                <w:sz w:val="20"/>
                <w:szCs w:val="20"/>
                <w:color w:val="auto"/>
              </w:rPr>
            </w:pPr>
            <w:r>
              <w:rPr>
                <w:rFonts w:ascii="Arial" w:cs="Arial" w:eastAsia="Arial" w:hAnsi="Arial"/>
                <w:sz w:val="16"/>
                <w:szCs w:val="16"/>
                <w:b w:val="1"/>
                <w:bCs w:val="1"/>
                <w:color w:val="auto"/>
              </w:rPr>
              <w:t>Executive Officers and Directors:</w:t>
            </w:r>
          </w:p>
        </w:tc>
        <w:tc>
          <w:tcPr>
            <w:tcW w:w="18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82"/>
        </w:trPr>
        <w:tc>
          <w:tcPr>
            <w:tcW w:w="6260" w:type="dxa"/>
            <w:vAlign w:val="bottom"/>
            <w:shd w:val="clear" w:color="auto" w:fill="CFF0FC"/>
          </w:tcPr>
          <w:p>
            <w:pPr>
              <w:ind w:left="100"/>
              <w:spacing w:after="0" w:line="182" w:lineRule="exact"/>
              <w:rPr>
                <w:sz w:val="20"/>
                <w:szCs w:val="20"/>
                <w:color w:val="auto"/>
              </w:rPr>
            </w:pPr>
            <w:r>
              <w:rPr>
                <w:rFonts w:ascii="Arial" w:cs="Arial" w:eastAsia="Arial" w:hAnsi="Arial"/>
                <w:sz w:val="16"/>
                <w:szCs w:val="16"/>
                <w:color w:val="auto"/>
              </w:rPr>
              <w:t>Paul Peter Tak, M.D., Ph.D. FMedSci (4)</w:t>
            </w:r>
          </w:p>
        </w:tc>
        <w:tc>
          <w:tcPr>
            <w:tcW w:w="1880" w:type="dxa"/>
            <w:vAlign w:val="bottom"/>
            <w:shd w:val="clear" w:color="auto" w:fill="CFF0FC"/>
          </w:tcPr>
          <w:p>
            <w:pPr>
              <w:jc w:val="center"/>
              <w:ind w:left="300"/>
              <w:spacing w:after="0" w:line="182" w:lineRule="exact"/>
              <w:rPr>
                <w:sz w:val="20"/>
                <w:szCs w:val="20"/>
                <w:color w:val="auto"/>
              </w:rPr>
            </w:pPr>
            <w:r>
              <w:rPr>
                <w:rFonts w:ascii="Arial" w:cs="Arial" w:eastAsia="Arial" w:hAnsi="Arial"/>
                <w:sz w:val="16"/>
                <w:szCs w:val="16"/>
                <w:color w:val="auto"/>
                <w:w w:val="98"/>
              </w:rPr>
              <w:t>1,849,481</w:t>
            </w:r>
          </w:p>
        </w:tc>
        <w:tc>
          <w:tcPr>
            <w:tcW w:w="1940" w:type="dxa"/>
            <w:vAlign w:val="bottom"/>
            <w:shd w:val="clear" w:color="auto" w:fill="CFF0FC"/>
          </w:tcPr>
          <w:p>
            <w:pPr>
              <w:jc w:val="center"/>
              <w:ind w:left="240"/>
              <w:spacing w:after="0" w:line="182" w:lineRule="exact"/>
              <w:rPr>
                <w:sz w:val="20"/>
                <w:szCs w:val="20"/>
                <w:color w:val="auto"/>
              </w:rPr>
            </w:pPr>
            <w:r>
              <w:rPr>
                <w:rFonts w:ascii="Arial" w:cs="Arial" w:eastAsia="Arial" w:hAnsi="Arial"/>
                <w:sz w:val="16"/>
                <w:szCs w:val="16"/>
                <w:color w:val="auto"/>
              </w:rPr>
              <w:t>5.9%</w:t>
            </w:r>
          </w:p>
        </w:tc>
      </w:tr>
      <w:tr>
        <w:trPr>
          <w:trHeight w:val="185"/>
        </w:trPr>
        <w:tc>
          <w:tcPr>
            <w:tcW w:w="6260" w:type="dxa"/>
            <w:vAlign w:val="bottom"/>
          </w:tcPr>
          <w:p>
            <w:pPr>
              <w:ind w:left="100"/>
              <w:spacing w:after="0"/>
              <w:rPr>
                <w:sz w:val="20"/>
                <w:szCs w:val="20"/>
                <w:color w:val="auto"/>
              </w:rPr>
            </w:pPr>
            <w:r>
              <w:rPr>
                <w:rFonts w:ascii="Arial" w:cs="Arial" w:eastAsia="Arial" w:hAnsi="Arial"/>
                <w:sz w:val="16"/>
                <w:szCs w:val="16"/>
                <w:color w:val="auto"/>
              </w:rPr>
              <w:t>Paul B. Manning (5)</w:t>
            </w:r>
          </w:p>
        </w:tc>
        <w:tc>
          <w:tcPr>
            <w:tcW w:w="1880" w:type="dxa"/>
            <w:vAlign w:val="bottom"/>
          </w:tcPr>
          <w:p>
            <w:pPr>
              <w:jc w:val="center"/>
              <w:ind w:left="300"/>
              <w:spacing w:after="0"/>
              <w:rPr>
                <w:sz w:val="20"/>
                <w:szCs w:val="20"/>
                <w:color w:val="auto"/>
              </w:rPr>
            </w:pPr>
            <w:r>
              <w:rPr>
                <w:rFonts w:ascii="Arial" w:cs="Arial" w:eastAsia="Arial" w:hAnsi="Arial"/>
                <w:sz w:val="16"/>
                <w:szCs w:val="16"/>
                <w:color w:val="auto"/>
                <w:w w:val="98"/>
              </w:rPr>
              <w:t>4,087,556</w:t>
            </w:r>
          </w:p>
        </w:tc>
        <w:tc>
          <w:tcPr>
            <w:tcW w:w="1940" w:type="dxa"/>
            <w:vAlign w:val="bottom"/>
          </w:tcPr>
          <w:p>
            <w:pPr>
              <w:jc w:val="center"/>
              <w:ind w:left="240"/>
              <w:spacing w:after="0"/>
              <w:rPr>
                <w:sz w:val="20"/>
                <w:szCs w:val="20"/>
                <w:color w:val="auto"/>
              </w:rPr>
            </w:pPr>
            <w:r>
              <w:rPr>
                <w:rFonts w:ascii="Arial" w:cs="Arial" w:eastAsia="Arial" w:hAnsi="Arial"/>
                <w:sz w:val="16"/>
                <w:szCs w:val="16"/>
                <w:color w:val="auto"/>
              </w:rPr>
              <w:t>13.4%</w:t>
            </w:r>
          </w:p>
        </w:tc>
      </w:tr>
      <w:tr>
        <w:trPr>
          <w:trHeight w:val="185"/>
        </w:trPr>
        <w:tc>
          <w:tcPr>
            <w:tcW w:w="62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Estuardo Aguilar-Cordova, M.D., inf., Ph.D. (6)</w:t>
            </w:r>
          </w:p>
        </w:tc>
        <w:tc>
          <w:tcPr>
            <w:tcW w:w="1880" w:type="dxa"/>
            <w:vAlign w:val="bottom"/>
            <w:shd w:val="clear" w:color="auto" w:fill="CFF0FC"/>
          </w:tcPr>
          <w:p>
            <w:pPr>
              <w:jc w:val="center"/>
              <w:ind w:left="300"/>
              <w:spacing w:after="0"/>
              <w:rPr>
                <w:sz w:val="20"/>
                <w:szCs w:val="20"/>
                <w:color w:val="auto"/>
              </w:rPr>
            </w:pPr>
            <w:r>
              <w:rPr>
                <w:rFonts w:ascii="Arial" w:cs="Arial" w:eastAsia="Arial" w:hAnsi="Arial"/>
                <w:sz w:val="16"/>
                <w:szCs w:val="16"/>
                <w:color w:val="auto"/>
                <w:w w:val="98"/>
              </w:rPr>
              <w:t>6,200,755</w:t>
            </w:r>
          </w:p>
        </w:tc>
        <w:tc>
          <w:tcPr>
            <w:tcW w:w="1940" w:type="dxa"/>
            <w:vAlign w:val="bottom"/>
            <w:shd w:val="clear" w:color="auto" w:fill="CFF0FC"/>
          </w:tcPr>
          <w:p>
            <w:pPr>
              <w:jc w:val="center"/>
              <w:ind w:left="240"/>
              <w:spacing w:after="0"/>
              <w:rPr>
                <w:sz w:val="20"/>
                <w:szCs w:val="20"/>
                <w:color w:val="auto"/>
              </w:rPr>
            </w:pPr>
            <w:r>
              <w:rPr>
                <w:rFonts w:ascii="Arial" w:cs="Arial" w:eastAsia="Arial" w:hAnsi="Arial"/>
                <w:sz w:val="16"/>
                <w:szCs w:val="16"/>
                <w:color w:val="auto"/>
              </w:rPr>
              <w:t>21.1%</w:t>
            </w:r>
          </w:p>
        </w:tc>
      </w:tr>
      <w:tr>
        <w:trPr>
          <w:trHeight w:val="182"/>
        </w:trPr>
        <w:tc>
          <w:tcPr>
            <w:tcW w:w="6260" w:type="dxa"/>
            <w:vAlign w:val="bottom"/>
          </w:tcPr>
          <w:p>
            <w:pPr>
              <w:ind w:left="100"/>
              <w:spacing w:after="0" w:line="182" w:lineRule="exact"/>
              <w:rPr>
                <w:sz w:val="20"/>
                <w:szCs w:val="20"/>
                <w:color w:val="auto"/>
              </w:rPr>
            </w:pPr>
            <w:r>
              <w:rPr>
                <w:rFonts w:ascii="Arial" w:cs="Arial" w:eastAsia="Arial" w:hAnsi="Arial"/>
                <w:sz w:val="16"/>
                <w:szCs w:val="16"/>
                <w:color w:val="auto"/>
              </w:rPr>
              <w:t>Edward J. Benz, Jr., M.D. (7)</w:t>
            </w:r>
          </w:p>
        </w:tc>
        <w:tc>
          <w:tcPr>
            <w:tcW w:w="1880" w:type="dxa"/>
            <w:vAlign w:val="bottom"/>
          </w:tcPr>
          <w:p>
            <w:pPr>
              <w:jc w:val="center"/>
              <w:ind w:left="300"/>
              <w:spacing w:after="0" w:line="182" w:lineRule="exact"/>
              <w:rPr>
                <w:sz w:val="20"/>
                <w:szCs w:val="20"/>
                <w:color w:val="auto"/>
              </w:rPr>
            </w:pPr>
            <w:r>
              <w:rPr>
                <w:rFonts w:ascii="Arial" w:cs="Arial" w:eastAsia="Arial" w:hAnsi="Arial"/>
                <w:sz w:val="16"/>
                <w:szCs w:val="16"/>
                <w:color w:val="auto"/>
              </w:rPr>
              <w:t>83,404</w:t>
            </w:r>
          </w:p>
        </w:tc>
        <w:tc>
          <w:tcPr>
            <w:tcW w:w="1940" w:type="dxa"/>
            <w:vAlign w:val="bottom"/>
          </w:tcPr>
          <w:p>
            <w:pPr>
              <w:jc w:val="center"/>
              <w:ind w:left="240"/>
              <w:spacing w:after="0" w:line="182" w:lineRule="exact"/>
              <w:rPr>
                <w:sz w:val="20"/>
                <w:szCs w:val="20"/>
                <w:color w:val="auto"/>
              </w:rPr>
            </w:pPr>
            <w:r>
              <w:rPr>
                <w:rFonts w:ascii="Arial" w:cs="Arial" w:eastAsia="Arial" w:hAnsi="Arial"/>
                <w:sz w:val="16"/>
                <w:szCs w:val="16"/>
                <w:color w:val="auto"/>
                <w:w w:val="95"/>
              </w:rPr>
              <w:t>*</w:t>
            </w:r>
          </w:p>
        </w:tc>
      </w:tr>
      <w:tr>
        <w:trPr>
          <w:trHeight w:val="185"/>
        </w:trPr>
        <w:tc>
          <w:tcPr>
            <w:tcW w:w="62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Renee Gaeta (8)</w:t>
            </w:r>
          </w:p>
        </w:tc>
        <w:tc>
          <w:tcPr>
            <w:tcW w:w="1880" w:type="dxa"/>
            <w:vAlign w:val="bottom"/>
            <w:shd w:val="clear" w:color="auto" w:fill="CFF0FC"/>
          </w:tcPr>
          <w:p>
            <w:pPr>
              <w:jc w:val="center"/>
              <w:ind w:left="300"/>
              <w:spacing w:after="0"/>
              <w:rPr>
                <w:sz w:val="20"/>
                <w:szCs w:val="20"/>
                <w:color w:val="auto"/>
              </w:rPr>
            </w:pPr>
            <w:r>
              <w:rPr>
                <w:rFonts w:ascii="Arial" w:cs="Arial" w:eastAsia="Arial" w:hAnsi="Arial"/>
                <w:sz w:val="16"/>
                <w:szCs w:val="16"/>
                <w:color w:val="auto"/>
              </w:rPr>
              <w:t>16,613</w:t>
            </w:r>
          </w:p>
        </w:tc>
        <w:tc>
          <w:tcPr>
            <w:tcW w:w="1940" w:type="dxa"/>
            <w:vAlign w:val="bottom"/>
            <w:shd w:val="clear" w:color="auto" w:fill="CFF0FC"/>
          </w:tcPr>
          <w:p>
            <w:pPr>
              <w:jc w:val="center"/>
              <w:ind w:left="240"/>
              <w:spacing w:after="0"/>
              <w:rPr>
                <w:sz w:val="20"/>
                <w:szCs w:val="20"/>
                <w:color w:val="auto"/>
              </w:rPr>
            </w:pPr>
            <w:r>
              <w:rPr>
                <w:rFonts w:ascii="Arial" w:cs="Arial" w:eastAsia="Arial" w:hAnsi="Arial"/>
                <w:sz w:val="16"/>
                <w:szCs w:val="16"/>
                <w:color w:val="auto"/>
                <w:w w:val="95"/>
              </w:rPr>
              <w:t>*</w:t>
            </w:r>
          </w:p>
        </w:tc>
      </w:tr>
      <w:tr>
        <w:trPr>
          <w:trHeight w:val="185"/>
        </w:trPr>
        <w:tc>
          <w:tcPr>
            <w:tcW w:w="6260" w:type="dxa"/>
            <w:vAlign w:val="bottom"/>
          </w:tcPr>
          <w:p>
            <w:pPr>
              <w:ind w:left="100"/>
              <w:spacing w:after="0"/>
              <w:rPr>
                <w:sz w:val="20"/>
                <w:szCs w:val="20"/>
                <w:color w:val="auto"/>
              </w:rPr>
            </w:pPr>
            <w:r>
              <w:rPr>
                <w:rFonts w:ascii="Arial" w:cs="Arial" w:eastAsia="Arial" w:hAnsi="Arial"/>
                <w:sz w:val="16"/>
                <w:szCs w:val="16"/>
                <w:color w:val="auto"/>
              </w:rPr>
              <w:t>Nicoletta Loggia, Ph.D., R.Ph. (9)</w:t>
            </w:r>
          </w:p>
        </w:tc>
        <w:tc>
          <w:tcPr>
            <w:tcW w:w="1880" w:type="dxa"/>
            <w:vAlign w:val="bottom"/>
          </w:tcPr>
          <w:p>
            <w:pPr>
              <w:jc w:val="center"/>
              <w:ind w:left="280"/>
              <w:spacing w:after="0"/>
              <w:rPr>
                <w:sz w:val="20"/>
                <w:szCs w:val="20"/>
                <w:color w:val="auto"/>
              </w:rPr>
            </w:pPr>
            <w:r>
              <w:rPr>
                <w:rFonts w:ascii="Arial" w:cs="Arial" w:eastAsia="Arial" w:hAnsi="Arial"/>
                <w:sz w:val="16"/>
                <w:szCs w:val="16"/>
                <w:color w:val="auto"/>
                <w:w w:val="99"/>
              </w:rPr>
              <w:t>8,702</w:t>
            </w:r>
          </w:p>
        </w:tc>
        <w:tc>
          <w:tcPr>
            <w:tcW w:w="1940" w:type="dxa"/>
            <w:vAlign w:val="bottom"/>
          </w:tcPr>
          <w:p>
            <w:pPr>
              <w:jc w:val="center"/>
              <w:ind w:left="240"/>
              <w:spacing w:after="0"/>
              <w:rPr>
                <w:sz w:val="20"/>
                <w:szCs w:val="20"/>
                <w:color w:val="auto"/>
              </w:rPr>
            </w:pPr>
            <w:r>
              <w:rPr>
                <w:rFonts w:ascii="Arial" w:cs="Arial" w:eastAsia="Arial" w:hAnsi="Arial"/>
                <w:sz w:val="16"/>
                <w:szCs w:val="16"/>
                <w:color w:val="auto"/>
                <w:w w:val="95"/>
              </w:rPr>
              <w:t>*</w:t>
            </w:r>
          </w:p>
        </w:tc>
      </w:tr>
      <w:tr>
        <w:trPr>
          <w:trHeight w:val="182"/>
        </w:trPr>
        <w:tc>
          <w:tcPr>
            <w:tcW w:w="6260" w:type="dxa"/>
            <w:vAlign w:val="bottom"/>
            <w:shd w:val="clear" w:color="auto" w:fill="CFF0FC"/>
          </w:tcPr>
          <w:p>
            <w:pPr>
              <w:ind w:left="100"/>
              <w:spacing w:after="0" w:line="182" w:lineRule="exact"/>
              <w:rPr>
                <w:sz w:val="20"/>
                <w:szCs w:val="20"/>
                <w:color w:val="auto"/>
              </w:rPr>
            </w:pPr>
            <w:r>
              <w:rPr>
                <w:rFonts w:ascii="Arial" w:cs="Arial" w:eastAsia="Arial" w:hAnsi="Arial"/>
                <w:sz w:val="16"/>
                <w:szCs w:val="16"/>
                <w:color w:val="auto"/>
              </w:rPr>
              <w:t>Christopher Martell (10)</w:t>
            </w:r>
          </w:p>
        </w:tc>
        <w:tc>
          <w:tcPr>
            <w:tcW w:w="1880" w:type="dxa"/>
            <w:vAlign w:val="bottom"/>
            <w:shd w:val="clear" w:color="auto" w:fill="CFF0FC"/>
          </w:tcPr>
          <w:p>
            <w:pPr>
              <w:jc w:val="center"/>
              <w:ind w:left="300"/>
              <w:spacing w:after="0" w:line="182" w:lineRule="exact"/>
              <w:rPr>
                <w:sz w:val="20"/>
                <w:szCs w:val="20"/>
                <w:color w:val="auto"/>
              </w:rPr>
            </w:pPr>
            <w:r>
              <w:rPr>
                <w:rFonts w:ascii="Arial" w:cs="Arial" w:eastAsia="Arial" w:hAnsi="Arial"/>
                <w:sz w:val="16"/>
                <w:szCs w:val="16"/>
                <w:color w:val="auto"/>
              </w:rPr>
              <w:t>765,816</w:t>
            </w:r>
          </w:p>
        </w:tc>
        <w:tc>
          <w:tcPr>
            <w:tcW w:w="1940" w:type="dxa"/>
            <w:vAlign w:val="bottom"/>
            <w:shd w:val="clear" w:color="auto" w:fill="CFF0FC"/>
          </w:tcPr>
          <w:p>
            <w:pPr>
              <w:jc w:val="center"/>
              <w:ind w:left="240"/>
              <w:spacing w:after="0" w:line="182" w:lineRule="exact"/>
              <w:rPr>
                <w:sz w:val="20"/>
                <w:szCs w:val="20"/>
                <w:color w:val="auto"/>
              </w:rPr>
            </w:pPr>
            <w:r>
              <w:rPr>
                <w:rFonts w:ascii="Arial" w:cs="Arial" w:eastAsia="Arial" w:hAnsi="Arial"/>
                <w:sz w:val="16"/>
                <w:szCs w:val="16"/>
                <w:color w:val="auto"/>
              </w:rPr>
              <w:t>2.6%</w:t>
            </w:r>
          </w:p>
        </w:tc>
      </w:tr>
      <w:tr>
        <w:trPr>
          <w:trHeight w:val="185"/>
        </w:trPr>
        <w:tc>
          <w:tcPr>
            <w:tcW w:w="6260" w:type="dxa"/>
            <w:vAlign w:val="bottom"/>
          </w:tcPr>
          <w:p>
            <w:pPr>
              <w:ind w:left="100"/>
              <w:spacing w:after="0"/>
              <w:rPr>
                <w:sz w:val="20"/>
                <w:szCs w:val="20"/>
                <w:color w:val="auto"/>
              </w:rPr>
            </w:pPr>
            <w:r>
              <w:rPr>
                <w:rFonts w:ascii="Arial" w:cs="Arial" w:eastAsia="Arial" w:hAnsi="Arial"/>
                <w:sz w:val="16"/>
                <w:szCs w:val="16"/>
                <w:color w:val="auto"/>
              </w:rPr>
              <w:t>Gary Nabel, MD., Ph.D. (11)</w:t>
            </w:r>
          </w:p>
        </w:tc>
        <w:tc>
          <w:tcPr>
            <w:tcW w:w="1880" w:type="dxa"/>
            <w:vAlign w:val="bottom"/>
          </w:tcPr>
          <w:p>
            <w:pPr>
              <w:jc w:val="center"/>
              <w:ind w:left="300"/>
              <w:spacing w:after="0"/>
              <w:rPr>
                <w:sz w:val="20"/>
                <w:szCs w:val="20"/>
                <w:color w:val="auto"/>
              </w:rPr>
            </w:pPr>
            <w:r>
              <w:rPr>
                <w:rFonts w:ascii="Arial" w:cs="Arial" w:eastAsia="Arial" w:hAnsi="Arial"/>
                <w:sz w:val="16"/>
                <w:szCs w:val="16"/>
                <w:color w:val="auto"/>
              </w:rPr>
              <w:t>16,613</w:t>
            </w:r>
          </w:p>
        </w:tc>
        <w:tc>
          <w:tcPr>
            <w:tcW w:w="1940" w:type="dxa"/>
            <w:vAlign w:val="bottom"/>
          </w:tcPr>
          <w:p>
            <w:pPr>
              <w:jc w:val="center"/>
              <w:ind w:left="240"/>
              <w:spacing w:after="0"/>
              <w:rPr>
                <w:sz w:val="20"/>
                <w:szCs w:val="20"/>
                <w:color w:val="auto"/>
              </w:rPr>
            </w:pPr>
            <w:r>
              <w:rPr>
                <w:rFonts w:ascii="Arial" w:cs="Arial" w:eastAsia="Arial" w:hAnsi="Arial"/>
                <w:sz w:val="16"/>
                <w:szCs w:val="16"/>
                <w:color w:val="auto"/>
                <w:w w:val="95"/>
              </w:rPr>
              <w:t>*</w:t>
            </w:r>
          </w:p>
        </w:tc>
      </w:tr>
      <w:tr>
        <w:trPr>
          <w:trHeight w:val="185"/>
        </w:trPr>
        <w:tc>
          <w:tcPr>
            <w:tcW w:w="62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Diem Nguyen, Ph.D. M.B.A. (12)</w:t>
            </w:r>
          </w:p>
        </w:tc>
        <w:tc>
          <w:tcPr>
            <w:tcW w:w="1880" w:type="dxa"/>
            <w:vAlign w:val="bottom"/>
            <w:shd w:val="clear" w:color="auto" w:fill="CFF0FC"/>
          </w:tcPr>
          <w:p>
            <w:pPr>
              <w:jc w:val="center"/>
              <w:ind w:left="300"/>
              <w:spacing w:after="0"/>
              <w:rPr>
                <w:sz w:val="20"/>
                <w:szCs w:val="20"/>
                <w:color w:val="auto"/>
              </w:rPr>
            </w:pPr>
            <w:r>
              <w:rPr>
                <w:rFonts w:ascii="Arial" w:cs="Arial" w:eastAsia="Arial" w:hAnsi="Arial"/>
                <w:sz w:val="16"/>
                <w:szCs w:val="16"/>
                <w:color w:val="auto"/>
              </w:rPr>
              <w:t>51,137</w:t>
            </w:r>
          </w:p>
        </w:tc>
        <w:tc>
          <w:tcPr>
            <w:tcW w:w="1940" w:type="dxa"/>
            <w:vAlign w:val="bottom"/>
            <w:shd w:val="clear" w:color="auto" w:fill="CFF0FC"/>
          </w:tcPr>
          <w:p>
            <w:pPr>
              <w:jc w:val="center"/>
              <w:ind w:left="240"/>
              <w:spacing w:after="0"/>
              <w:rPr>
                <w:sz w:val="20"/>
                <w:szCs w:val="20"/>
                <w:color w:val="auto"/>
              </w:rPr>
            </w:pPr>
            <w:r>
              <w:rPr>
                <w:rFonts w:ascii="Arial" w:cs="Arial" w:eastAsia="Arial" w:hAnsi="Arial"/>
                <w:sz w:val="16"/>
                <w:szCs w:val="16"/>
                <w:color w:val="auto"/>
                <w:w w:val="95"/>
              </w:rPr>
              <w:t>*</w:t>
            </w:r>
          </w:p>
        </w:tc>
      </w:tr>
      <w:tr>
        <w:trPr>
          <w:trHeight w:val="182"/>
        </w:trPr>
        <w:tc>
          <w:tcPr>
            <w:tcW w:w="6260" w:type="dxa"/>
            <w:vAlign w:val="bottom"/>
          </w:tcPr>
          <w:p>
            <w:pPr>
              <w:ind w:left="100"/>
              <w:spacing w:after="0" w:line="182" w:lineRule="exact"/>
              <w:rPr>
                <w:sz w:val="20"/>
                <w:szCs w:val="20"/>
                <w:color w:val="auto"/>
              </w:rPr>
            </w:pPr>
            <w:r>
              <w:rPr>
                <w:rFonts w:ascii="Arial" w:cs="Arial" w:eastAsia="Arial" w:hAnsi="Arial"/>
                <w:sz w:val="16"/>
                <w:szCs w:val="16"/>
                <w:color w:val="auto"/>
              </w:rPr>
              <w:t>Joseph Papa (13)</w:t>
            </w:r>
          </w:p>
        </w:tc>
        <w:tc>
          <w:tcPr>
            <w:tcW w:w="1880" w:type="dxa"/>
            <w:vAlign w:val="bottom"/>
          </w:tcPr>
          <w:p>
            <w:pPr>
              <w:jc w:val="center"/>
              <w:ind w:left="300"/>
              <w:spacing w:after="0" w:line="182" w:lineRule="exact"/>
              <w:rPr>
                <w:sz w:val="20"/>
                <w:szCs w:val="20"/>
                <w:color w:val="auto"/>
              </w:rPr>
            </w:pPr>
            <w:r>
              <w:rPr>
                <w:rFonts w:ascii="Arial" w:cs="Arial" w:eastAsia="Arial" w:hAnsi="Arial"/>
                <w:sz w:val="16"/>
                <w:szCs w:val="16"/>
                <w:color w:val="auto"/>
              </w:rPr>
              <w:t>54,645</w:t>
            </w:r>
          </w:p>
        </w:tc>
        <w:tc>
          <w:tcPr>
            <w:tcW w:w="1940" w:type="dxa"/>
            <w:vAlign w:val="bottom"/>
          </w:tcPr>
          <w:p>
            <w:pPr>
              <w:jc w:val="center"/>
              <w:ind w:left="240"/>
              <w:spacing w:after="0" w:line="182" w:lineRule="exact"/>
              <w:rPr>
                <w:sz w:val="20"/>
                <w:szCs w:val="20"/>
                <w:color w:val="auto"/>
              </w:rPr>
            </w:pPr>
            <w:r>
              <w:rPr>
                <w:rFonts w:ascii="Arial" w:cs="Arial" w:eastAsia="Arial" w:hAnsi="Arial"/>
                <w:sz w:val="16"/>
                <w:szCs w:val="16"/>
                <w:color w:val="auto"/>
                <w:w w:val="95"/>
              </w:rPr>
              <w:t>*</w:t>
            </w:r>
          </w:p>
        </w:tc>
      </w:tr>
      <w:tr>
        <w:trPr>
          <w:trHeight w:val="185"/>
        </w:trPr>
        <w:tc>
          <w:tcPr>
            <w:tcW w:w="62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Jason A. Amello (14)</w:t>
            </w:r>
          </w:p>
        </w:tc>
        <w:tc>
          <w:tcPr>
            <w:tcW w:w="1880" w:type="dxa"/>
            <w:vAlign w:val="bottom"/>
            <w:shd w:val="clear" w:color="auto" w:fill="CFF0FC"/>
          </w:tcPr>
          <w:p>
            <w:pPr>
              <w:jc w:val="center"/>
              <w:ind w:left="300"/>
              <w:spacing w:after="0"/>
              <w:rPr>
                <w:sz w:val="20"/>
                <w:szCs w:val="20"/>
                <w:color w:val="auto"/>
              </w:rPr>
            </w:pPr>
            <w:r>
              <w:rPr>
                <w:rFonts w:ascii="Arial" w:cs="Arial" w:eastAsia="Arial" w:hAnsi="Arial"/>
                <w:sz w:val="16"/>
                <w:szCs w:val="16"/>
                <w:color w:val="auto"/>
              </w:rPr>
              <w:t>137,729</w:t>
            </w:r>
          </w:p>
        </w:tc>
        <w:tc>
          <w:tcPr>
            <w:tcW w:w="1940" w:type="dxa"/>
            <w:vAlign w:val="bottom"/>
            <w:shd w:val="clear" w:color="auto" w:fill="CFF0FC"/>
          </w:tcPr>
          <w:p>
            <w:pPr>
              <w:jc w:val="center"/>
              <w:ind w:left="240"/>
              <w:spacing w:after="0"/>
              <w:rPr>
                <w:sz w:val="20"/>
                <w:szCs w:val="20"/>
                <w:color w:val="auto"/>
              </w:rPr>
            </w:pPr>
            <w:r>
              <w:rPr>
                <w:rFonts w:ascii="Arial" w:cs="Arial" w:eastAsia="Arial" w:hAnsi="Arial"/>
                <w:sz w:val="16"/>
                <w:szCs w:val="16"/>
                <w:color w:val="auto"/>
                <w:w w:val="95"/>
              </w:rPr>
              <w:t>*</w:t>
            </w:r>
          </w:p>
        </w:tc>
      </w:tr>
      <w:tr>
        <w:trPr>
          <w:trHeight w:val="185"/>
        </w:trPr>
        <w:tc>
          <w:tcPr>
            <w:tcW w:w="6260" w:type="dxa"/>
            <w:vAlign w:val="bottom"/>
          </w:tcPr>
          <w:p>
            <w:pPr>
              <w:ind w:left="100"/>
              <w:spacing w:after="0"/>
              <w:rPr>
                <w:sz w:val="20"/>
                <w:szCs w:val="20"/>
                <w:color w:val="auto"/>
              </w:rPr>
            </w:pPr>
            <w:r>
              <w:rPr>
                <w:rFonts w:ascii="Arial" w:cs="Arial" w:eastAsia="Arial" w:hAnsi="Arial"/>
                <w:sz w:val="16"/>
                <w:szCs w:val="16"/>
                <w:color w:val="auto"/>
              </w:rPr>
              <w:t>Francesca Barone, M.D., Ph.D. (15)</w:t>
            </w:r>
          </w:p>
        </w:tc>
        <w:tc>
          <w:tcPr>
            <w:tcW w:w="1880" w:type="dxa"/>
            <w:vAlign w:val="bottom"/>
          </w:tcPr>
          <w:p>
            <w:pPr>
              <w:jc w:val="center"/>
              <w:ind w:left="300"/>
              <w:spacing w:after="0"/>
              <w:rPr>
                <w:sz w:val="20"/>
                <w:szCs w:val="20"/>
                <w:color w:val="auto"/>
              </w:rPr>
            </w:pPr>
            <w:r>
              <w:rPr>
                <w:rFonts w:ascii="Arial" w:cs="Arial" w:eastAsia="Arial" w:hAnsi="Arial"/>
                <w:sz w:val="16"/>
                <w:szCs w:val="16"/>
                <w:color w:val="auto"/>
              </w:rPr>
              <w:t>134,832</w:t>
            </w:r>
          </w:p>
        </w:tc>
        <w:tc>
          <w:tcPr>
            <w:tcW w:w="1940" w:type="dxa"/>
            <w:vAlign w:val="bottom"/>
          </w:tcPr>
          <w:p>
            <w:pPr>
              <w:jc w:val="center"/>
              <w:ind w:left="240"/>
              <w:spacing w:after="0"/>
              <w:rPr>
                <w:sz w:val="20"/>
                <w:szCs w:val="20"/>
                <w:color w:val="auto"/>
              </w:rPr>
            </w:pPr>
            <w:r>
              <w:rPr>
                <w:rFonts w:ascii="Arial" w:cs="Arial" w:eastAsia="Arial" w:hAnsi="Arial"/>
                <w:sz w:val="16"/>
                <w:szCs w:val="16"/>
                <w:color w:val="auto"/>
                <w:w w:val="95"/>
              </w:rPr>
              <w:t>*</w:t>
            </w:r>
          </w:p>
        </w:tc>
      </w:tr>
      <w:tr>
        <w:trPr>
          <w:trHeight w:val="182"/>
        </w:trPr>
        <w:tc>
          <w:tcPr>
            <w:tcW w:w="6260" w:type="dxa"/>
            <w:vAlign w:val="bottom"/>
            <w:shd w:val="clear" w:color="auto" w:fill="CFF0FC"/>
          </w:tcPr>
          <w:p>
            <w:pPr>
              <w:ind w:left="100"/>
              <w:spacing w:after="0" w:line="182" w:lineRule="exact"/>
              <w:rPr>
                <w:sz w:val="20"/>
                <w:szCs w:val="20"/>
                <w:color w:val="auto"/>
              </w:rPr>
            </w:pPr>
            <w:r>
              <w:rPr>
                <w:rFonts w:ascii="Arial" w:cs="Arial" w:eastAsia="Arial" w:hAnsi="Arial"/>
                <w:sz w:val="16"/>
                <w:szCs w:val="16"/>
                <w:color w:val="auto"/>
              </w:rPr>
              <w:t>W. Garrett Nichols, M.D., M.S. (16)</w:t>
            </w:r>
          </w:p>
        </w:tc>
        <w:tc>
          <w:tcPr>
            <w:tcW w:w="1880" w:type="dxa"/>
            <w:vAlign w:val="bottom"/>
            <w:shd w:val="clear" w:color="auto" w:fill="CFF0FC"/>
          </w:tcPr>
          <w:p>
            <w:pPr>
              <w:jc w:val="center"/>
              <w:ind w:left="300"/>
              <w:spacing w:after="0" w:line="182" w:lineRule="exact"/>
              <w:rPr>
                <w:sz w:val="20"/>
                <w:szCs w:val="20"/>
                <w:color w:val="auto"/>
              </w:rPr>
            </w:pPr>
            <w:r>
              <w:rPr>
                <w:rFonts w:ascii="Arial" w:cs="Arial" w:eastAsia="Arial" w:hAnsi="Arial"/>
                <w:sz w:val="16"/>
                <w:szCs w:val="16"/>
                <w:color w:val="auto"/>
              </w:rPr>
              <w:t>70,918</w:t>
            </w:r>
          </w:p>
        </w:tc>
        <w:tc>
          <w:tcPr>
            <w:tcW w:w="1940" w:type="dxa"/>
            <w:vAlign w:val="bottom"/>
            <w:shd w:val="clear" w:color="auto" w:fill="CFF0FC"/>
          </w:tcPr>
          <w:p>
            <w:pPr>
              <w:jc w:val="center"/>
              <w:ind w:left="240"/>
              <w:spacing w:after="0" w:line="182" w:lineRule="exact"/>
              <w:rPr>
                <w:sz w:val="20"/>
                <w:szCs w:val="20"/>
                <w:color w:val="auto"/>
              </w:rPr>
            </w:pPr>
            <w:r>
              <w:rPr>
                <w:rFonts w:ascii="Arial" w:cs="Arial" w:eastAsia="Arial" w:hAnsi="Arial"/>
                <w:sz w:val="16"/>
                <w:szCs w:val="16"/>
                <w:color w:val="auto"/>
                <w:w w:val="95"/>
              </w:rPr>
              <w:t>*</w:t>
            </w:r>
          </w:p>
        </w:tc>
      </w:tr>
      <w:tr>
        <w:trPr>
          <w:trHeight w:val="185"/>
        </w:trPr>
        <w:tc>
          <w:tcPr>
            <w:tcW w:w="6260" w:type="dxa"/>
            <w:vAlign w:val="bottom"/>
          </w:tcPr>
          <w:p>
            <w:pPr>
              <w:ind w:left="100"/>
              <w:spacing w:after="0"/>
              <w:rPr>
                <w:sz w:val="20"/>
                <w:szCs w:val="20"/>
                <w:color w:val="auto"/>
              </w:rPr>
            </w:pPr>
            <w:r>
              <w:rPr>
                <w:rFonts w:ascii="Arial" w:cs="Arial" w:eastAsia="Arial" w:hAnsi="Arial"/>
                <w:sz w:val="16"/>
                <w:szCs w:val="16"/>
                <w:color w:val="auto"/>
              </w:rPr>
              <w:t>Charles Schoch (17)</w:t>
            </w:r>
          </w:p>
        </w:tc>
        <w:tc>
          <w:tcPr>
            <w:tcW w:w="1880" w:type="dxa"/>
            <w:vAlign w:val="bottom"/>
          </w:tcPr>
          <w:p>
            <w:pPr>
              <w:jc w:val="center"/>
              <w:ind w:left="300"/>
              <w:spacing w:after="0"/>
              <w:rPr>
                <w:sz w:val="20"/>
                <w:szCs w:val="20"/>
                <w:color w:val="auto"/>
              </w:rPr>
            </w:pPr>
            <w:r>
              <w:rPr>
                <w:rFonts w:ascii="Arial" w:cs="Arial" w:eastAsia="Arial" w:hAnsi="Arial"/>
                <w:sz w:val="16"/>
                <w:szCs w:val="16"/>
                <w:color w:val="auto"/>
              </w:rPr>
              <w:t>28,322</w:t>
            </w:r>
          </w:p>
        </w:tc>
        <w:tc>
          <w:tcPr>
            <w:tcW w:w="1940" w:type="dxa"/>
            <w:vAlign w:val="bottom"/>
          </w:tcPr>
          <w:p>
            <w:pPr>
              <w:jc w:val="center"/>
              <w:ind w:left="240"/>
              <w:spacing w:after="0"/>
              <w:rPr>
                <w:sz w:val="20"/>
                <w:szCs w:val="20"/>
                <w:color w:val="auto"/>
              </w:rPr>
            </w:pPr>
            <w:r>
              <w:rPr>
                <w:rFonts w:ascii="Arial" w:cs="Arial" w:eastAsia="Arial" w:hAnsi="Arial"/>
                <w:sz w:val="16"/>
                <w:szCs w:val="16"/>
                <w:color w:val="auto"/>
                <w:w w:val="95"/>
              </w:rPr>
              <w:t>*</w:t>
            </w:r>
          </w:p>
        </w:tc>
      </w:tr>
      <w:tr>
        <w:trPr>
          <w:trHeight w:val="185"/>
        </w:trPr>
        <w:tc>
          <w:tcPr>
            <w:tcW w:w="62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Seshu Tyagarajan, Ph.D., RAC (18)</w:t>
            </w:r>
          </w:p>
        </w:tc>
        <w:tc>
          <w:tcPr>
            <w:tcW w:w="1880" w:type="dxa"/>
            <w:vAlign w:val="bottom"/>
            <w:shd w:val="clear" w:color="auto" w:fill="CFF0FC"/>
          </w:tcPr>
          <w:p>
            <w:pPr>
              <w:jc w:val="center"/>
              <w:ind w:left="300"/>
              <w:spacing w:after="0"/>
              <w:rPr>
                <w:sz w:val="20"/>
                <w:szCs w:val="20"/>
                <w:color w:val="auto"/>
              </w:rPr>
            </w:pPr>
            <w:r>
              <w:rPr>
                <w:rFonts w:ascii="Arial" w:cs="Arial" w:eastAsia="Arial" w:hAnsi="Arial"/>
                <w:sz w:val="16"/>
                <w:szCs w:val="16"/>
                <w:color w:val="auto"/>
              </w:rPr>
              <w:t>119,747</w:t>
            </w:r>
          </w:p>
        </w:tc>
        <w:tc>
          <w:tcPr>
            <w:tcW w:w="1940" w:type="dxa"/>
            <w:vAlign w:val="bottom"/>
            <w:shd w:val="clear" w:color="auto" w:fill="CFF0FC"/>
          </w:tcPr>
          <w:p>
            <w:pPr>
              <w:jc w:val="center"/>
              <w:ind w:left="240"/>
              <w:spacing w:after="0"/>
              <w:rPr>
                <w:sz w:val="20"/>
                <w:szCs w:val="20"/>
                <w:color w:val="auto"/>
              </w:rPr>
            </w:pPr>
            <w:r>
              <w:rPr>
                <w:rFonts w:ascii="Arial" w:cs="Arial" w:eastAsia="Arial" w:hAnsi="Arial"/>
                <w:sz w:val="16"/>
                <w:szCs w:val="16"/>
                <w:color w:val="auto"/>
                <w:w w:val="95"/>
              </w:rPr>
              <w:t>*</w:t>
            </w:r>
          </w:p>
        </w:tc>
      </w:tr>
      <w:tr>
        <w:trPr>
          <w:trHeight w:val="219"/>
        </w:trPr>
        <w:tc>
          <w:tcPr>
            <w:tcW w:w="6260" w:type="dxa"/>
            <w:vAlign w:val="bottom"/>
          </w:tcPr>
          <w:p>
            <w:pPr>
              <w:ind w:left="100"/>
              <w:spacing w:after="0"/>
              <w:rPr>
                <w:sz w:val="20"/>
                <w:szCs w:val="20"/>
                <w:color w:val="auto"/>
              </w:rPr>
            </w:pPr>
            <w:r>
              <w:rPr>
                <w:rFonts w:ascii="Arial" w:cs="Arial" w:eastAsia="Arial" w:hAnsi="Arial"/>
                <w:sz w:val="16"/>
                <w:szCs w:val="16"/>
                <w:color w:val="auto"/>
              </w:rPr>
              <w:t>All Current Executive Officers and Directors as a group (14 persons) (19)</w:t>
            </w:r>
          </w:p>
        </w:tc>
        <w:tc>
          <w:tcPr>
            <w:tcW w:w="1880" w:type="dxa"/>
            <w:vAlign w:val="bottom"/>
          </w:tcPr>
          <w:p>
            <w:pPr>
              <w:jc w:val="center"/>
              <w:ind w:left="280"/>
              <w:spacing w:after="0"/>
              <w:rPr>
                <w:sz w:val="20"/>
                <w:szCs w:val="20"/>
                <w:color w:val="auto"/>
              </w:rPr>
            </w:pPr>
            <w:r>
              <w:rPr>
                <w:rFonts w:ascii="Arial" w:cs="Arial" w:eastAsia="Arial" w:hAnsi="Arial"/>
                <w:sz w:val="16"/>
                <w:szCs w:val="16"/>
                <w:color w:val="auto"/>
                <w:w w:val="99"/>
              </w:rPr>
              <w:t>13,488,541</w:t>
            </w:r>
          </w:p>
        </w:tc>
        <w:tc>
          <w:tcPr>
            <w:tcW w:w="1940" w:type="dxa"/>
            <w:vAlign w:val="bottom"/>
          </w:tcPr>
          <w:p>
            <w:pPr>
              <w:jc w:val="center"/>
              <w:ind w:left="240"/>
              <w:spacing w:after="0"/>
              <w:rPr>
                <w:sz w:val="20"/>
                <w:szCs w:val="20"/>
                <w:color w:val="auto"/>
              </w:rPr>
            </w:pPr>
            <w:r>
              <w:rPr>
                <w:rFonts w:ascii="Arial" w:cs="Arial" w:eastAsia="Arial" w:hAnsi="Arial"/>
                <w:sz w:val="16"/>
                <w:szCs w:val="16"/>
                <w:color w:val="auto"/>
              </w:rPr>
              <w:t>40.7%</w:t>
            </w:r>
          </w:p>
        </w:tc>
      </w:tr>
    </w:tbl>
    <w:p>
      <w:pPr>
        <w:spacing w:after="0" w:line="344" w:lineRule="exact"/>
        <w:rPr>
          <w:sz w:val="20"/>
          <w:szCs w:val="20"/>
          <w:color w:val="auto"/>
        </w:rPr>
      </w:pPr>
    </w:p>
    <w:p>
      <w:pPr>
        <w:ind w:left="100" w:hanging="100"/>
        <w:spacing w:after="0"/>
        <w:tabs>
          <w:tab w:leader="none" w:pos="10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Less than one percent.</w:t>
      </w:r>
    </w:p>
    <w:p>
      <w:pPr>
        <w:spacing w:after="0" w:line="183" w:lineRule="exact"/>
        <w:rPr>
          <w:rFonts w:ascii="Arial" w:cs="Arial" w:eastAsia="Arial" w:hAnsi="Arial"/>
          <w:sz w:val="16"/>
          <w:szCs w:val="16"/>
          <w:color w:val="auto"/>
        </w:rPr>
      </w:pPr>
    </w:p>
    <w:p>
      <w:pPr>
        <w:ind w:left="720" w:right="760" w:hanging="360"/>
        <w:spacing w:after="0" w:line="241" w:lineRule="auto"/>
        <w:tabs>
          <w:tab w:leader="none" w:pos="72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Unless otherwise indicated, the address for each beneficial owner is c/o Candel Therapeutics, Inc., 117 Kendrick St, Suite 450, Needham, MA 02494.</w:t>
      </w:r>
    </w:p>
    <w:p>
      <w:pPr>
        <w:ind w:left="720" w:right="760" w:hanging="360"/>
        <w:spacing w:after="0" w:line="239" w:lineRule="auto"/>
        <w:tabs>
          <w:tab w:leader="none" w:pos="72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Consists of (i) 1,033,840 shares of common stock, of which 1,001,441 shares of common stock are held solely by Dr. Aguilar, and 32,399 shares of common stock are held jointly with her spouse, Estuardo Aguilar-Cordova, M.D., inf., Ph.D.,</w:t>
      </w:r>
    </w:p>
    <w:p>
      <w:pPr>
        <w:ind w:left="720" w:right="820"/>
        <w:spacing w:after="0" w:line="239" w:lineRule="auto"/>
        <w:tabs>
          <w:tab w:leader="none" w:pos="943" w:val="left"/>
        </w:tabs>
        <w:numPr>
          <w:ilvl w:val="2"/>
          <w:numId w:val="105"/>
        </w:numPr>
        <w:rPr>
          <w:rFonts w:ascii="Arial" w:cs="Arial" w:eastAsia="Arial" w:hAnsi="Arial"/>
          <w:sz w:val="16"/>
          <w:szCs w:val="16"/>
          <w:color w:val="auto"/>
        </w:rPr>
      </w:pPr>
      <w:r>
        <w:rPr>
          <w:rFonts w:ascii="Arial" w:cs="Arial" w:eastAsia="Arial" w:hAnsi="Arial"/>
          <w:sz w:val="16"/>
          <w:szCs w:val="16"/>
          <w:color w:val="auto"/>
        </w:rPr>
        <w:t>2,013,100 shares held for the benefit of Dr. Aguilar by the Laura K. Aguilar 2020 Irrevocable Trust, and (iii) 3,153,815 shares deemed to be beneficially owned by her spouse, of which 1,064,633 shares of common stock are held solely by her spouse, 2,074,942 shares of common stock are held for the benefit of her spouse by the Estuardo Aguilar-Cordova 2020 Irrevocable Trust, and 14,240 shares of common stock are issuable upon the exercise of options exercisable within 60 days after April 1, 2024. Dr. Aguilar shares voting and investment power over the securities held by her spouse.</w:t>
      </w:r>
    </w:p>
    <w:p>
      <w:pPr>
        <w:spacing w:after="0" w:line="3" w:lineRule="exact"/>
        <w:rPr>
          <w:rFonts w:ascii="Arial" w:cs="Arial" w:eastAsia="Arial" w:hAnsi="Arial"/>
          <w:sz w:val="16"/>
          <w:szCs w:val="16"/>
          <w:color w:val="auto"/>
        </w:rPr>
      </w:pPr>
    </w:p>
    <w:p>
      <w:pPr>
        <w:ind w:left="720" w:right="740" w:hanging="360"/>
        <w:spacing w:after="0" w:line="239" w:lineRule="auto"/>
        <w:tabs>
          <w:tab w:leader="none" w:pos="72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Information herein is based solely on the Schedule 13G filed with the SEC on February 14, 2022 by Northpond Ventures, LP (Northpond Fund), Northpond Ventures GP, LLC (Northpond GP LLC), Northpond Ventures II, LP (Northpond Fund II), Northpond Ventures II GP, LLC (Northpond GP II LLC) and Michael P. Rubin (Rubin and, together with Northpond Fund, Northpond GP LLC, Northpond Fund II and Northpond GP II LLC, the Reporting Persons) with respect to the shares of common stock held by Northpond Fund as of December 31, 2021. Northpond GP LLC is the general partner of Northpond Fund. Rubin is the managing member of Northpond GP LLC. As such, Northpond GP LLC and Rubin have shared dispositive and voting power over the shares held by Northpond Fund and may be deemed to have indirect beneficial ownership of the shares held by Northpond Fund.</w:t>
      </w:r>
    </w:p>
    <w:p>
      <w:pPr>
        <w:spacing w:after="0" w:line="5" w:lineRule="exact"/>
        <w:rPr>
          <w:rFonts w:ascii="Arial" w:cs="Arial" w:eastAsia="Arial" w:hAnsi="Arial"/>
          <w:sz w:val="16"/>
          <w:szCs w:val="16"/>
          <w:color w:val="auto"/>
        </w:rPr>
      </w:pPr>
    </w:p>
    <w:p>
      <w:pPr>
        <w:ind w:left="720" w:right="740" w:hanging="360"/>
        <w:spacing w:after="0" w:line="241" w:lineRule="auto"/>
        <w:tabs>
          <w:tab w:leader="none" w:pos="72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Consists of 95,495 shares of common stock and 1,753,986 shares of common stock issuable upon the exercise of options exercisable within 60 days after April 1, 2024.</w:t>
      </w:r>
    </w:p>
    <w:p>
      <w:pPr>
        <w:ind w:left="720" w:right="740" w:hanging="360"/>
        <w:spacing w:after="0" w:line="239" w:lineRule="auto"/>
        <w:tabs>
          <w:tab w:leader="none" w:pos="72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Information herein is based in part on the Schedule 13D filed with the SEC on February 14, 2022 by Paul B. Manning, care of PBM Capital Group, LLC. Consists of (i) 1,681,000 shares of common stock held by Paul and Diane Manning, JTWROS; (ii) 642,406 shares of the Issuer’s common stock held by The Paul B. Manning Revocable Trust dated May 10, 2000; (iii) 642,406 shares of common stock issuable upon the exercise of a warrant within 60 days of December 31, 2021 held by The Paul B. Manning Revocable Trust dated May 10, 2000; (iv) 553,752 shares of the Issuer’s common stock held by BKB Growth Investments, LLC; (v) 553,752 shares of common stock issuable upon the exercise of a warrant within 60 days of December 31, 2021 held by BKB Growth Investments, LLC, and (vi) 14,240 shares of common stock issuable upon the exercise of options exercisable within 60 days after April 1, 2024. Mr. Manning is a co-manager of Tiger Lily Capital, LLC, the manager of BKB, and has shared voting and investment power with respect to the shares held by BKB.</w:t>
      </w:r>
    </w:p>
    <w:p>
      <w:pPr>
        <w:spacing w:after="0" w:line="6" w:lineRule="exact"/>
        <w:rPr>
          <w:rFonts w:ascii="Arial" w:cs="Arial" w:eastAsia="Arial" w:hAnsi="Arial"/>
          <w:sz w:val="16"/>
          <w:szCs w:val="16"/>
          <w:color w:val="auto"/>
        </w:rPr>
      </w:pPr>
    </w:p>
    <w:p>
      <w:pPr>
        <w:ind w:left="720" w:right="840" w:hanging="360"/>
        <w:spacing w:after="0"/>
        <w:tabs>
          <w:tab w:leader="none" w:pos="72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Consists of (i) 1,097,032 shares of common stock, of which 1,064,633 shares of common stock are held solely by Dr. Aguilar-Cordova, and 32,399 shares of common stock are held jointly with his spouse, Laura K. Aguilar, M.D., Ph.D., (ii) 2,074,942 shares of common stock held for the benefit of Dr. Aguilar-Cordova by the Estuardo Aguilar-Cordova 2020 Irrevocable Trust (iii) 14,240 shares of common stock issuable upon the exercise of options exercisable within 60 days after April 1, 2024, and (iv) 3,014,541 shares deemed to be beneficially owned by his spouse, of which 1,001,441 shares of common stock are held solely by his spouse, 2,013,100 shares of common stock are held for the benefit of his spouse by the Laura K. Aguilar 2020 Irrevocable Trust. Dr. Aguilar-Cordova shares voting and investment power over the securities held by his spouse.</w:t>
      </w:r>
    </w:p>
    <w:p>
      <w:pPr>
        <w:spacing w:after="0" w:line="1" w:lineRule="exact"/>
        <w:rPr>
          <w:rFonts w:ascii="Arial" w:cs="Arial" w:eastAsia="Arial" w:hAnsi="Arial"/>
          <w:sz w:val="16"/>
          <w:szCs w:val="16"/>
          <w:color w:val="auto"/>
        </w:rPr>
      </w:pPr>
    </w:p>
    <w:p>
      <w:pPr>
        <w:ind w:left="720" w:right="760" w:hanging="360"/>
        <w:spacing w:after="0" w:line="239" w:lineRule="auto"/>
        <w:tabs>
          <w:tab w:leader="none" w:pos="72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Consists of 83,404 shares of common stock issuable upon the exercise of options exercisable within 60 days after April 1, 2024.</w:t>
      </w:r>
    </w:p>
    <w:p>
      <w:pPr>
        <w:ind w:left="720" w:right="760" w:hanging="360"/>
        <w:spacing w:after="0" w:line="239" w:lineRule="auto"/>
        <w:tabs>
          <w:tab w:leader="none" w:pos="72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Consists of 16,613 shares of common stock issuable upon the exercise of options exercisable within 60 days after April 1, 2024.</w:t>
      </w:r>
    </w:p>
    <w:p>
      <w:pPr>
        <w:ind w:left="720" w:right="840" w:hanging="360"/>
        <w:spacing w:after="0" w:line="241" w:lineRule="auto"/>
        <w:tabs>
          <w:tab w:leader="none" w:pos="72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Consists of 8,702 shares of common stock issuable upon the exercise of options exercisable within 60 days after April 1, 2024.</w:t>
      </w:r>
    </w:p>
    <w:p>
      <w:pPr>
        <w:ind w:left="720" w:right="740" w:hanging="360"/>
        <w:spacing w:after="0" w:line="239" w:lineRule="auto"/>
        <w:tabs>
          <w:tab w:leader="none" w:pos="72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Consists of (i) 46,788 shares of common stock issuable upon the exercise of options exercisable within 60 days after April 1, 2024, (ii) 283,514 shares of common stock held by GTAM1 2012 ADV LLC, of which Mr. Martell serves as Manager,</w:t>
      </w:r>
    </w:p>
    <w:p>
      <w:pPr>
        <w:jc w:val="both"/>
        <w:ind w:left="720" w:right="800"/>
        <w:spacing w:after="0" w:line="255" w:lineRule="auto"/>
        <w:tabs>
          <w:tab w:leader="none" w:pos="979" w:val="left"/>
        </w:tabs>
        <w:numPr>
          <w:ilvl w:val="2"/>
          <w:numId w:val="106"/>
        </w:numPr>
        <w:rPr>
          <w:rFonts w:ascii="Arial" w:cs="Arial" w:eastAsia="Arial" w:hAnsi="Arial"/>
          <w:sz w:val="16"/>
          <w:szCs w:val="16"/>
          <w:color w:val="auto"/>
        </w:rPr>
      </w:pPr>
      <w:r>
        <w:rPr>
          <w:rFonts w:ascii="Arial" w:cs="Arial" w:eastAsia="Arial" w:hAnsi="Arial"/>
          <w:sz w:val="16"/>
          <w:szCs w:val="16"/>
          <w:color w:val="auto"/>
        </w:rPr>
        <w:t>283,514 warrants held by GTAM1 2012 Trust, of which Mr. Martell serves as trustee but is not a beneficiary, and (iv) 152,000 shares of common stock held by GTAM1 2012 LLC. Mr. Martell disclaims beneficial ownership over all of these interests, except for his beneficial ownership in the 46,788 shares of common stock issuable upon the exercise of options exercisable within 60 days after April 1, 2024.</w:t>
      </w:r>
    </w:p>
    <w:p>
      <w:pPr>
        <w:sectPr>
          <w:pgSz w:w="12240" w:h="15840" w:orient="portrait"/>
          <w:cols w:equalWidth="0" w:num="1">
            <w:col w:w="10080"/>
          </w:cols>
          <w:pgMar w:left="1440" w:top="1421" w:right="720" w:bottom="899" w:gutter="0" w:footer="0" w:header="0"/>
        </w:sectPr>
      </w:pPr>
    </w:p>
    <w:bookmarkStart w:id="166" w:name="page167"/>
    <w:bookmarkEnd w:id="166"/>
    <w:p>
      <w:pPr>
        <w:ind w:left="720" w:right="40" w:hanging="360"/>
        <w:spacing w:after="0" w:line="239" w:lineRule="auto"/>
        <w:tabs>
          <w:tab w:leader="none" w:pos="72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Consists of 16,613 shares of common stock issuable upon the exercise of options exercisable within 60 days after April 1, 2024.</w:t>
      </w:r>
    </w:p>
    <w:p>
      <w:pPr>
        <w:ind w:left="720" w:right="240" w:hanging="360"/>
        <w:spacing w:after="0" w:line="239" w:lineRule="auto"/>
        <w:tabs>
          <w:tab w:leader="none" w:pos="72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Consists of 10,000 shares of common stock and 41,137 shares of common stock issuable upon the exercise of options exercisable within 60 days after April 1, 2024.</w:t>
      </w:r>
    </w:p>
    <w:p>
      <w:pPr>
        <w:ind w:left="720" w:right="240" w:hanging="360"/>
        <w:spacing w:after="0" w:line="241" w:lineRule="auto"/>
        <w:tabs>
          <w:tab w:leader="none" w:pos="72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Consists of 38,032 shares of common stock and 16,613 shares of common stock issuable upon the exercise of options exercisable within 60 days after April 1, 2024.</w:t>
      </w:r>
    </w:p>
    <w:p>
      <w:pPr>
        <w:ind w:left="720" w:right="40" w:hanging="360"/>
        <w:spacing w:after="0"/>
        <w:tabs>
          <w:tab w:leader="none" w:pos="72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Consists of 30,854 shares of common stock and 106,875 shares of common stock issuable upon the exercise of options exercisable within 60 days after April 1, 2024. Mr. Amello resigned as Chief Financial Officer and his employment with the Company terminated effective as of January 12, 2024.</w:t>
      </w:r>
    </w:p>
    <w:p>
      <w:pPr>
        <w:ind w:left="720" w:right="140" w:hanging="360"/>
        <w:spacing w:after="0" w:line="239" w:lineRule="auto"/>
        <w:tabs>
          <w:tab w:leader="none" w:pos="72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Consists of 28,429 shares of common stock and 106,403 shares of common stock issuable upon the exercise of options exercisable within 60 days after April 1, 2024.</w:t>
      </w:r>
    </w:p>
    <w:p>
      <w:pPr>
        <w:ind w:left="720" w:right="240" w:hanging="360"/>
        <w:spacing w:after="0" w:line="239" w:lineRule="auto"/>
        <w:tabs>
          <w:tab w:leader="none" w:pos="72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Consists of 17,065 shares of common stock and 53,853 shares of common stock issuable upon the exercise of options exercisable within 60 days after April 1, 2024.</w:t>
      </w:r>
    </w:p>
    <w:p>
      <w:pPr>
        <w:ind w:left="720" w:right="320" w:hanging="360"/>
        <w:spacing w:after="0" w:line="241" w:lineRule="auto"/>
        <w:tabs>
          <w:tab w:leader="none" w:pos="72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Consists of 2,000 shares of common stock and 26,322 shares of common stock issuable upon the exercise of options exercisable within 60 days after April 1, 2024.</w:t>
      </w:r>
    </w:p>
    <w:p>
      <w:pPr>
        <w:ind w:left="720" w:right="240" w:hanging="360"/>
        <w:spacing w:after="0" w:line="239" w:lineRule="auto"/>
        <w:tabs>
          <w:tab w:leader="none" w:pos="72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Consists of 32,872 shares of common stock and 86,875 shares of common stock issuable upon the exercise of options exercisable within 60 days after April 1, 2024.</w:t>
      </w:r>
    </w:p>
    <w:p>
      <w:pPr>
        <w:ind w:left="720" w:right="20" w:hanging="360"/>
        <w:spacing w:after="0" w:line="262" w:lineRule="auto"/>
        <w:tabs>
          <w:tab w:leader="none" w:pos="72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Consists of (i) 9,723,080 shares of common stock, (ii) options to purchase 2,285,789 shares of common stock exercisable within 60 days of April 1, 2024, and (iii) warrants to purchase 1,479,672 shares of common stock exercisable within 60 days of April 1, 2024 held by fourteen executive officers and directors.</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Communications with the Board of Directors</w:t>
      </w:r>
    </w:p>
    <w:p>
      <w:pPr>
        <w:spacing w:after="0" w:line="243" w:lineRule="exact"/>
        <w:rPr>
          <w:sz w:val="20"/>
          <w:szCs w:val="20"/>
          <w:color w:val="auto"/>
        </w:rPr>
      </w:pPr>
    </w:p>
    <w:p>
      <w:pPr>
        <w:ind w:right="60"/>
        <w:spacing w:after="0" w:line="261" w:lineRule="auto"/>
        <w:rPr>
          <w:sz w:val="20"/>
          <w:szCs w:val="20"/>
          <w:color w:val="auto"/>
        </w:rPr>
      </w:pPr>
      <w:r>
        <w:rPr>
          <w:rFonts w:ascii="Arial" w:cs="Arial" w:eastAsia="Arial" w:hAnsi="Arial"/>
          <w:sz w:val="19"/>
          <w:szCs w:val="19"/>
          <w:color w:val="auto"/>
        </w:rPr>
        <w:t>Stockholders who want to communicate with members of the Board, including the independent directors, individually or as a group, should address their communications to the Board, the Board members or the Board committee, as the case may be, and send them by mail to c/o Candel Therapeutics, Inc., 117 Kendrick St, Suite 450, Needham, Massachusetts 02494. The Chair of the Audit Committee will forward all such communications directly to such Board members. Any such communications may be made on an anonymous and confidential basis.</w:t>
      </w:r>
    </w:p>
    <w:p>
      <w:pPr>
        <w:spacing w:after="0" w:line="185" w:lineRule="exact"/>
        <w:rPr>
          <w:sz w:val="20"/>
          <w:szCs w:val="20"/>
          <w:color w:val="auto"/>
        </w:rPr>
      </w:pPr>
    </w:p>
    <w:p>
      <w:pPr>
        <w:ind w:right="160"/>
        <w:spacing w:after="0" w:line="263" w:lineRule="auto"/>
        <w:rPr>
          <w:sz w:val="20"/>
          <w:szCs w:val="20"/>
          <w:color w:val="auto"/>
        </w:rPr>
      </w:pPr>
      <w:r>
        <w:rPr>
          <w:rFonts w:ascii="Arial" w:cs="Arial" w:eastAsia="Arial" w:hAnsi="Arial"/>
          <w:sz w:val="19"/>
          <w:szCs w:val="19"/>
          <w:color w:val="auto"/>
        </w:rPr>
        <w:t>A copy of any such written communication may also be forwarded to the Company’s legal counsel and a copy of such communication may be retained for a reasonable period of time. The director may discuss the matter with the Company’s legal counsel, with independent advisors, with non-management directors, or with the Company’s management, or may take other action or no action as the director determines in good faith, using reasonable judgment, and applying his or her own discretion.</w:t>
      </w:r>
    </w:p>
    <w:p>
      <w:pPr>
        <w:spacing w:after="0" w:line="183" w:lineRule="exact"/>
        <w:rPr>
          <w:sz w:val="20"/>
          <w:szCs w:val="20"/>
          <w:color w:val="auto"/>
        </w:rPr>
      </w:pPr>
    </w:p>
    <w:p>
      <w:pPr>
        <w:ind w:right="140"/>
        <w:spacing w:after="0" w:line="263" w:lineRule="auto"/>
        <w:rPr>
          <w:sz w:val="20"/>
          <w:szCs w:val="20"/>
          <w:color w:val="auto"/>
        </w:rPr>
      </w:pPr>
      <w:r>
        <w:rPr>
          <w:rFonts w:ascii="Arial" w:cs="Arial" w:eastAsia="Arial" w:hAnsi="Arial"/>
          <w:sz w:val="19"/>
          <w:szCs w:val="19"/>
          <w:color w:val="auto"/>
        </w:rPr>
        <w:t>The Audit Committee oversees the procedures for the receipt, retention, and treatment of complaints received by the Company regarding accounting, internal accounting controls, or audit matters, and the confidential, anonymous submission by employees of concerns regarding questionable accounting, internal accounting controls or auditing matters. The Company has also established a toll-free telephone number for the reporting of such activity, which is 855-590-2335.</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Board Committees</w:t>
      </w:r>
    </w:p>
    <w:p>
      <w:pPr>
        <w:spacing w:after="0" w:line="243" w:lineRule="exact"/>
        <w:rPr>
          <w:sz w:val="20"/>
          <w:szCs w:val="20"/>
          <w:color w:val="auto"/>
        </w:rPr>
      </w:pPr>
    </w:p>
    <w:p>
      <w:pPr>
        <w:ind w:right="40"/>
        <w:spacing w:after="0" w:line="263" w:lineRule="auto"/>
        <w:rPr>
          <w:sz w:val="20"/>
          <w:szCs w:val="20"/>
          <w:color w:val="auto"/>
        </w:rPr>
      </w:pPr>
      <w:r>
        <w:rPr>
          <w:rFonts w:ascii="Arial" w:cs="Arial" w:eastAsia="Arial" w:hAnsi="Arial"/>
          <w:sz w:val="19"/>
          <w:szCs w:val="19"/>
          <w:color w:val="auto"/>
        </w:rPr>
        <w:t>Our Board of Directors has established an Audit Committee, a Compensation Committee and a Nominating and Corporate Governance committee, each of which operates pursuant to a charter adopted by our Board of Directors. We believe that the composition and functioning of all of our committees will comply with the applicable requirements of Nasdaq, the Sarbanes-Oxley Act of 2002 and SEC rules and regulations that will be applicable to us. We intend to comply with future requirements to the extent they become applicable to us.</w:t>
      </w:r>
    </w:p>
    <w:p>
      <w:pPr>
        <w:spacing w:after="0" w:line="183" w:lineRule="exact"/>
        <w:rPr>
          <w:sz w:val="20"/>
          <w:szCs w:val="20"/>
          <w:color w:val="auto"/>
        </w:rPr>
      </w:pPr>
    </w:p>
    <w:p>
      <w:pPr>
        <w:ind w:right="100"/>
        <w:spacing w:after="0" w:line="263" w:lineRule="auto"/>
        <w:rPr>
          <w:sz w:val="20"/>
          <w:szCs w:val="20"/>
          <w:color w:val="auto"/>
        </w:rPr>
      </w:pPr>
      <w:r>
        <w:rPr>
          <w:rFonts w:ascii="Arial" w:cs="Arial" w:eastAsia="Arial" w:hAnsi="Arial"/>
          <w:sz w:val="19"/>
          <w:szCs w:val="19"/>
          <w:color w:val="auto"/>
        </w:rPr>
        <w:t xml:space="preserve">The full text of our Audit Committee charter, Compensation Committee charter, and Nominating and Corporate Governance charter are posted on the investor relations portion of our website at </w:t>
      </w:r>
      <w:r>
        <w:rPr>
          <w:rFonts w:ascii="Arial" w:cs="Arial" w:eastAsia="Arial" w:hAnsi="Arial"/>
          <w:sz w:val="19"/>
          <w:szCs w:val="19"/>
          <w:i w:val="1"/>
          <w:iCs w:val="1"/>
          <w:color w:val="auto"/>
        </w:rPr>
        <w:t>www.candeltx.com</w:t>
      </w:r>
      <w:r>
        <w:rPr>
          <w:rFonts w:ascii="Arial" w:cs="Arial" w:eastAsia="Arial" w:hAnsi="Arial"/>
          <w:sz w:val="19"/>
          <w:szCs w:val="19"/>
          <w:color w:val="auto"/>
        </w:rPr>
        <w:t>. We do not incorporate the information contained on, or accessible through, our corporate website into this Form 10-K/A or the Original Form 10-K, and you should not consider it a part of this Form 10-K/A or the Original Form 10-K.</w:t>
      </w:r>
    </w:p>
    <w:p>
      <w:pPr>
        <w:spacing w:after="0" w:line="26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13. Certain Relationships and Related Transactions, and Director Independence.</w:t>
      </w:r>
    </w:p>
    <w:p>
      <w:pPr>
        <w:spacing w:after="0" w:line="313" w:lineRule="exact"/>
        <w:rPr>
          <w:sz w:val="20"/>
          <w:szCs w:val="20"/>
          <w:color w:val="auto"/>
        </w:rPr>
      </w:pPr>
    </w:p>
    <w:p>
      <w:pPr>
        <w:ind w:right="140"/>
        <w:spacing w:after="0" w:line="282" w:lineRule="auto"/>
        <w:rPr>
          <w:sz w:val="20"/>
          <w:szCs w:val="20"/>
          <w:color w:val="auto"/>
        </w:rPr>
      </w:pPr>
      <w:r>
        <w:rPr>
          <w:rFonts w:ascii="Arial" w:cs="Arial" w:eastAsia="Arial" w:hAnsi="Arial"/>
          <w:sz w:val="19"/>
          <w:szCs w:val="19"/>
          <w:color w:val="auto"/>
        </w:rPr>
        <w:t>The following is a description of transactions or series of transactions since January 1, 2022 to which we were or will be a party, in which:</w:t>
      </w:r>
    </w:p>
    <w:p>
      <w:pPr>
        <w:sectPr>
          <w:pgSz w:w="12240" w:h="15840" w:orient="portrait"/>
          <w:cols w:equalWidth="0" w:num="1">
            <w:col w:w="9360"/>
          </w:cols>
          <w:pgMar w:left="1440" w:top="1423" w:right="1440" w:bottom="898" w:gutter="0" w:footer="0" w:header="0"/>
        </w:sectPr>
      </w:pPr>
    </w:p>
    <w:bookmarkStart w:id="167" w:name="page168"/>
    <w:bookmarkEnd w:id="167"/>
    <w:p>
      <w:pPr>
        <w:spacing w:after="0" w:line="211" w:lineRule="exact"/>
        <w:rPr>
          <w:sz w:val="20"/>
          <w:szCs w:val="20"/>
          <w:color w:val="auto"/>
        </w:rPr>
      </w:pPr>
    </w:p>
    <w:p>
      <w:pPr>
        <w:ind w:left="720" w:hanging="360"/>
        <w:spacing w:after="0" w:line="246" w:lineRule="auto"/>
        <w:tabs>
          <w:tab w:leader="none" w:pos="72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the amount involved in the transaction exceeds, or will exceed, $120,000 (or, if less, 1% of the average of our total assets amount at December 31, 2023 and 2022); and</w:t>
      </w:r>
    </w:p>
    <w:p>
      <w:pPr>
        <w:ind w:left="720" w:right="40" w:hanging="360"/>
        <w:spacing w:after="0" w:line="262" w:lineRule="auto"/>
        <w:tabs>
          <w:tab w:leader="none" w:pos="72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in which any of our executive officers, directors or holder of five percent or more of any class of our capital stock, including their immediate family members or affiliated entities, had or will have a direct or indirect material interest.</w:t>
      </w:r>
    </w:p>
    <w:p>
      <w:pPr>
        <w:spacing w:after="0" w:line="161"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Compensation arrangements for our named executive officers and our directors are described elsewhere in this Form 10-K/A under “Director Compensation” and “Executive Compensation.” All amounts are in thousands unless otherwise noted.</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Agreements with Stockholders</w:t>
      </w:r>
    </w:p>
    <w:p>
      <w:pPr>
        <w:spacing w:after="0" w:line="243" w:lineRule="exact"/>
        <w:rPr>
          <w:sz w:val="20"/>
          <w:szCs w:val="20"/>
          <w:color w:val="auto"/>
        </w:rPr>
      </w:pPr>
    </w:p>
    <w:p>
      <w:pPr>
        <w:ind w:right="40"/>
        <w:spacing w:after="0" w:line="259" w:lineRule="auto"/>
        <w:rPr>
          <w:sz w:val="20"/>
          <w:szCs w:val="20"/>
          <w:color w:val="auto"/>
        </w:rPr>
      </w:pPr>
      <w:r>
        <w:rPr>
          <w:rFonts w:ascii="Arial" w:cs="Arial" w:eastAsia="Arial" w:hAnsi="Arial"/>
          <w:sz w:val="19"/>
          <w:szCs w:val="19"/>
          <w:color w:val="auto"/>
        </w:rPr>
        <w:t>In connection with our Series C convertible preferred stock financing, we entered into investors’ rights, voting and right of first refusal and co-sale agreements containing registration rights, information rights, voting rights and rights of first refusal, among other things, with certain holders of our preferred stock and certain holders of our common stock. These stockholder agreements terminated upon the closing of our initial public offering in July 2021, except for the amended and restated investors’ rights agreement and the registration rights granted thereunder, as more fully described in our Description of Securities, filed as Exhibit 4.2 to the Original Form 10-K.</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Employment Agreements</w:t>
      </w:r>
    </w:p>
    <w:p>
      <w:pPr>
        <w:spacing w:after="0" w:line="245" w:lineRule="exact"/>
        <w:rPr>
          <w:sz w:val="20"/>
          <w:szCs w:val="20"/>
          <w:color w:val="auto"/>
        </w:rPr>
      </w:pPr>
    </w:p>
    <w:p>
      <w:pPr>
        <w:ind w:right="80"/>
        <w:spacing w:after="0" w:line="273" w:lineRule="auto"/>
        <w:rPr>
          <w:sz w:val="20"/>
          <w:szCs w:val="20"/>
          <w:color w:val="auto"/>
        </w:rPr>
      </w:pPr>
      <w:r>
        <w:rPr>
          <w:rFonts w:ascii="Arial" w:cs="Arial" w:eastAsia="Arial" w:hAnsi="Arial"/>
          <w:sz w:val="19"/>
          <w:szCs w:val="19"/>
          <w:color w:val="auto"/>
        </w:rPr>
        <w:t>We have entered into employment agreements with each of our named executive officers. See “Item 11 – Executive Compensation – Employment Arrangements and Severance Agreements with our Named Executive Officers.”</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Equity Grants</w:t>
      </w:r>
    </w:p>
    <w:p>
      <w:pPr>
        <w:spacing w:after="0" w:line="245" w:lineRule="exact"/>
        <w:rPr>
          <w:sz w:val="20"/>
          <w:szCs w:val="20"/>
          <w:color w:val="auto"/>
        </w:rPr>
      </w:pPr>
    </w:p>
    <w:p>
      <w:pPr>
        <w:ind w:right="120"/>
        <w:spacing w:after="0" w:line="295" w:lineRule="auto"/>
        <w:rPr>
          <w:sz w:val="20"/>
          <w:szCs w:val="20"/>
          <w:color w:val="auto"/>
        </w:rPr>
      </w:pPr>
      <w:r>
        <w:rPr>
          <w:rFonts w:ascii="Arial" w:cs="Arial" w:eastAsia="Arial" w:hAnsi="Arial"/>
          <w:sz w:val="19"/>
          <w:szCs w:val="19"/>
          <w:color w:val="auto"/>
        </w:rPr>
        <w:t>We have granted stock options to certain of our executive officers and members of our board of directors. See “Item 11 – Executive Compensation.”</w:t>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Indemnification Agreements</w:t>
      </w:r>
    </w:p>
    <w:p>
      <w:pPr>
        <w:spacing w:after="0" w:line="245" w:lineRule="exact"/>
        <w:rPr>
          <w:sz w:val="20"/>
          <w:szCs w:val="20"/>
          <w:color w:val="auto"/>
        </w:rPr>
      </w:pPr>
    </w:p>
    <w:p>
      <w:pPr>
        <w:ind w:right="220"/>
        <w:spacing w:after="0" w:line="263" w:lineRule="auto"/>
        <w:rPr>
          <w:sz w:val="20"/>
          <w:szCs w:val="20"/>
          <w:color w:val="auto"/>
        </w:rPr>
      </w:pPr>
      <w:r>
        <w:rPr>
          <w:rFonts w:ascii="Arial" w:cs="Arial" w:eastAsia="Arial" w:hAnsi="Arial"/>
          <w:sz w:val="19"/>
          <w:szCs w:val="19"/>
          <w:color w:val="auto"/>
        </w:rPr>
        <w:t>As permitted by Delaware law, provisions in our amended and restated certificate of incorporation and amended and restated bylaws limit or eliminate the personal liability of directors for a breach of their fiduciary duty of care as a director. In addition, we have entered into indemnification agreements with each of our executive officers and the members of our board of directors which may require us to indemnify them. See “Item 11 – Executive Compensation – Limitations on Liability and Indemnification.”</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Policies for Approval of Related Party Transactions</w:t>
      </w:r>
    </w:p>
    <w:p>
      <w:pPr>
        <w:spacing w:after="0" w:line="245" w:lineRule="exact"/>
        <w:rPr>
          <w:sz w:val="20"/>
          <w:szCs w:val="20"/>
          <w:color w:val="auto"/>
        </w:rPr>
      </w:pPr>
    </w:p>
    <w:p>
      <w:pPr>
        <w:ind w:right="120"/>
        <w:spacing w:after="0" w:line="258" w:lineRule="auto"/>
        <w:rPr>
          <w:sz w:val="20"/>
          <w:szCs w:val="20"/>
          <w:color w:val="auto"/>
        </w:rPr>
      </w:pPr>
      <w:r>
        <w:rPr>
          <w:rFonts w:ascii="Arial" w:cs="Arial" w:eastAsia="Arial" w:hAnsi="Arial"/>
          <w:sz w:val="19"/>
          <w:szCs w:val="19"/>
          <w:color w:val="auto"/>
        </w:rPr>
        <w:t>Our board of directors reviews and approves transactions with directors, officers and holders of 5% or more of our voting securities and their affiliates, each a related party. Prior to our initial public offering in July 2021, the material facts as to the related party’s relationship or interest in the transaction were disclosed to our board of directors prior to their consideration of such transaction, and the transaction was not considered approved by our board of directors unless a majority of the directors who are not interested in the transaction approved the transaction. Further, when stockholders were entitled to vote on a transaction with a related party, the material facts of the related party’s relationship or interest in the transaction were disclosed to the stockholders, who must have approved the transaction in good faith.</w:t>
      </w:r>
    </w:p>
    <w:p>
      <w:pPr>
        <w:spacing w:after="0" w:line="190" w:lineRule="exact"/>
        <w:rPr>
          <w:sz w:val="20"/>
          <w:szCs w:val="20"/>
          <w:color w:val="auto"/>
        </w:rPr>
      </w:pPr>
    </w:p>
    <w:p>
      <w:pPr>
        <w:ind w:right="200"/>
        <w:spacing w:after="0" w:line="281" w:lineRule="auto"/>
        <w:rPr>
          <w:sz w:val="20"/>
          <w:szCs w:val="20"/>
          <w:color w:val="auto"/>
        </w:rPr>
      </w:pPr>
      <w:r>
        <w:rPr>
          <w:rFonts w:ascii="Arial" w:cs="Arial" w:eastAsia="Arial" w:hAnsi="Arial"/>
          <w:sz w:val="18"/>
          <w:szCs w:val="18"/>
          <w:color w:val="auto"/>
        </w:rPr>
        <w:t>In connection with our initial public offering in July 2021, our board of directors adopted a written related party transactions policy that provides that such transactions must be approved by our audit committee. This policy became effective on the date on which the registration statement related to our initial public offering was declared effective by the SEC. Pursuant to this policy, the audit committee has the primary responsibility for reviewing and approving or disapproving “related party transactions,” which are transactions between us and</w:t>
      </w:r>
    </w:p>
    <w:p>
      <w:pPr>
        <w:sectPr>
          <w:pgSz w:w="12240" w:h="15840" w:orient="portrait"/>
          <w:cols w:equalWidth="0" w:num="1">
            <w:col w:w="9360"/>
          </w:cols>
          <w:pgMar w:left="1440" w:top="1440" w:right="1440" w:bottom="991" w:gutter="0" w:footer="0" w:header="0"/>
        </w:sectPr>
      </w:pPr>
    </w:p>
    <w:bookmarkStart w:id="168" w:name="page169"/>
    <w:bookmarkEnd w:id="168"/>
    <w:p>
      <w:pPr>
        <w:ind w:right="80"/>
        <w:spacing w:after="0" w:line="263" w:lineRule="auto"/>
        <w:rPr>
          <w:sz w:val="20"/>
          <w:szCs w:val="20"/>
          <w:color w:val="auto"/>
        </w:rPr>
      </w:pPr>
      <w:r>
        <w:rPr>
          <w:rFonts w:ascii="Arial" w:cs="Arial" w:eastAsia="Arial" w:hAnsi="Arial"/>
          <w:sz w:val="19"/>
          <w:szCs w:val="19"/>
          <w:color w:val="auto"/>
        </w:rPr>
        <w:t>related persons in which the aggregate amount involved exceeds or may be expected to exceed $ 120,000 and in which a related person has or will have a direct or indirect material interest. For purposes of this policy, a related person will be defined as a director, executive officer, nominee for director, or greater than 5% beneficial owner of our common stock, in each case since the beginning of the most recently completed year, and their immediate family members.</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Director Independence</w:t>
      </w:r>
    </w:p>
    <w:p>
      <w:pPr>
        <w:spacing w:after="0" w:line="245" w:lineRule="exact"/>
        <w:rPr>
          <w:sz w:val="20"/>
          <w:szCs w:val="20"/>
          <w:color w:val="auto"/>
        </w:rPr>
      </w:pPr>
    </w:p>
    <w:p>
      <w:pPr>
        <w:ind w:right="20"/>
        <w:spacing w:after="0" w:line="252" w:lineRule="auto"/>
        <w:rPr>
          <w:sz w:val="20"/>
          <w:szCs w:val="20"/>
          <w:color w:val="auto"/>
        </w:rPr>
      </w:pPr>
      <w:r>
        <w:rPr>
          <w:rFonts w:ascii="Arial" w:cs="Arial" w:eastAsia="Arial" w:hAnsi="Arial"/>
          <w:sz w:val="19"/>
          <w:szCs w:val="19"/>
          <w:color w:val="auto"/>
        </w:rPr>
        <w:t>Under the Nasdaq listing rules, independent directors must comprise a majority of a listed company’s board of directors within twelve months from the date of listing. In addition, the Nasdaq listing rules require that, subject to specified exceptions, each member of a listed company’s audit, compensation and nominating and governance committees be independent within twelve months from the date of listing. Audit committee members must also satisfy additional independence criteria, including those set forth in Rule 10A-3 under the Securities Exchange Act of 1934, as amended (the Exchange Act), and compensation committee members must also satisfy the independence criteria set forth in Rule 10C-1 under the Exchange Act. Under Nasdaq listing rules, a director will only qualify as an “independent director” if, in the opinion of that company’s board of directors, that person does not have a relationship that would interfere with the exercise of independent judgment in carrying out the responsibilities of a director. In order to be considered independent for purposes of Rule 10A-3 under the Exchange Act, a member of an audit committee of a listed company may not, other than in his or her capacity as a member of the audit committee, the board of directors or any other board committee:</w:t>
      </w:r>
    </w:p>
    <w:p>
      <w:pPr>
        <w:spacing w:after="0" w:line="7" w:lineRule="exact"/>
        <w:rPr>
          <w:sz w:val="20"/>
          <w:szCs w:val="20"/>
          <w:color w:val="auto"/>
        </w:rPr>
      </w:pPr>
    </w:p>
    <w:p>
      <w:pPr>
        <w:spacing w:after="0" w:line="257" w:lineRule="auto"/>
        <w:tabs>
          <w:tab w:leader="none" w:pos="283" w:val="left"/>
        </w:tabs>
        <w:numPr>
          <w:ilvl w:val="0"/>
          <w:numId w:val="109"/>
        </w:numPr>
        <w:rPr>
          <w:rFonts w:ascii="Arial" w:cs="Arial" w:eastAsia="Arial" w:hAnsi="Arial"/>
          <w:sz w:val="19"/>
          <w:szCs w:val="19"/>
          <w:color w:val="auto"/>
        </w:rPr>
      </w:pPr>
      <w:r>
        <w:rPr>
          <w:rFonts w:ascii="Arial" w:cs="Arial" w:eastAsia="Arial" w:hAnsi="Arial"/>
          <w:sz w:val="19"/>
          <w:szCs w:val="19"/>
          <w:color w:val="auto"/>
        </w:rPr>
        <w:t>accept, directly or indirectly, any consulting, advisory or other compensatory fee from the listed company or any of its subsidiaries, other than compensation for board service; or (2) be an affiliated person of the listed company or any of its subsidiaries. In order to be considered independent for purposes of Rule 10C-1, the board of directors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the source of compensation of the director, including any consulting advisory or other compensatory fee paid by such company to the director, and whether the director is affiliated with the company or any of its subsidiaries or affiliates.</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Director Affiliations</w:t>
      </w:r>
    </w:p>
    <w:p>
      <w:pPr>
        <w:spacing w:after="0" w:line="238" w:lineRule="exact"/>
        <w:rPr>
          <w:sz w:val="20"/>
          <w:szCs w:val="20"/>
          <w:color w:val="auto"/>
        </w:rPr>
      </w:pPr>
    </w:p>
    <w:p>
      <w:pPr>
        <w:ind w:right="60"/>
        <w:spacing w:after="0" w:line="293" w:lineRule="auto"/>
        <w:rPr>
          <w:sz w:val="20"/>
          <w:szCs w:val="20"/>
          <w:color w:val="auto"/>
        </w:rPr>
      </w:pPr>
      <w:r>
        <w:rPr>
          <w:rFonts w:ascii="Arial" w:cs="Arial" w:eastAsia="Arial" w:hAnsi="Arial"/>
          <w:sz w:val="19"/>
          <w:szCs w:val="19"/>
          <w:color w:val="auto"/>
        </w:rPr>
        <w:t>Some of our directors are affiliated with and serve on the board of directors as representatives of entities which beneficially own or owned 5% or more of our common stock, as indicated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996" w:type="dxa"/>
            <w:vAlign w:val="bottom"/>
          </w:tcPr>
          <w:p>
            <w:pPr>
              <w:ind w:left="1660"/>
              <w:spacing w:after="0"/>
              <w:rPr>
                <w:sz w:val="20"/>
                <w:szCs w:val="20"/>
                <w:color w:val="auto"/>
              </w:rPr>
            </w:pPr>
            <w:r>
              <w:rPr>
                <w:rFonts w:ascii="Arial" w:cs="Arial" w:eastAsia="Arial" w:hAnsi="Arial"/>
                <w:sz w:val="18"/>
                <w:szCs w:val="18"/>
                <w:b w:val="1"/>
                <w:bCs w:val="1"/>
                <w:color w:val="auto"/>
              </w:rPr>
              <w:t>Name</w:t>
            </w:r>
          </w:p>
        </w:tc>
        <w:tc>
          <w:tcPr>
            <w:tcW w:w="5364" w:type="dxa"/>
            <w:vAlign w:val="bottom"/>
          </w:tcPr>
          <w:p>
            <w:pPr>
              <w:ind w:left="1784"/>
              <w:spacing w:after="0"/>
              <w:rPr>
                <w:sz w:val="20"/>
                <w:szCs w:val="20"/>
                <w:color w:val="auto"/>
              </w:rPr>
            </w:pPr>
            <w:r>
              <w:rPr>
                <w:rFonts w:ascii="Arial" w:cs="Arial" w:eastAsia="Arial" w:hAnsi="Arial"/>
                <w:sz w:val="18"/>
                <w:szCs w:val="18"/>
                <w:b w:val="1"/>
                <w:bCs w:val="1"/>
                <w:color w:val="auto"/>
              </w:rPr>
              <w:t>Principal Stockholder</w:t>
            </w:r>
          </w:p>
        </w:tc>
      </w:tr>
      <w:tr>
        <w:trPr>
          <w:trHeight w:val="262"/>
        </w:trPr>
        <w:tc>
          <w:tcPr>
            <w:tcW w:w="3996" w:type="dxa"/>
            <w:vAlign w:val="bottom"/>
            <w:shd w:val="clear" w:color="auto" w:fill="CFF0FC"/>
          </w:tcPr>
          <w:p>
            <w:pPr>
              <w:ind w:left="20"/>
              <w:spacing w:after="0"/>
              <w:rPr>
                <w:sz w:val="20"/>
                <w:szCs w:val="20"/>
                <w:color w:val="auto"/>
              </w:rPr>
            </w:pPr>
            <w:r>
              <w:rPr>
                <w:rFonts w:ascii="Arial" w:cs="Arial" w:eastAsia="Arial" w:hAnsi="Arial"/>
                <w:sz w:val="18"/>
                <w:szCs w:val="18"/>
                <w:color w:val="auto"/>
              </w:rPr>
              <w:t>Paul B. Manning</w:t>
            </w:r>
          </w:p>
        </w:tc>
        <w:tc>
          <w:tcPr>
            <w:tcW w:w="5364" w:type="dxa"/>
            <w:vAlign w:val="bottom"/>
            <w:shd w:val="clear" w:color="auto" w:fill="CFF0FC"/>
          </w:tcPr>
          <w:p>
            <w:pPr>
              <w:ind w:left="64"/>
              <w:spacing w:after="0"/>
              <w:rPr>
                <w:sz w:val="20"/>
                <w:szCs w:val="20"/>
                <w:color w:val="auto"/>
              </w:rPr>
            </w:pPr>
            <w:r>
              <w:rPr>
                <w:rFonts w:ascii="Arial" w:cs="Arial" w:eastAsia="Arial" w:hAnsi="Arial"/>
                <w:sz w:val="18"/>
                <w:szCs w:val="18"/>
                <w:color w:val="auto"/>
              </w:rPr>
              <w:t>PBM Capital</w:t>
            </w: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14. Principal Accounting Fees and Services.</w:t>
      </w:r>
    </w:p>
    <w:p>
      <w:pPr>
        <w:spacing w:after="0" w:line="193" w:lineRule="exact"/>
        <w:rPr>
          <w:sz w:val="20"/>
          <w:szCs w:val="20"/>
          <w:color w:val="auto"/>
        </w:rPr>
      </w:pPr>
    </w:p>
    <w:p>
      <w:pPr>
        <w:ind w:right="260"/>
        <w:spacing w:after="0" w:line="263" w:lineRule="auto"/>
        <w:rPr>
          <w:sz w:val="20"/>
          <w:szCs w:val="20"/>
          <w:color w:val="auto"/>
        </w:rPr>
      </w:pPr>
      <w:r>
        <w:rPr>
          <w:rFonts w:ascii="Arial" w:cs="Arial" w:eastAsia="Arial" w:hAnsi="Arial"/>
          <w:sz w:val="19"/>
          <w:szCs w:val="19"/>
          <w:color w:val="auto"/>
        </w:rPr>
        <w:t>Our independent public accounting firm is KPMG LLP, Boston Massachusetts, PCAOB Auditor ID: 185. The Audit Committee has selected KPMG LLP as our independent registered public accounting firm for the years ended December 31, 2023 and 2022. In addition to retaining KPMG LLP to audit our consolidated financial statements for years ended December 31, 2023 and 2022, we may engage the firm from time to time during the year to perform other services.</w:t>
      </w:r>
    </w:p>
    <w:p>
      <w:pPr>
        <w:spacing w:after="0" w:line="183" w:lineRule="exact"/>
        <w:rPr>
          <w:sz w:val="20"/>
          <w:szCs w:val="20"/>
          <w:color w:val="auto"/>
        </w:rPr>
      </w:pPr>
    </w:p>
    <w:p>
      <w:pPr>
        <w:ind w:right="420"/>
        <w:spacing w:after="0" w:line="295" w:lineRule="auto"/>
        <w:rPr>
          <w:sz w:val="20"/>
          <w:szCs w:val="20"/>
          <w:color w:val="auto"/>
        </w:rPr>
      </w:pPr>
      <w:r>
        <w:rPr>
          <w:rFonts w:ascii="Arial" w:cs="Arial" w:eastAsia="Arial" w:hAnsi="Arial"/>
          <w:sz w:val="19"/>
          <w:szCs w:val="19"/>
          <w:color w:val="auto"/>
        </w:rPr>
        <w:t>The following table sets forth the aggregate fees billed by KPMG LLP in connection with services rendered during the last two fiscal years.</w:t>
      </w:r>
    </w:p>
    <w:p>
      <w:pPr>
        <w:spacing w:after="0" w:line="200" w:lineRule="exact"/>
        <w:rPr>
          <w:sz w:val="20"/>
          <w:szCs w:val="20"/>
          <w:color w:val="auto"/>
        </w:rPr>
      </w:pPr>
    </w:p>
    <w:p>
      <w:pPr>
        <w:spacing w:after="0" w:line="21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For the Years Ended</w:t>
      </w:r>
    </w:p>
    <w:p>
      <w:pPr>
        <w:spacing w:after="0" w:line="49" w:lineRule="exact"/>
        <w:rPr>
          <w:sz w:val="20"/>
          <w:szCs w:val="20"/>
          <w:color w:val="auto"/>
        </w:rPr>
      </w:pPr>
    </w:p>
    <w:tbl>
      <w:tblPr>
        <w:tblLayout w:type="fixed"/>
        <w:tblInd w:w="1980" w:type="dxa"/>
        <w:tblCellMar>
          <w:top w:w="0" w:type="dxa"/>
          <w:left w:w="0" w:type="dxa"/>
          <w:bottom w:w="0" w:type="dxa"/>
          <w:right w:w="0" w:type="dxa"/>
        </w:tblCellMar>
      </w:tblPr>
      <w:tr>
        <w:trPr>
          <w:trHeight w:val="293"/>
        </w:trPr>
        <w:tc>
          <w:tcPr>
            <w:tcW w:w="2140" w:type="dxa"/>
            <w:vAlign w:val="bottom"/>
            <w:tcBorders>
              <w:top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spacing w:after="0"/>
              <w:rPr>
                <w:sz w:val="24"/>
                <w:szCs w:val="24"/>
                <w:color w:val="auto"/>
              </w:rPr>
            </w:pPr>
          </w:p>
        </w:tc>
        <w:tc>
          <w:tcPr>
            <w:tcW w:w="1300" w:type="dxa"/>
            <w:vAlign w:val="bottom"/>
            <w:tcBorders>
              <w:top w:val="single" w:sz="8" w:color="auto"/>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rPr>
              <w:t>2023</w:t>
            </w:r>
          </w:p>
        </w:tc>
        <w:tc>
          <w:tcPr>
            <w:tcW w:w="60" w:type="dxa"/>
            <w:vAlign w:val="bottom"/>
            <w:tcBorders>
              <w:top w:val="single" w:sz="8" w:color="auto"/>
              <w:bottom w:val="single" w:sz="8" w:color="auto"/>
            </w:tcBorders>
            <w:shd w:val="clear" w:color="auto" w:fill="CFF0FC"/>
          </w:tcPr>
          <w:p>
            <w:pPr>
              <w:spacing w:after="0"/>
              <w:rPr>
                <w:sz w:val="24"/>
                <w:szCs w:val="24"/>
                <w:color w:val="auto"/>
              </w:rPr>
            </w:pPr>
          </w:p>
        </w:tc>
        <w:tc>
          <w:tcPr>
            <w:tcW w:w="220" w:type="dxa"/>
            <w:vAlign w:val="bottom"/>
            <w:tcBorders>
              <w:top w:val="single" w:sz="8" w:color="auto"/>
            </w:tcBorders>
            <w:shd w:val="clear" w:color="auto" w:fill="CFF0FC"/>
          </w:tcPr>
          <w:p>
            <w:pPr>
              <w:spacing w:after="0"/>
              <w:rPr>
                <w:sz w:val="24"/>
                <w:szCs w:val="24"/>
                <w:color w:val="auto"/>
              </w:rPr>
            </w:pPr>
          </w:p>
        </w:tc>
        <w:tc>
          <w:tcPr>
            <w:tcW w:w="1580" w:type="dxa"/>
            <w:vAlign w:val="bottom"/>
            <w:tcBorders>
              <w:top w:val="single" w:sz="8" w:color="auto"/>
              <w:bottom w:val="single" w:sz="8" w:color="auto"/>
            </w:tcBorders>
            <w:shd w:val="clear" w:color="auto" w:fill="CFF0FC"/>
          </w:tcPr>
          <w:p>
            <w:pPr>
              <w:jc w:val="right"/>
              <w:ind w:right="490"/>
              <w:spacing w:after="0"/>
              <w:rPr>
                <w:sz w:val="20"/>
                <w:szCs w:val="20"/>
                <w:color w:val="auto"/>
              </w:rPr>
            </w:pPr>
            <w:r>
              <w:rPr>
                <w:rFonts w:ascii="Arial" w:cs="Arial" w:eastAsia="Arial" w:hAnsi="Arial"/>
                <w:sz w:val="18"/>
                <w:szCs w:val="18"/>
                <w:color w:val="auto"/>
              </w:rPr>
              <w:t>2022</w:t>
            </w:r>
          </w:p>
        </w:tc>
      </w:tr>
      <w:tr>
        <w:trPr>
          <w:trHeight w:val="300"/>
        </w:trPr>
        <w:tc>
          <w:tcPr>
            <w:tcW w:w="2240" w:type="dxa"/>
            <w:vAlign w:val="bottom"/>
            <w:gridSpan w:val="2"/>
          </w:tcPr>
          <w:p>
            <w:pPr>
              <w:ind w:left="100"/>
              <w:spacing w:after="0"/>
              <w:rPr>
                <w:sz w:val="20"/>
                <w:szCs w:val="20"/>
                <w:color w:val="auto"/>
              </w:rPr>
            </w:pPr>
            <w:r>
              <w:rPr>
                <w:rFonts w:ascii="Arial" w:cs="Arial" w:eastAsia="Arial" w:hAnsi="Arial"/>
                <w:sz w:val="18"/>
                <w:szCs w:val="18"/>
                <w:color w:val="auto"/>
              </w:rPr>
              <w:t>Audit Fees (1)</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$643,433</w:t>
            </w:r>
          </w:p>
        </w:tc>
        <w:tc>
          <w:tcPr>
            <w:tcW w:w="1860" w:type="dxa"/>
            <w:vAlign w:val="bottom"/>
            <w:gridSpan w:val="3"/>
          </w:tcPr>
          <w:p>
            <w:pPr>
              <w:jc w:val="right"/>
              <w:ind w:right="310"/>
              <w:spacing w:after="0"/>
              <w:rPr>
                <w:sz w:val="20"/>
                <w:szCs w:val="20"/>
                <w:color w:val="auto"/>
              </w:rPr>
            </w:pPr>
            <w:r>
              <w:rPr>
                <w:rFonts w:ascii="Arial" w:cs="Arial" w:eastAsia="Arial" w:hAnsi="Arial"/>
                <w:sz w:val="18"/>
                <w:szCs w:val="18"/>
                <w:color w:val="auto"/>
              </w:rPr>
              <w:t>$588,578</w:t>
            </w:r>
          </w:p>
        </w:tc>
      </w:tr>
    </w:tbl>
    <w:p>
      <w:pPr>
        <w:sectPr>
          <w:pgSz w:w="12240" w:h="15840" w:orient="portrait"/>
          <w:cols w:equalWidth="0" w:num="1">
            <w:col w:w="9360"/>
          </w:cols>
          <w:pgMar w:left="1440" w:top="1432" w:right="1440" w:bottom="1034" w:gutter="0" w:footer="0" w:header="0"/>
        </w:sectPr>
      </w:pPr>
    </w:p>
    <w:bookmarkStart w:id="169" w:name="page170"/>
    <w:bookmarkEnd w:id="169"/>
    <w:p>
      <w:pPr>
        <w:spacing w:after="0" w:line="1" w:lineRule="exact"/>
        <w:rPr>
          <w:sz w:val="20"/>
          <w:szCs w:val="20"/>
          <w:color w:val="auto"/>
        </w:rPr>
      </w:pPr>
    </w:p>
    <w:tbl>
      <w:tblPr>
        <w:tblLayout w:type="fixed"/>
        <w:tblInd w:w="1980" w:type="dxa"/>
        <w:tblCellMar>
          <w:top w:w="0" w:type="dxa"/>
          <w:left w:w="0" w:type="dxa"/>
          <w:bottom w:w="0" w:type="dxa"/>
          <w:right w:w="0" w:type="dxa"/>
        </w:tblCellMar>
      </w:tblPr>
      <w:tr>
        <w:trPr>
          <w:trHeight w:val="290"/>
        </w:trPr>
        <w:tc>
          <w:tcPr>
            <w:tcW w:w="17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All other fees</w:t>
            </w:r>
          </w:p>
        </w:tc>
        <w:tc>
          <w:tcPr>
            <w:tcW w:w="182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rPr>
              <w:t>$0</w:t>
            </w:r>
          </w:p>
        </w:tc>
        <w:tc>
          <w:tcPr>
            <w:tcW w:w="1860" w:type="dxa"/>
            <w:vAlign w:val="bottom"/>
            <w:shd w:val="clear" w:color="auto" w:fill="CFF0FC"/>
          </w:tcPr>
          <w:p>
            <w:pPr>
              <w:jc w:val="right"/>
              <w:ind w:right="590"/>
              <w:spacing w:after="0"/>
              <w:rPr>
                <w:sz w:val="20"/>
                <w:szCs w:val="20"/>
                <w:color w:val="auto"/>
              </w:rPr>
            </w:pPr>
            <w:r>
              <w:rPr>
                <w:rFonts w:ascii="Arial" w:cs="Arial" w:eastAsia="Arial" w:hAnsi="Arial"/>
                <w:sz w:val="18"/>
                <w:szCs w:val="18"/>
                <w:color w:val="auto"/>
              </w:rPr>
              <w:t>$0</w:t>
            </w:r>
          </w:p>
        </w:tc>
      </w:tr>
      <w:tr>
        <w:trPr>
          <w:trHeight w:val="308"/>
        </w:trPr>
        <w:tc>
          <w:tcPr>
            <w:tcW w:w="1720" w:type="dxa"/>
            <w:vAlign w:val="bottom"/>
          </w:tcPr>
          <w:p>
            <w:pPr>
              <w:ind w:left="100"/>
              <w:spacing w:after="0"/>
              <w:rPr>
                <w:sz w:val="20"/>
                <w:szCs w:val="20"/>
                <w:color w:val="auto"/>
              </w:rPr>
            </w:pPr>
            <w:r>
              <w:rPr>
                <w:rFonts w:ascii="Arial" w:cs="Arial" w:eastAsia="Arial" w:hAnsi="Arial"/>
                <w:sz w:val="18"/>
                <w:szCs w:val="18"/>
                <w:color w:val="auto"/>
              </w:rPr>
              <w:t>Total</w:t>
            </w:r>
          </w:p>
        </w:tc>
        <w:tc>
          <w:tcPr>
            <w:tcW w:w="1820" w:type="dxa"/>
            <w:vAlign w:val="bottom"/>
          </w:tcPr>
          <w:p>
            <w:pPr>
              <w:jc w:val="right"/>
              <w:ind w:right="210"/>
              <w:spacing w:after="0"/>
              <w:rPr>
                <w:sz w:val="20"/>
                <w:szCs w:val="20"/>
                <w:color w:val="auto"/>
              </w:rPr>
            </w:pPr>
            <w:r>
              <w:rPr>
                <w:rFonts w:ascii="Arial" w:cs="Arial" w:eastAsia="Arial" w:hAnsi="Arial"/>
                <w:sz w:val="18"/>
                <w:szCs w:val="18"/>
                <w:color w:val="auto"/>
              </w:rPr>
              <w:t>$643,433</w:t>
            </w:r>
          </w:p>
        </w:tc>
        <w:tc>
          <w:tcPr>
            <w:tcW w:w="1860" w:type="dxa"/>
            <w:vAlign w:val="bottom"/>
          </w:tcPr>
          <w:p>
            <w:pPr>
              <w:jc w:val="right"/>
              <w:ind w:right="310"/>
              <w:spacing w:after="0"/>
              <w:rPr>
                <w:sz w:val="20"/>
                <w:szCs w:val="20"/>
                <w:color w:val="auto"/>
              </w:rPr>
            </w:pPr>
            <w:r>
              <w:rPr>
                <w:rFonts w:ascii="Arial" w:cs="Arial" w:eastAsia="Arial" w:hAnsi="Arial"/>
                <w:sz w:val="18"/>
                <w:szCs w:val="18"/>
                <w:color w:val="auto"/>
              </w:rPr>
              <w:t>$588,578</w:t>
            </w:r>
          </w:p>
        </w:tc>
      </w:tr>
    </w:tbl>
    <w:p>
      <w:pPr>
        <w:spacing w:after="0" w:line="200" w:lineRule="exact"/>
        <w:rPr>
          <w:sz w:val="20"/>
          <w:szCs w:val="20"/>
          <w:color w:val="auto"/>
        </w:rPr>
      </w:pPr>
    </w:p>
    <w:p>
      <w:pPr>
        <w:spacing w:after="0" w:line="234" w:lineRule="exact"/>
        <w:rPr>
          <w:sz w:val="20"/>
          <w:szCs w:val="20"/>
          <w:color w:val="auto"/>
        </w:rPr>
      </w:pPr>
    </w:p>
    <w:p>
      <w:pPr>
        <w:ind w:left="720" w:hanging="360"/>
        <w:spacing w:after="0" w:line="263" w:lineRule="auto"/>
        <w:tabs>
          <w:tab w:leader="none" w:pos="720" w:val="left"/>
        </w:tabs>
        <w:numPr>
          <w:ilvl w:val="0"/>
          <w:numId w:val="110"/>
        </w:numPr>
        <w:rPr>
          <w:rFonts w:ascii="Arial" w:cs="Arial" w:eastAsia="Arial" w:hAnsi="Arial"/>
          <w:sz w:val="16"/>
          <w:szCs w:val="16"/>
          <w:color w:val="auto"/>
        </w:rPr>
      </w:pPr>
      <w:r>
        <w:rPr>
          <w:rFonts w:ascii="Arial" w:cs="Arial" w:eastAsia="Arial" w:hAnsi="Arial"/>
          <w:sz w:val="19"/>
          <w:szCs w:val="19"/>
          <w:color w:val="auto"/>
        </w:rPr>
        <w:t>Audit fees consist of fees for professional services rendered in connection with the audit of our annual consolidated financial statements, the review of the interim consolidated financial statements included in quarterly reports, services rendered in connection with SEC registration statements, including the IPO, and services that are normally provided by KPMG LLP, such as comfort letters, in connection with statutory and regulatory filings or engagements.</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color w:val="auto"/>
        </w:rPr>
        <w:t>In fiscal years 2023 and 2022, no services other than those discussed above were provided by KPMG LLP.</w:t>
      </w:r>
    </w:p>
    <w:p>
      <w:pPr>
        <w:spacing w:after="0" w:line="242" w:lineRule="exact"/>
        <w:rPr>
          <w:sz w:val="20"/>
          <w:szCs w:val="20"/>
          <w:color w:val="auto"/>
        </w:rPr>
      </w:pPr>
    </w:p>
    <w:p>
      <w:pPr>
        <w:ind w:right="20"/>
        <w:spacing w:after="0" w:line="261" w:lineRule="auto"/>
        <w:rPr>
          <w:sz w:val="20"/>
          <w:szCs w:val="20"/>
          <w:color w:val="auto"/>
        </w:rPr>
      </w:pPr>
      <w:r>
        <w:rPr>
          <w:rFonts w:ascii="Arial" w:cs="Arial" w:eastAsia="Arial" w:hAnsi="Arial"/>
          <w:sz w:val="19"/>
          <w:szCs w:val="19"/>
          <w:color w:val="auto"/>
        </w:rPr>
        <w:t>The Audit Committee has adopted a policy requiring pre-approval of all audit and non-audit related services to be performed by the Company’s independent auditor regardless of amount. These services may include audit services, audit-related services, tax services and other related services. KPMG LLP and management are required to periodically report to the Audit Committee regarding the extent of services provided by KPMG LLP in accordance with this pre-approval and the fees for the services performed to date. The Audit Committee may also pre-approve particular services on a case-by-case basis.</w:t>
      </w:r>
    </w:p>
    <w:p>
      <w:pPr>
        <w:spacing w:after="0" w:line="185" w:lineRule="exact"/>
        <w:rPr>
          <w:sz w:val="20"/>
          <w:szCs w:val="20"/>
          <w:color w:val="auto"/>
        </w:rPr>
      </w:pPr>
    </w:p>
    <w:p>
      <w:pPr>
        <w:ind w:right="40"/>
        <w:spacing w:after="0" w:line="259" w:lineRule="auto"/>
        <w:rPr>
          <w:sz w:val="20"/>
          <w:szCs w:val="20"/>
          <w:color w:val="auto"/>
        </w:rPr>
      </w:pPr>
      <w:r>
        <w:rPr>
          <w:rFonts w:ascii="Arial" w:cs="Arial" w:eastAsia="Arial" w:hAnsi="Arial"/>
          <w:sz w:val="19"/>
          <w:szCs w:val="19"/>
          <w:color w:val="auto"/>
        </w:rPr>
        <w:t>The Audit Committee annually evaluates the qualifications, performance and independence of the Company’s independent registered public accounting firm. It selected KPMG as the Company’s independent registered public accounting firm for 2023. This selection was subsequently approved by the Board. The Audit Committee has reviewed and discussed with management and with KPMG the Company’s audited consolidated financial statements for the year ended December 31, 2023. In addition, the Audit Committee has discussed with KPMG the matters that independent registered public accounting firms must communicate to audit committees under applicable PCAOB standards.</w:t>
      </w:r>
    </w:p>
    <w:p>
      <w:pPr>
        <w:spacing w:after="0" w:line="188" w:lineRule="exact"/>
        <w:rPr>
          <w:sz w:val="20"/>
          <w:szCs w:val="20"/>
          <w:color w:val="auto"/>
        </w:rPr>
      </w:pPr>
    </w:p>
    <w:p>
      <w:pPr>
        <w:ind w:right="180"/>
        <w:spacing w:after="0" w:line="274" w:lineRule="auto"/>
        <w:rPr>
          <w:sz w:val="20"/>
          <w:szCs w:val="20"/>
          <w:color w:val="auto"/>
        </w:rPr>
      </w:pPr>
      <w:r>
        <w:rPr>
          <w:rFonts w:ascii="Arial" w:cs="Arial" w:eastAsia="Arial" w:hAnsi="Arial"/>
          <w:sz w:val="19"/>
          <w:szCs w:val="19"/>
          <w:color w:val="auto"/>
        </w:rPr>
        <w:t>The Audit Committee has also discussed and confirmed with KPMG its independence from the Company and received all written disclosures and correspondence required by the PCAOB Ethics and Independence requirements.</w:t>
      </w:r>
    </w:p>
    <w:p>
      <w:pPr>
        <w:spacing w:after="0" w:line="173" w:lineRule="exact"/>
        <w:rPr>
          <w:sz w:val="20"/>
          <w:szCs w:val="20"/>
          <w:color w:val="auto"/>
        </w:rPr>
      </w:pPr>
    </w:p>
    <w:p>
      <w:pPr>
        <w:ind w:right="260"/>
        <w:spacing w:after="0" w:line="273" w:lineRule="auto"/>
        <w:rPr>
          <w:sz w:val="20"/>
          <w:szCs w:val="20"/>
          <w:color w:val="auto"/>
        </w:rPr>
      </w:pPr>
      <w:r>
        <w:rPr>
          <w:rFonts w:ascii="Arial" w:cs="Arial" w:eastAsia="Arial" w:hAnsi="Arial"/>
          <w:sz w:val="19"/>
          <w:szCs w:val="19"/>
          <w:color w:val="auto"/>
        </w:rPr>
        <w:t>Based on the reviews and discussions referred to above, the Audit Committee recommended to our board of directors that the audited consolidated financial statements for the year ended December 31, 2023 and the related footnotes be included in the Original Form 10-K for the year ended December 31, 2023.</w:t>
      </w:r>
    </w:p>
    <w:p>
      <w:pPr>
        <w:sectPr>
          <w:pgSz w:w="12240" w:h="15840" w:orient="portrait"/>
          <w:cols w:equalWidth="0" w:num="1">
            <w:col w:w="9360"/>
          </w:cols>
          <w:pgMar w:left="1440" w:top="1440" w:right="1440" w:bottom="1440" w:gutter="0" w:footer="0" w:header="0"/>
        </w:sectPr>
      </w:pPr>
    </w:p>
    <w:bookmarkStart w:id="170" w:name="page171"/>
    <w:bookmarkEnd w:id="170"/>
    <w:p>
      <w:pPr>
        <w:spacing w:after="0"/>
        <w:rPr>
          <w:sz w:val="20"/>
          <w:szCs w:val="20"/>
          <w:color w:val="auto"/>
        </w:rPr>
      </w:pPr>
      <w:r>
        <w:rPr>
          <w:rFonts w:ascii="Arial" w:cs="Arial" w:eastAsia="Arial" w:hAnsi="Arial"/>
          <w:sz w:val="20"/>
          <w:szCs w:val="20"/>
          <w:b w:val="1"/>
          <w:bCs w:val="1"/>
          <w:color w:val="auto"/>
        </w:rPr>
        <w:t>PART IV</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15. Exhibits and Financial Statement Schedules.</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Financial Statements</w:t>
      </w:r>
    </w:p>
    <w:p>
      <w:pPr>
        <w:spacing w:after="0" w:line="124" w:lineRule="exact"/>
        <w:rPr>
          <w:sz w:val="20"/>
          <w:szCs w:val="20"/>
          <w:color w:val="auto"/>
        </w:rPr>
      </w:pPr>
    </w:p>
    <w:p>
      <w:pPr>
        <w:ind w:left="720"/>
        <w:spacing w:after="0"/>
        <w:rPr>
          <w:sz w:val="20"/>
          <w:szCs w:val="20"/>
          <w:color w:val="auto"/>
        </w:rPr>
      </w:pPr>
      <w:r>
        <w:rPr>
          <w:rFonts w:ascii="Arial" w:cs="Arial" w:eastAsia="Arial" w:hAnsi="Arial"/>
          <w:sz w:val="20"/>
          <w:szCs w:val="20"/>
          <w:color w:val="auto"/>
        </w:rPr>
        <w:t>The financial statements are included in Item 15 of the Original Form 10-K.</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Financial Statement Schedules</w:t>
      </w:r>
    </w:p>
    <w:p>
      <w:pPr>
        <w:spacing w:after="0" w:line="124" w:lineRule="exact"/>
        <w:rPr>
          <w:sz w:val="20"/>
          <w:szCs w:val="20"/>
          <w:color w:val="auto"/>
        </w:rPr>
      </w:pPr>
    </w:p>
    <w:p>
      <w:pPr>
        <w:ind w:left="720"/>
        <w:spacing w:after="0"/>
        <w:rPr>
          <w:sz w:val="20"/>
          <w:szCs w:val="20"/>
          <w:color w:val="auto"/>
        </w:rPr>
      </w:pPr>
      <w:r>
        <w:rPr>
          <w:rFonts w:ascii="Arial" w:cs="Arial" w:eastAsia="Arial" w:hAnsi="Arial"/>
          <w:sz w:val="20"/>
          <w:szCs w:val="20"/>
          <w:color w:val="auto"/>
        </w:rPr>
        <w:t>The financial statement schedules are included in Item 15 of the Original Form 10-K.</w:t>
      </w:r>
    </w:p>
    <w:p>
      <w:pPr>
        <w:spacing w:after="0" w:line="3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Exhibits.</w:t>
      </w:r>
    </w:p>
    <w:p>
      <w:pPr>
        <w:spacing w:after="0" w:line="124" w:lineRule="exact"/>
        <w:rPr>
          <w:sz w:val="20"/>
          <w:szCs w:val="20"/>
          <w:color w:val="auto"/>
        </w:rPr>
      </w:pPr>
    </w:p>
    <w:p>
      <w:pPr>
        <w:ind w:left="720"/>
        <w:spacing w:after="0"/>
        <w:rPr>
          <w:sz w:val="20"/>
          <w:szCs w:val="20"/>
          <w:color w:val="auto"/>
        </w:rPr>
      </w:pPr>
      <w:r>
        <w:rPr>
          <w:rFonts w:ascii="Arial" w:cs="Arial" w:eastAsia="Arial" w:hAnsi="Arial"/>
          <w:sz w:val="20"/>
          <w:szCs w:val="20"/>
          <w:color w:val="auto"/>
        </w:rPr>
        <w:t>The following is a list of exhibits filed as part of this Form 10-K/A.</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240" w:type="dxa"/>
            <w:vAlign w:val="bottom"/>
            <w:gridSpan w:val="2"/>
          </w:tcPr>
          <w:p>
            <w:pPr>
              <w:spacing w:after="0"/>
              <w:rPr>
                <w:sz w:val="20"/>
                <w:szCs w:val="20"/>
                <w:color w:val="auto"/>
              </w:rPr>
            </w:pPr>
            <w:r>
              <w:rPr>
                <w:rFonts w:ascii="Arial" w:cs="Arial" w:eastAsia="Arial" w:hAnsi="Arial"/>
                <w:sz w:val="19"/>
                <w:szCs w:val="19"/>
                <w:b w:val="1"/>
                <w:bCs w:val="1"/>
                <w:color w:val="auto"/>
              </w:rPr>
              <w:t>Exhibit</w:t>
            </w: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240" w:type="dxa"/>
            <w:vAlign w:val="bottom"/>
            <w:gridSpan w:val="2"/>
          </w:tcPr>
          <w:p>
            <w:pPr>
              <w:spacing w:after="0"/>
              <w:rPr>
                <w:sz w:val="20"/>
                <w:szCs w:val="20"/>
                <w:color w:val="auto"/>
              </w:rPr>
            </w:pPr>
            <w:r>
              <w:rPr>
                <w:rFonts w:ascii="Arial" w:cs="Arial" w:eastAsia="Arial" w:hAnsi="Arial"/>
                <w:sz w:val="19"/>
                <w:szCs w:val="19"/>
                <w:b w:val="1"/>
                <w:bCs w:val="1"/>
                <w:color w:val="auto"/>
              </w:rPr>
              <w:t>Number</w:t>
            </w: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60" w:type="dxa"/>
            <w:vAlign w:val="bottom"/>
            <w:gridSpan w:val="26"/>
          </w:tcPr>
          <w:p>
            <w:pPr>
              <w:ind w:left="840"/>
              <w:spacing w:after="0"/>
              <w:rPr>
                <w:sz w:val="20"/>
                <w:szCs w:val="20"/>
                <w:color w:val="auto"/>
              </w:rPr>
            </w:pPr>
            <w:r>
              <w:rPr>
                <w:rFonts w:ascii="Arial" w:cs="Arial" w:eastAsia="Arial" w:hAnsi="Arial"/>
                <w:sz w:val="19"/>
                <w:szCs w:val="19"/>
                <w:b w:val="1"/>
                <w:bCs w:val="1"/>
                <w:color w:val="auto"/>
              </w:rPr>
              <w:t>Description</w:t>
            </w:r>
          </w:p>
        </w:tc>
        <w:tc>
          <w:tcPr>
            <w:tcW w:w="0" w:type="dxa"/>
            <w:vAlign w:val="bottom"/>
          </w:tcPr>
          <w:p>
            <w:pPr>
              <w:spacing w:after="0"/>
              <w:rPr>
                <w:sz w:val="1"/>
                <w:szCs w:val="1"/>
                <w:color w:val="auto"/>
              </w:rPr>
            </w:pPr>
          </w:p>
        </w:tc>
      </w:tr>
      <w:tr>
        <w:trPr>
          <w:trHeight w:val="191"/>
        </w:trPr>
        <w:tc>
          <w:tcPr>
            <w:tcW w:w="1040" w:type="dxa"/>
            <w:vAlign w:val="bottom"/>
            <w:tcBorders>
              <w:top w:val="single" w:sz="8" w:color="auto"/>
            </w:tcBorders>
          </w:tcPr>
          <w:p>
            <w:pPr>
              <w:spacing w:after="0" w:line="192" w:lineRule="exact"/>
              <w:rPr>
                <w:sz w:val="20"/>
                <w:szCs w:val="20"/>
                <w:color w:val="auto"/>
              </w:rPr>
            </w:pPr>
            <w:r>
              <w:rPr>
                <w:rFonts w:ascii="Arial" w:cs="Arial" w:eastAsia="Arial" w:hAnsi="Arial"/>
                <w:sz w:val="19"/>
                <w:szCs w:val="19"/>
                <w:color w:val="auto"/>
              </w:rPr>
              <w:t>3.1</w:t>
            </w:r>
          </w:p>
        </w:tc>
        <w:tc>
          <w:tcPr>
            <w:tcW w:w="200" w:type="dxa"/>
            <w:vAlign w:val="bottom"/>
          </w:tcPr>
          <w:p>
            <w:pPr>
              <w:spacing w:after="0"/>
              <w:rPr>
                <w:sz w:val="16"/>
                <w:szCs w:val="16"/>
                <w:color w:val="auto"/>
              </w:rPr>
            </w:pPr>
          </w:p>
        </w:tc>
        <w:tc>
          <w:tcPr>
            <w:tcW w:w="7880" w:type="dxa"/>
            <w:vAlign w:val="bottom"/>
            <w:tcBorders>
              <w:top w:val="single" w:sz="8" w:color="auto"/>
              <w:bottom w:val="single" w:sz="8" w:color="0000FF"/>
            </w:tcBorders>
            <w:gridSpan w:val="20"/>
          </w:tcPr>
          <w:p>
            <w:pPr>
              <w:spacing w:after="0" w:line="192" w:lineRule="exact"/>
              <w:rPr>
                <w:sz w:val="20"/>
                <w:szCs w:val="20"/>
                <w:color w:val="auto"/>
              </w:rPr>
            </w:pPr>
            <w:r>
              <w:rPr>
                <w:rFonts w:ascii="Arial" w:cs="Arial" w:eastAsia="Arial" w:hAnsi="Arial"/>
                <w:sz w:val="19"/>
                <w:szCs w:val="19"/>
                <w:color w:val="0000FF"/>
                <w:w w:val="99"/>
              </w:rPr>
              <w:t>Amended and Restated Certificate of Incorporation of Candel Therapeutics, Inc. (incorporated</w:t>
            </w:r>
          </w:p>
        </w:tc>
        <w:tc>
          <w:tcPr>
            <w:tcW w:w="260" w:type="dxa"/>
            <w:vAlign w:val="bottom"/>
            <w:tcBorders>
              <w:top w:val="single" w:sz="8" w:color="auto"/>
            </w:tcBorders>
            <w:gridSpan w:val="10"/>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140" w:type="dxa"/>
            <w:vAlign w:val="bottom"/>
            <w:gridSpan w:val="30"/>
          </w:tcPr>
          <w:p>
            <w:pPr>
              <w:spacing w:after="0" w:line="198" w:lineRule="exact"/>
              <w:rPr>
                <w:sz w:val="20"/>
                <w:szCs w:val="20"/>
                <w:color w:val="auto"/>
              </w:rPr>
            </w:pPr>
            <w:r>
              <w:rPr>
                <w:rFonts w:ascii="Arial" w:cs="Arial" w:eastAsia="Arial" w:hAnsi="Arial"/>
                <w:sz w:val="19"/>
                <w:szCs w:val="19"/>
                <w:color w:val="0000FF"/>
              </w:rPr>
              <w:t>by reference to Exhibit 3.1 to the Registrant’s Current Report on Form 8-K filed with the SEC on</w:t>
            </w:r>
          </w:p>
        </w:tc>
        <w:tc>
          <w:tcPr>
            <w:tcW w:w="0" w:type="dxa"/>
            <w:vAlign w:val="bottom"/>
          </w:tcPr>
          <w:p>
            <w:pPr>
              <w:spacing w:after="0"/>
              <w:rPr>
                <w:sz w:val="1"/>
                <w:szCs w:val="1"/>
                <w:color w:val="auto"/>
              </w:rPr>
            </w:pPr>
          </w:p>
        </w:tc>
      </w:tr>
      <w:tr>
        <w:trPr>
          <w:trHeight w:val="198"/>
        </w:trPr>
        <w:tc>
          <w:tcPr>
            <w:tcW w:w="1040" w:type="dxa"/>
            <w:vAlign w:val="bottom"/>
            <w:vMerge w:val="restart"/>
          </w:tcPr>
          <w:p>
            <w:pPr>
              <w:spacing w:after="0"/>
              <w:rPr>
                <w:sz w:val="20"/>
                <w:szCs w:val="20"/>
                <w:color w:val="auto"/>
              </w:rPr>
            </w:pPr>
            <w:r>
              <w:rPr>
                <w:rFonts w:ascii="Arial" w:cs="Arial" w:eastAsia="Arial" w:hAnsi="Arial"/>
                <w:sz w:val="19"/>
                <w:szCs w:val="19"/>
                <w:color w:val="auto"/>
              </w:rPr>
              <w:t>3.2</w:t>
            </w:r>
          </w:p>
        </w:tc>
        <w:tc>
          <w:tcPr>
            <w:tcW w:w="200" w:type="dxa"/>
            <w:vAlign w:val="bottom"/>
          </w:tcPr>
          <w:p>
            <w:pPr>
              <w:spacing w:after="0"/>
              <w:rPr>
                <w:sz w:val="17"/>
                <w:szCs w:val="17"/>
                <w:color w:val="auto"/>
              </w:rPr>
            </w:pPr>
          </w:p>
        </w:tc>
        <w:tc>
          <w:tcPr>
            <w:tcW w:w="8020" w:type="dxa"/>
            <w:vAlign w:val="bottom"/>
            <w:tcBorders>
              <w:top w:val="single" w:sz="8" w:color="0000FF"/>
            </w:tcBorders>
            <w:gridSpan w:val="25"/>
          </w:tcPr>
          <w:p>
            <w:pPr>
              <w:spacing w:after="0" w:line="198" w:lineRule="exact"/>
              <w:rPr>
                <w:sz w:val="20"/>
                <w:szCs w:val="20"/>
                <w:color w:val="auto"/>
              </w:rPr>
            </w:pPr>
            <w:r>
              <w:rPr>
                <w:rFonts w:ascii="Arial" w:cs="Arial" w:eastAsia="Arial" w:hAnsi="Arial"/>
                <w:sz w:val="19"/>
                <w:szCs w:val="19"/>
                <w:color w:val="0000FF"/>
              </w:rPr>
              <w:t>July 30, 2021)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0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140" w:type="dxa"/>
            <w:vAlign w:val="bottom"/>
            <w:gridSpan w:val="30"/>
          </w:tcPr>
          <w:p>
            <w:pPr>
              <w:spacing w:after="0" w:line="213" w:lineRule="exact"/>
              <w:rPr>
                <w:sz w:val="20"/>
                <w:szCs w:val="20"/>
                <w:color w:val="auto"/>
              </w:rPr>
            </w:pPr>
            <w:r>
              <w:rPr>
                <w:rFonts w:ascii="Arial" w:cs="Arial" w:eastAsia="Arial" w:hAnsi="Arial"/>
                <w:sz w:val="19"/>
                <w:szCs w:val="19"/>
                <w:color w:val="0000FF"/>
              </w:rPr>
              <w:t>Amended and Restated Bylaws of Candel Therapeutics, Inc. (incorporated by reference to</w:t>
            </w:r>
          </w:p>
        </w:tc>
        <w:tc>
          <w:tcPr>
            <w:tcW w:w="0" w:type="dxa"/>
            <w:vAlign w:val="bottom"/>
          </w:tcPr>
          <w:p>
            <w:pPr>
              <w:spacing w:after="0"/>
              <w:rPr>
                <w:sz w:val="1"/>
                <w:szCs w:val="1"/>
                <w:color w:val="auto"/>
              </w:rPr>
            </w:pPr>
          </w:p>
        </w:tc>
      </w:tr>
      <w:tr>
        <w:trPr>
          <w:trHeight w:val="198"/>
        </w:trPr>
        <w:tc>
          <w:tcPr>
            <w:tcW w:w="1040" w:type="dxa"/>
            <w:vAlign w:val="bottom"/>
            <w:vMerge w:val="restart"/>
          </w:tcPr>
          <w:p>
            <w:pPr>
              <w:spacing w:after="0"/>
              <w:rPr>
                <w:sz w:val="20"/>
                <w:szCs w:val="20"/>
                <w:color w:val="auto"/>
              </w:rPr>
            </w:pPr>
            <w:r>
              <w:rPr>
                <w:rFonts w:ascii="Arial" w:cs="Arial" w:eastAsia="Arial" w:hAnsi="Arial"/>
                <w:sz w:val="19"/>
                <w:szCs w:val="19"/>
                <w:color w:val="auto"/>
              </w:rPr>
              <w:t>4.1</w:t>
            </w:r>
          </w:p>
        </w:tc>
        <w:tc>
          <w:tcPr>
            <w:tcW w:w="200" w:type="dxa"/>
            <w:vAlign w:val="bottom"/>
          </w:tcPr>
          <w:p>
            <w:pPr>
              <w:spacing w:after="0"/>
              <w:rPr>
                <w:sz w:val="17"/>
                <w:szCs w:val="17"/>
                <w:color w:val="auto"/>
              </w:rPr>
            </w:pPr>
          </w:p>
        </w:tc>
        <w:tc>
          <w:tcPr>
            <w:tcW w:w="7560" w:type="dxa"/>
            <w:vAlign w:val="bottom"/>
            <w:tcBorders>
              <w:top w:val="single" w:sz="8" w:color="0000FF"/>
              <w:bottom w:val="single" w:sz="8" w:color="0000FF"/>
            </w:tcBorders>
            <w:gridSpan w:val="10"/>
          </w:tcPr>
          <w:p>
            <w:pPr>
              <w:spacing w:after="0" w:line="198" w:lineRule="exact"/>
              <w:rPr>
                <w:sz w:val="20"/>
                <w:szCs w:val="20"/>
                <w:color w:val="auto"/>
              </w:rPr>
            </w:pPr>
            <w:r>
              <w:rPr>
                <w:rFonts w:ascii="Arial" w:cs="Arial" w:eastAsia="Arial" w:hAnsi="Arial"/>
                <w:sz w:val="19"/>
                <w:szCs w:val="19"/>
                <w:color w:val="0000FF"/>
              </w:rPr>
              <w:t>Exhibit 3.2 to the Registrant’s Current Report on Form 8-K filed with the SEC on July 30,</w:t>
            </w:r>
          </w:p>
        </w:tc>
        <w:tc>
          <w:tcPr>
            <w:tcW w:w="400" w:type="dxa"/>
            <w:vAlign w:val="bottom"/>
            <w:tcBorders>
              <w:bottom w:val="single" w:sz="8" w:color="0000FF"/>
            </w:tcBorders>
            <w:gridSpan w:val="13"/>
          </w:tcPr>
          <w:p>
            <w:pPr>
              <w:jc w:val="right"/>
              <w:ind w:right="20"/>
              <w:spacing w:after="0" w:line="198" w:lineRule="exact"/>
              <w:rPr>
                <w:sz w:val="20"/>
                <w:szCs w:val="20"/>
                <w:color w:val="auto"/>
              </w:rPr>
            </w:pPr>
            <w:r>
              <w:rPr>
                <w:rFonts w:ascii="Arial" w:cs="Arial" w:eastAsia="Arial" w:hAnsi="Arial"/>
                <w:sz w:val="19"/>
                <w:szCs w:val="19"/>
                <w:color w:val="0000FF"/>
                <w:w w:val="73"/>
              </w:rPr>
              <w:t>2021)</w:t>
            </w:r>
          </w:p>
        </w:tc>
        <w:tc>
          <w:tcPr>
            <w:tcW w:w="4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0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140" w:type="dxa"/>
            <w:vAlign w:val="bottom"/>
            <w:gridSpan w:val="30"/>
          </w:tcPr>
          <w:p>
            <w:pPr>
              <w:spacing w:after="0" w:line="215" w:lineRule="exact"/>
              <w:rPr>
                <w:sz w:val="20"/>
                <w:szCs w:val="20"/>
                <w:color w:val="auto"/>
              </w:rPr>
            </w:pPr>
            <w:r>
              <w:rPr>
                <w:rFonts w:ascii="Arial" w:cs="Arial" w:eastAsia="Arial" w:hAnsi="Arial"/>
                <w:sz w:val="19"/>
                <w:szCs w:val="19"/>
                <w:color w:val="0000FF"/>
              </w:rPr>
              <w:t>Specimen Common Stock Certificate (incorporated by reference to Exhibit 4.1 to the</w:t>
            </w:r>
          </w:p>
        </w:tc>
        <w:tc>
          <w:tcPr>
            <w:tcW w:w="0" w:type="dxa"/>
            <w:vAlign w:val="bottom"/>
          </w:tcPr>
          <w:p>
            <w:pPr>
              <w:spacing w:after="0"/>
              <w:rPr>
                <w:sz w:val="1"/>
                <w:szCs w:val="1"/>
                <w:color w:val="auto"/>
              </w:rPr>
            </w:pPr>
          </w:p>
        </w:tc>
      </w:tr>
      <w:tr>
        <w:trPr>
          <w:trHeight w:val="198"/>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60" w:type="dxa"/>
            <w:vAlign w:val="bottom"/>
            <w:tcBorders>
              <w:top w:val="single" w:sz="8" w:color="0000FF"/>
            </w:tcBorders>
            <w:gridSpan w:val="8"/>
          </w:tcPr>
          <w:p>
            <w:pPr>
              <w:spacing w:after="0" w:line="198" w:lineRule="exact"/>
              <w:rPr>
                <w:sz w:val="20"/>
                <w:szCs w:val="20"/>
                <w:color w:val="auto"/>
              </w:rPr>
            </w:pPr>
            <w:r>
              <w:rPr>
                <w:rFonts w:ascii="Arial" w:cs="Arial" w:eastAsia="Arial" w:hAnsi="Arial"/>
                <w:sz w:val="19"/>
                <w:szCs w:val="19"/>
                <w:color w:val="0000FF"/>
              </w:rPr>
              <w:t>Registrant’s Registration Statement on Form S-1/A (File No. 333- 257444) filed with</w:t>
            </w:r>
          </w:p>
        </w:tc>
        <w:tc>
          <w:tcPr>
            <w:tcW w:w="1080" w:type="dxa"/>
            <w:vAlign w:val="bottom"/>
            <w:gridSpan w:val="22"/>
          </w:tcPr>
          <w:p>
            <w:pPr>
              <w:jc w:val="right"/>
              <w:ind w:right="100"/>
              <w:spacing w:after="0" w:line="198" w:lineRule="exact"/>
              <w:rPr>
                <w:sz w:val="20"/>
                <w:szCs w:val="20"/>
                <w:color w:val="auto"/>
              </w:rPr>
            </w:pPr>
            <w:r>
              <w:rPr>
                <w:rFonts w:ascii="Arial" w:cs="Arial" w:eastAsia="Arial" w:hAnsi="Arial"/>
                <w:sz w:val="19"/>
                <w:szCs w:val="19"/>
                <w:color w:val="0000FF"/>
                <w:w w:val="98"/>
              </w:rPr>
              <w:t>the SEC on</w:t>
            </w:r>
          </w:p>
        </w:tc>
        <w:tc>
          <w:tcPr>
            <w:tcW w:w="0" w:type="dxa"/>
            <w:vAlign w:val="bottom"/>
          </w:tcPr>
          <w:p>
            <w:pPr>
              <w:spacing w:after="0"/>
              <w:rPr>
                <w:sz w:val="1"/>
                <w:szCs w:val="1"/>
                <w:color w:val="auto"/>
              </w:rPr>
            </w:pPr>
          </w:p>
        </w:tc>
      </w:tr>
      <w:tr>
        <w:trPr>
          <w:trHeight w:val="198"/>
        </w:trPr>
        <w:tc>
          <w:tcPr>
            <w:tcW w:w="1040" w:type="dxa"/>
            <w:vAlign w:val="bottom"/>
            <w:vMerge w:val="restart"/>
          </w:tcPr>
          <w:p>
            <w:pPr>
              <w:spacing w:after="0"/>
              <w:rPr>
                <w:sz w:val="20"/>
                <w:szCs w:val="20"/>
                <w:color w:val="auto"/>
              </w:rPr>
            </w:pPr>
            <w:r>
              <w:rPr>
                <w:rFonts w:ascii="Arial" w:cs="Arial" w:eastAsia="Arial" w:hAnsi="Arial"/>
                <w:sz w:val="19"/>
                <w:szCs w:val="19"/>
                <w:color w:val="auto"/>
              </w:rPr>
              <w:t>4.2</w:t>
            </w:r>
          </w:p>
        </w:tc>
        <w:tc>
          <w:tcPr>
            <w:tcW w:w="200" w:type="dxa"/>
            <w:vAlign w:val="bottom"/>
          </w:tcPr>
          <w:p>
            <w:pPr>
              <w:spacing w:after="0"/>
              <w:rPr>
                <w:sz w:val="17"/>
                <w:szCs w:val="17"/>
                <w:color w:val="auto"/>
              </w:rPr>
            </w:pPr>
          </w:p>
        </w:tc>
        <w:tc>
          <w:tcPr>
            <w:tcW w:w="8040" w:type="dxa"/>
            <w:vAlign w:val="bottom"/>
            <w:tcBorders>
              <w:top w:val="single" w:sz="8" w:color="0000FF"/>
            </w:tcBorders>
            <w:gridSpan w:val="26"/>
          </w:tcPr>
          <w:p>
            <w:pPr>
              <w:spacing w:after="0" w:line="198" w:lineRule="exact"/>
              <w:rPr>
                <w:sz w:val="20"/>
                <w:szCs w:val="20"/>
                <w:color w:val="auto"/>
              </w:rPr>
            </w:pPr>
            <w:r>
              <w:rPr>
                <w:rFonts w:ascii="Arial" w:cs="Arial" w:eastAsia="Arial" w:hAnsi="Arial"/>
                <w:sz w:val="19"/>
                <w:szCs w:val="19"/>
                <w:color w:val="0000FF"/>
              </w:rPr>
              <w:t>July 16, 2021)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0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140" w:type="dxa"/>
            <w:vAlign w:val="bottom"/>
            <w:gridSpan w:val="30"/>
          </w:tcPr>
          <w:p>
            <w:pPr>
              <w:spacing w:after="0" w:line="213" w:lineRule="exact"/>
              <w:rPr>
                <w:sz w:val="20"/>
                <w:szCs w:val="20"/>
                <w:color w:val="auto"/>
              </w:rPr>
            </w:pPr>
            <w:r>
              <w:rPr>
                <w:rFonts w:ascii="Arial" w:cs="Arial" w:eastAsia="Arial" w:hAnsi="Arial"/>
                <w:sz w:val="19"/>
                <w:szCs w:val="19"/>
                <w:color w:val="0000FF"/>
              </w:rPr>
              <w:t>Description of Securities (incorporated by reference to Exhibit 4.2 to the Registrant's Annual</w:t>
            </w:r>
          </w:p>
        </w:tc>
        <w:tc>
          <w:tcPr>
            <w:tcW w:w="0" w:type="dxa"/>
            <w:vAlign w:val="bottom"/>
          </w:tcPr>
          <w:p>
            <w:pPr>
              <w:spacing w:after="0"/>
              <w:rPr>
                <w:sz w:val="1"/>
                <w:szCs w:val="1"/>
                <w:color w:val="auto"/>
              </w:rPr>
            </w:pPr>
          </w:p>
        </w:tc>
      </w:tr>
      <w:tr>
        <w:trPr>
          <w:trHeight w:val="198"/>
        </w:trPr>
        <w:tc>
          <w:tcPr>
            <w:tcW w:w="1040" w:type="dxa"/>
            <w:vAlign w:val="bottom"/>
            <w:vMerge w:val="restart"/>
          </w:tcPr>
          <w:p>
            <w:pPr>
              <w:spacing w:after="0"/>
              <w:rPr>
                <w:sz w:val="20"/>
                <w:szCs w:val="20"/>
                <w:color w:val="auto"/>
              </w:rPr>
            </w:pPr>
            <w:r>
              <w:rPr>
                <w:rFonts w:ascii="Arial" w:cs="Arial" w:eastAsia="Arial" w:hAnsi="Arial"/>
                <w:sz w:val="19"/>
                <w:szCs w:val="19"/>
                <w:color w:val="auto"/>
              </w:rPr>
              <w:t>4.3</w:t>
            </w:r>
          </w:p>
        </w:tc>
        <w:tc>
          <w:tcPr>
            <w:tcW w:w="200" w:type="dxa"/>
            <w:vAlign w:val="bottom"/>
          </w:tcPr>
          <w:p>
            <w:pPr>
              <w:spacing w:after="0"/>
              <w:rPr>
                <w:sz w:val="17"/>
                <w:szCs w:val="17"/>
                <w:color w:val="auto"/>
              </w:rPr>
            </w:pPr>
          </w:p>
        </w:tc>
        <w:tc>
          <w:tcPr>
            <w:tcW w:w="7700" w:type="dxa"/>
            <w:vAlign w:val="bottom"/>
            <w:tcBorders>
              <w:top w:val="single" w:sz="8" w:color="0000FF"/>
            </w:tcBorders>
            <w:gridSpan w:val="13"/>
          </w:tcPr>
          <w:p>
            <w:pPr>
              <w:spacing w:after="0" w:line="198" w:lineRule="exact"/>
              <w:rPr>
                <w:sz w:val="20"/>
                <w:szCs w:val="20"/>
                <w:color w:val="auto"/>
              </w:rPr>
            </w:pPr>
            <w:r>
              <w:rPr>
                <w:rFonts w:ascii="Arial" w:cs="Arial" w:eastAsia="Arial" w:hAnsi="Arial"/>
                <w:sz w:val="19"/>
                <w:szCs w:val="19"/>
                <w:color w:val="0000FF"/>
              </w:rPr>
              <w:t>Report on Form 10-K filed with the SEC on March 29, 2022)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6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0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140" w:type="dxa"/>
            <w:vAlign w:val="bottom"/>
            <w:gridSpan w:val="30"/>
          </w:tcPr>
          <w:p>
            <w:pPr>
              <w:spacing w:after="0" w:line="213" w:lineRule="exact"/>
              <w:rPr>
                <w:sz w:val="20"/>
                <w:szCs w:val="20"/>
                <w:color w:val="auto"/>
              </w:rPr>
            </w:pPr>
            <w:r>
              <w:rPr>
                <w:rFonts w:ascii="Arial" w:cs="Arial" w:eastAsia="Arial" w:hAnsi="Arial"/>
                <w:sz w:val="19"/>
                <w:szCs w:val="19"/>
                <w:color w:val="0000FF"/>
              </w:rPr>
              <w:t>Investors’ Rights Agreement (incorporated by reference to Exhibit 4.2 to the Registrant’s</w:t>
            </w:r>
          </w:p>
        </w:tc>
        <w:tc>
          <w:tcPr>
            <w:tcW w:w="0" w:type="dxa"/>
            <w:vAlign w:val="bottom"/>
          </w:tcPr>
          <w:p>
            <w:pPr>
              <w:spacing w:after="0"/>
              <w:rPr>
                <w:sz w:val="1"/>
                <w:szCs w:val="1"/>
                <w:color w:val="auto"/>
              </w:rPr>
            </w:pPr>
          </w:p>
        </w:tc>
      </w:tr>
      <w:tr>
        <w:trPr>
          <w:trHeight w:val="198"/>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0" w:type="dxa"/>
            <w:vAlign w:val="bottom"/>
            <w:tcBorders>
              <w:top w:val="single" w:sz="8" w:color="0000FF"/>
              <w:bottom w:val="single" w:sz="8" w:color="0000FF"/>
            </w:tcBorders>
            <w:gridSpan w:val="9"/>
          </w:tcPr>
          <w:p>
            <w:pPr>
              <w:spacing w:after="0" w:line="198" w:lineRule="exact"/>
              <w:rPr>
                <w:sz w:val="20"/>
                <w:szCs w:val="20"/>
                <w:color w:val="auto"/>
              </w:rPr>
            </w:pPr>
            <w:r>
              <w:rPr>
                <w:rFonts w:ascii="Arial" w:cs="Arial" w:eastAsia="Arial" w:hAnsi="Arial"/>
                <w:sz w:val="19"/>
                <w:szCs w:val="19"/>
                <w:color w:val="0000FF"/>
                <w:w w:val="98"/>
              </w:rPr>
              <w:t>Registration Statement on Form S-1/A (File No. 333- 257444) filed with the SEC on June</w:t>
            </w:r>
          </w:p>
        </w:tc>
        <w:tc>
          <w:tcPr>
            <w:tcW w:w="360" w:type="dxa"/>
            <w:vAlign w:val="bottom"/>
            <w:tcBorders>
              <w:bottom w:val="single" w:sz="8" w:color="0000FF"/>
            </w:tcBorders>
            <w:gridSpan w:val="6"/>
          </w:tcPr>
          <w:p>
            <w:pPr>
              <w:jc w:val="right"/>
              <w:spacing w:after="0" w:line="198" w:lineRule="exact"/>
              <w:rPr>
                <w:sz w:val="20"/>
                <w:szCs w:val="20"/>
                <w:color w:val="auto"/>
              </w:rPr>
            </w:pPr>
            <w:r>
              <w:rPr>
                <w:rFonts w:ascii="Arial" w:cs="Arial" w:eastAsia="Arial" w:hAnsi="Arial"/>
                <w:sz w:val="19"/>
                <w:szCs w:val="19"/>
                <w:color w:val="0000FF"/>
              </w:rPr>
              <w:t>25,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6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40" w:type="dxa"/>
            <w:vAlign w:val="bottom"/>
            <w:vMerge w:val="restart"/>
          </w:tcPr>
          <w:p>
            <w:pPr>
              <w:spacing w:after="0"/>
              <w:rPr>
                <w:sz w:val="20"/>
                <w:szCs w:val="20"/>
                <w:color w:val="auto"/>
              </w:rPr>
            </w:pPr>
            <w:r>
              <w:rPr>
                <w:rFonts w:ascii="Arial" w:cs="Arial" w:eastAsia="Arial" w:hAnsi="Arial"/>
                <w:sz w:val="19"/>
                <w:szCs w:val="19"/>
                <w:color w:val="auto"/>
              </w:rPr>
              <w:t>4.4</w:t>
            </w:r>
          </w:p>
        </w:tc>
        <w:tc>
          <w:tcPr>
            <w:tcW w:w="200" w:type="dxa"/>
            <w:vAlign w:val="bottom"/>
          </w:tcPr>
          <w:p>
            <w:pPr>
              <w:spacing w:after="0"/>
              <w:rPr>
                <w:sz w:val="17"/>
                <w:szCs w:val="17"/>
                <w:color w:val="auto"/>
              </w:rPr>
            </w:pPr>
          </w:p>
        </w:tc>
        <w:tc>
          <w:tcPr>
            <w:tcW w:w="480" w:type="dxa"/>
            <w:vAlign w:val="bottom"/>
            <w:tcBorders>
              <w:bottom w:val="single" w:sz="8" w:color="0000FF"/>
            </w:tcBorders>
          </w:tcPr>
          <w:p>
            <w:pPr>
              <w:spacing w:after="0" w:line="198" w:lineRule="exact"/>
              <w:rPr>
                <w:sz w:val="20"/>
                <w:szCs w:val="20"/>
                <w:color w:val="auto"/>
              </w:rPr>
            </w:pPr>
            <w:r>
              <w:rPr>
                <w:rFonts w:ascii="Arial" w:cs="Arial" w:eastAsia="Arial" w:hAnsi="Arial"/>
                <w:sz w:val="19"/>
                <w:szCs w:val="19"/>
                <w:color w:val="0000FF"/>
                <w:w w:val="94"/>
              </w:rPr>
              <w:t>2021)</w:t>
            </w: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0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840" w:type="dxa"/>
            <w:vAlign w:val="bottom"/>
            <w:tcBorders>
              <w:bottom w:val="single" w:sz="8" w:color="0000FF"/>
            </w:tcBorders>
            <w:gridSpan w:val="18"/>
          </w:tcPr>
          <w:p>
            <w:pPr>
              <w:spacing w:after="0" w:line="215" w:lineRule="exact"/>
              <w:rPr>
                <w:sz w:val="20"/>
                <w:szCs w:val="20"/>
                <w:color w:val="auto"/>
              </w:rPr>
            </w:pPr>
            <w:r>
              <w:rPr>
                <w:rFonts w:ascii="Arial" w:cs="Arial" w:eastAsia="Arial" w:hAnsi="Arial"/>
                <w:sz w:val="19"/>
                <w:szCs w:val="19"/>
                <w:color w:val="0000FF"/>
                <w:w w:val="99"/>
              </w:rPr>
              <w:t>Form of November 2018 Unconditional Warrant to Purchase Common Stock (incorporated by</w:t>
            </w:r>
          </w:p>
        </w:tc>
        <w:tc>
          <w:tcPr>
            <w:tcW w:w="300" w:type="dxa"/>
            <w:vAlign w:val="bottom"/>
            <w:gridSpan w:val="12"/>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140" w:type="dxa"/>
            <w:vAlign w:val="bottom"/>
            <w:gridSpan w:val="30"/>
          </w:tcPr>
          <w:p>
            <w:pPr>
              <w:spacing w:after="0" w:line="198" w:lineRule="exact"/>
              <w:rPr>
                <w:sz w:val="20"/>
                <w:szCs w:val="20"/>
                <w:color w:val="auto"/>
              </w:rPr>
            </w:pPr>
            <w:r>
              <w:rPr>
                <w:rFonts w:ascii="Arial" w:cs="Arial" w:eastAsia="Arial" w:hAnsi="Arial"/>
                <w:sz w:val="19"/>
                <w:szCs w:val="19"/>
                <w:color w:val="0000FF"/>
              </w:rPr>
              <w:t>reference to Exhibit 4.3 to the Registrant’s Registration Statement on Form S-1/A (File No. 333-</w:t>
            </w:r>
          </w:p>
        </w:tc>
        <w:tc>
          <w:tcPr>
            <w:tcW w:w="0" w:type="dxa"/>
            <w:vAlign w:val="bottom"/>
          </w:tcPr>
          <w:p>
            <w:pPr>
              <w:spacing w:after="0"/>
              <w:rPr>
                <w:sz w:val="1"/>
                <w:szCs w:val="1"/>
                <w:color w:val="auto"/>
              </w:rPr>
            </w:pPr>
          </w:p>
        </w:tc>
      </w:tr>
      <w:tr>
        <w:trPr>
          <w:trHeight w:val="198"/>
        </w:trPr>
        <w:tc>
          <w:tcPr>
            <w:tcW w:w="1040" w:type="dxa"/>
            <w:vAlign w:val="bottom"/>
            <w:vMerge w:val="restart"/>
          </w:tcPr>
          <w:p>
            <w:pPr>
              <w:spacing w:after="0"/>
              <w:rPr>
                <w:sz w:val="20"/>
                <w:szCs w:val="20"/>
                <w:color w:val="auto"/>
              </w:rPr>
            </w:pPr>
            <w:r>
              <w:rPr>
                <w:rFonts w:ascii="Arial" w:cs="Arial" w:eastAsia="Arial" w:hAnsi="Arial"/>
                <w:sz w:val="19"/>
                <w:szCs w:val="19"/>
                <w:color w:val="auto"/>
              </w:rPr>
              <w:t>4.5</w:t>
            </w:r>
          </w:p>
        </w:tc>
        <w:tc>
          <w:tcPr>
            <w:tcW w:w="200" w:type="dxa"/>
            <w:vAlign w:val="bottom"/>
          </w:tcPr>
          <w:p>
            <w:pPr>
              <w:spacing w:after="0"/>
              <w:rPr>
                <w:sz w:val="17"/>
                <w:szCs w:val="17"/>
                <w:color w:val="auto"/>
              </w:rPr>
            </w:pPr>
          </w:p>
        </w:tc>
        <w:tc>
          <w:tcPr>
            <w:tcW w:w="3760" w:type="dxa"/>
            <w:vAlign w:val="bottom"/>
            <w:tcBorders>
              <w:top w:val="single" w:sz="8" w:color="0000FF"/>
              <w:bottom w:val="single" w:sz="8" w:color="0000FF"/>
            </w:tcBorders>
            <w:gridSpan w:val="5"/>
          </w:tcPr>
          <w:p>
            <w:pPr>
              <w:spacing w:after="0" w:line="198" w:lineRule="exact"/>
              <w:rPr>
                <w:sz w:val="20"/>
                <w:szCs w:val="20"/>
                <w:color w:val="auto"/>
              </w:rPr>
            </w:pPr>
            <w:r>
              <w:rPr>
                <w:rFonts w:ascii="Arial" w:cs="Arial" w:eastAsia="Arial" w:hAnsi="Arial"/>
                <w:sz w:val="19"/>
                <w:szCs w:val="19"/>
                <w:color w:val="0000FF"/>
                <w:w w:val="99"/>
              </w:rPr>
              <w:t>257444) filed with the SEC on July 16, 2021)</w:t>
            </w:r>
          </w:p>
        </w:tc>
        <w:tc>
          <w:tcPr>
            <w:tcW w:w="4240" w:type="dxa"/>
            <w:vAlign w:val="bottom"/>
            <w:tcBorders>
              <w:top w:val="single" w:sz="8" w:color="0000FF"/>
            </w:tcBorders>
            <w:gridSpan w:val="19"/>
          </w:tcPr>
          <w:p>
            <w:pPr>
              <w:spacing w:after="0"/>
              <w:rPr>
                <w:sz w:val="17"/>
                <w:szCs w:val="17"/>
                <w:color w:val="auto"/>
              </w:rPr>
            </w:pPr>
          </w:p>
        </w:tc>
        <w:tc>
          <w:tcPr>
            <w:tcW w:w="6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0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140" w:type="dxa"/>
            <w:vAlign w:val="bottom"/>
            <w:gridSpan w:val="30"/>
          </w:tcPr>
          <w:p>
            <w:pPr>
              <w:spacing w:after="0" w:line="213" w:lineRule="exact"/>
              <w:rPr>
                <w:sz w:val="20"/>
                <w:szCs w:val="20"/>
                <w:color w:val="auto"/>
              </w:rPr>
            </w:pPr>
            <w:r>
              <w:rPr>
                <w:rFonts w:ascii="Arial" w:cs="Arial" w:eastAsia="Arial" w:hAnsi="Arial"/>
                <w:sz w:val="19"/>
                <w:szCs w:val="19"/>
                <w:color w:val="0000FF"/>
              </w:rPr>
              <w:t>Form of November 2018 Conditional Warrant to Purchase Common Stock (incorporated by</w:t>
            </w:r>
          </w:p>
        </w:tc>
        <w:tc>
          <w:tcPr>
            <w:tcW w:w="0" w:type="dxa"/>
            <w:vAlign w:val="bottom"/>
          </w:tcPr>
          <w:p>
            <w:pPr>
              <w:spacing w:after="0"/>
              <w:rPr>
                <w:sz w:val="1"/>
                <w:szCs w:val="1"/>
                <w:color w:val="auto"/>
              </w:rPr>
            </w:pPr>
          </w:p>
        </w:tc>
      </w:tr>
      <w:tr>
        <w:trPr>
          <w:trHeight w:val="198"/>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20" w:type="dxa"/>
            <w:vAlign w:val="bottom"/>
            <w:tcBorders>
              <w:top w:val="single" w:sz="8" w:color="0000FF"/>
            </w:tcBorders>
            <w:gridSpan w:val="11"/>
          </w:tcPr>
          <w:p>
            <w:pPr>
              <w:spacing w:after="0" w:line="198" w:lineRule="exact"/>
              <w:rPr>
                <w:sz w:val="20"/>
                <w:szCs w:val="20"/>
                <w:color w:val="auto"/>
              </w:rPr>
            </w:pPr>
            <w:r>
              <w:rPr>
                <w:rFonts w:ascii="Arial" w:cs="Arial" w:eastAsia="Arial" w:hAnsi="Arial"/>
                <w:sz w:val="19"/>
                <w:szCs w:val="19"/>
                <w:color w:val="0000FF"/>
              </w:rPr>
              <w:t>reference to Exhibit 4.4 to the Registrant’s Registration Statement on Form S-1/A (File No.</w:t>
            </w:r>
          </w:p>
        </w:tc>
        <w:tc>
          <w:tcPr>
            <w:tcW w:w="440" w:type="dxa"/>
            <w:vAlign w:val="bottom"/>
            <w:gridSpan w:val="16"/>
          </w:tcPr>
          <w:p>
            <w:pPr>
              <w:jc w:val="right"/>
              <w:ind w:right="60"/>
              <w:spacing w:after="0" w:line="198" w:lineRule="exact"/>
              <w:rPr>
                <w:sz w:val="20"/>
                <w:szCs w:val="20"/>
                <w:color w:val="auto"/>
              </w:rPr>
            </w:pPr>
            <w:r>
              <w:rPr>
                <w:rFonts w:ascii="Arial" w:cs="Arial" w:eastAsia="Arial" w:hAnsi="Arial"/>
                <w:sz w:val="19"/>
                <w:szCs w:val="19"/>
                <w:color w:val="0000FF"/>
                <w:w w:val="94"/>
              </w:rPr>
              <w:t>333-</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40" w:type="dxa"/>
            <w:vAlign w:val="bottom"/>
            <w:vMerge w:val="restart"/>
          </w:tcPr>
          <w:p>
            <w:pPr>
              <w:spacing w:after="0"/>
              <w:rPr>
                <w:sz w:val="20"/>
                <w:szCs w:val="20"/>
                <w:color w:val="auto"/>
              </w:rPr>
            </w:pPr>
            <w:r>
              <w:rPr>
                <w:rFonts w:ascii="Arial" w:cs="Arial" w:eastAsia="Arial" w:hAnsi="Arial"/>
                <w:sz w:val="19"/>
                <w:szCs w:val="19"/>
                <w:color w:val="auto"/>
              </w:rPr>
              <w:t>4.6</w:t>
            </w:r>
          </w:p>
        </w:tc>
        <w:tc>
          <w:tcPr>
            <w:tcW w:w="200" w:type="dxa"/>
            <w:vAlign w:val="bottom"/>
          </w:tcPr>
          <w:p>
            <w:pPr>
              <w:spacing w:after="0"/>
              <w:rPr>
                <w:sz w:val="17"/>
                <w:szCs w:val="17"/>
                <w:color w:val="auto"/>
              </w:rPr>
            </w:pPr>
          </w:p>
        </w:tc>
        <w:tc>
          <w:tcPr>
            <w:tcW w:w="3760" w:type="dxa"/>
            <w:vAlign w:val="bottom"/>
            <w:tcBorders>
              <w:top w:val="single" w:sz="8" w:color="0000FF"/>
              <w:bottom w:val="single" w:sz="8" w:color="0000FF"/>
            </w:tcBorders>
            <w:gridSpan w:val="5"/>
          </w:tcPr>
          <w:p>
            <w:pPr>
              <w:spacing w:after="0" w:line="198" w:lineRule="exact"/>
              <w:rPr>
                <w:sz w:val="20"/>
                <w:szCs w:val="20"/>
                <w:color w:val="auto"/>
              </w:rPr>
            </w:pPr>
            <w:r>
              <w:rPr>
                <w:rFonts w:ascii="Arial" w:cs="Arial" w:eastAsia="Arial" w:hAnsi="Arial"/>
                <w:sz w:val="19"/>
                <w:szCs w:val="19"/>
                <w:color w:val="0000FF"/>
                <w:w w:val="99"/>
              </w:rPr>
              <w:t>257444) filed with the SEC on July 16, 2021)</w:t>
            </w:r>
          </w:p>
        </w:tc>
        <w:tc>
          <w:tcPr>
            <w:tcW w:w="4240" w:type="dxa"/>
            <w:vAlign w:val="bottom"/>
            <w:tcBorders>
              <w:top w:val="single" w:sz="8" w:color="0000FF"/>
            </w:tcBorders>
            <w:gridSpan w:val="19"/>
          </w:tcPr>
          <w:p>
            <w:pPr>
              <w:spacing w:after="0"/>
              <w:rPr>
                <w:sz w:val="17"/>
                <w:szCs w:val="17"/>
                <w:color w:val="auto"/>
              </w:rPr>
            </w:pPr>
          </w:p>
        </w:tc>
        <w:tc>
          <w:tcPr>
            <w:tcW w:w="6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0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140" w:type="dxa"/>
            <w:vAlign w:val="bottom"/>
            <w:gridSpan w:val="30"/>
          </w:tcPr>
          <w:p>
            <w:pPr>
              <w:spacing w:after="0" w:line="213" w:lineRule="exact"/>
              <w:rPr>
                <w:sz w:val="20"/>
                <w:szCs w:val="20"/>
                <w:color w:val="auto"/>
              </w:rPr>
            </w:pPr>
            <w:r>
              <w:rPr>
                <w:rFonts w:ascii="Arial" w:cs="Arial" w:eastAsia="Arial" w:hAnsi="Arial"/>
                <w:sz w:val="19"/>
                <w:szCs w:val="19"/>
                <w:color w:val="0000FF"/>
              </w:rPr>
              <w:t>Form of Warrant to Purchase Series A Convertible Preferred Stock (incorporated by reference to</w:t>
            </w:r>
          </w:p>
        </w:tc>
        <w:tc>
          <w:tcPr>
            <w:tcW w:w="0" w:type="dxa"/>
            <w:vAlign w:val="bottom"/>
          </w:tcPr>
          <w:p>
            <w:pPr>
              <w:spacing w:after="0"/>
              <w:rPr>
                <w:sz w:val="1"/>
                <w:szCs w:val="1"/>
                <w:color w:val="auto"/>
              </w:rPr>
            </w:pPr>
          </w:p>
        </w:tc>
      </w:tr>
      <w:tr>
        <w:trPr>
          <w:trHeight w:val="198"/>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120" w:type="dxa"/>
            <w:vAlign w:val="bottom"/>
            <w:tcBorders>
              <w:top w:val="single" w:sz="8" w:color="0000FF"/>
            </w:tcBorders>
            <w:gridSpan w:val="29"/>
          </w:tcPr>
          <w:p>
            <w:pPr>
              <w:spacing w:after="0" w:line="198" w:lineRule="exact"/>
              <w:rPr>
                <w:sz w:val="20"/>
                <w:szCs w:val="20"/>
                <w:color w:val="auto"/>
              </w:rPr>
            </w:pPr>
            <w:r>
              <w:rPr>
                <w:rFonts w:ascii="Arial" w:cs="Arial" w:eastAsia="Arial" w:hAnsi="Arial"/>
                <w:sz w:val="19"/>
                <w:szCs w:val="19"/>
                <w:color w:val="0000FF"/>
              </w:rPr>
              <w:t>Exhibit 4.5 to the Registrant’s Registration Statement on Form S-1/A (File No. 333- 257444) filed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40" w:type="dxa"/>
            <w:vAlign w:val="bottom"/>
            <w:vMerge w:val="restart"/>
          </w:tcPr>
          <w:p>
            <w:pPr>
              <w:spacing w:after="0"/>
              <w:rPr>
                <w:sz w:val="20"/>
                <w:szCs w:val="20"/>
                <w:color w:val="auto"/>
              </w:rPr>
            </w:pPr>
            <w:r>
              <w:rPr>
                <w:rFonts w:ascii="Arial" w:cs="Arial" w:eastAsia="Arial" w:hAnsi="Arial"/>
                <w:sz w:val="19"/>
                <w:szCs w:val="19"/>
                <w:color w:val="auto"/>
              </w:rPr>
              <w:t>10.1#</w:t>
            </w:r>
          </w:p>
        </w:tc>
        <w:tc>
          <w:tcPr>
            <w:tcW w:w="200" w:type="dxa"/>
            <w:vAlign w:val="bottom"/>
          </w:tcPr>
          <w:p>
            <w:pPr>
              <w:spacing w:after="0"/>
              <w:rPr>
                <w:sz w:val="17"/>
                <w:szCs w:val="17"/>
                <w:color w:val="auto"/>
              </w:rPr>
            </w:pPr>
          </w:p>
        </w:tc>
        <w:tc>
          <w:tcPr>
            <w:tcW w:w="2680" w:type="dxa"/>
            <w:vAlign w:val="bottom"/>
            <w:tcBorders>
              <w:top w:val="single" w:sz="8" w:color="0000FF"/>
              <w:bottom w:val="single" w:sz="8" w:color="0000FF"/>
            </w:tcBorders>
            <w:gridSpan w:val="4"/>
          </w:tcPr>
          <w:p>
            <w:pPr>
              <w:spacing w:after="0" w:line="198" w:lineRule="exact"/>
              <w:rPr>
                <w:sz w:val="20"/>
                <w:szCs w:val="20"/>
                <w:color w:val="auto"/>
              </w:rPr>
            </w:pPr>
            <w:r>
              <w:rPr>
                <w:rFonts w:ascii="Arial" w:cs="Arial" w:eastAsia="Arial" w:hAnsi="Arial"/>
                <w:sz w:val="19"/>
                <w:szCs w:val="19"/>
                <w:color w:val="0000FF"/>
                <w:w w:val="99"/>
              </w:rPr>
              <w:t>with the SEC on June 25, 2021)</w:t>
            </w:r>
          </w:p>
        </w:tc>
        <w:tc>
          <w:tcPr>
            <w:tcW w:w="5420" w:type="dxa"/>
            <w:vAlign w:val="bottom"/>
            <w:tcBorders>
              <w:top w:val="single" w:sz="8" w:color="0000FF"/>
            </w:tcBorders>
            <w:gridSpan w:val="24"/>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0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140" w:type="dxa"/>
            <w:vAlign w:val="bottom"/>
            <w:gridSpan w:val="30"/>
          </w:tcPr>
          <w:p>
            <w:pPr>
              <w:spacing w:after="0" w:line="215" w:lineRule="exact"/>
              <w:rPr>
                <w:sz w:val="20"/>
                <w:szCs w:val="20"/>
                <w:color w:val="auto"/>
              </w:rPr>
            </w:pPr>
            <w:r>
              <w:rPr>
                <w:rFonts w:ascii="Arial" w:cs="Arial" w:eastAsia="Arial" w:hAnsi="Arial"/>
                <w:sz w:val="19"/>
                <w:szCs w:val="19"/>
                <w:color w:val="0000FF"/>
              </w:rPr>
              <w:t>2015 Stock Plan, as amended, and forms of award agreements thereunder (incorporated by</w:t>
            </w:r>
          </w:p>
        </w:tc>
        <w:tc>
          <w:tcPr>
            <w:tcW w:w="0" w:type="dxa"/>
            <w:vAlign w:val="bottom"/>
          </w:tcPr>
          <w:p>
            <w:pPr>
              <w:spacing w:after="0"/>
              <w:rPr>
                <w:sz w:val="1"/>
                <w:szCs w:val="1"/>
                <w:color w:val="auto"/>
              </w:rPr>
            </w:pPr>
          </w:p>
        </w:tc>
      </w:tr>
      <w:tr>
        <w:trPr>
          <w:trHeight w:val="198"/>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20" w:type="dxa"/>
            <w:vAlign w:val="bottom"/>
            <w:tcBorders>
              <w:top w:val="single" w:sz="8" w:color="0000FF"/>
            </w:tcBorders>
            <w:gridSpan w:val="14"/>
          </w:tcPr>
          <w:p>
            <w:pPr>
              <w:spacing w:after="0" w:line="198" w:lineRule="exact"/>
              <w:rPr>
                <w:sz w:val="20"/>
                <w:szCs w:val="20"/>
                <w:color w:val="auto"/>
              </w:rPr>
            </w:pPr>
            <w:r>
              <w:rPr>
                <w:rFonts w:ascii="Arial" w:cs="Arial" w:eastAsia="Arial" w:hAnsi="Arial"/>
                <w:sz w:val="19"/>
                <w:szCs w:val="19"/>
                <w:color w:val="0000FF"/>
              </w:rPr>
              <w:t>reference to Exhibit 10.1 to the Registrant’s Registration Statement on Form S-1/A (File No.</w:t>
            </w:r>
          </w:p>
        </w:tc>
        <w:tc>
          <w:tcPr>
            <w:tcW w:w="6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gridSpan w:val="5"/>
          </w:tcPr>
          <w:p>
            <w:pPr>
              <w:spacing w:after="0"/>
              <w:rPr>
                <w:sz w:val="17"/>
                <w:szCs w:val="17"/>
                <w:color w:val="auto"/>
              </w:rPr>
            </w:pPr>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40" w:type="dxa"/>
            <w:vAlign w:val="bottom"/>
            <w:vMerge w:val="restart"/>
          </w:tcPr>
          <w:p>
            <w:pPr>
              <w:spacing w:after="0"/>
              <w:rPr>
                <w:sz w:val="20"/>
                <w:szCs w:val="20"/>
                <w:color w:val="auto"/>
              </w:rPr>
            </w:pPr>
            <w:r>
              <w:rPr>
                <w:rFonts w:ascii="Arial" w:cs="Arial" w:eastAsia="Arial" w:hAnsi="Arial"/>
                <w:sz w:val="19"/>
                <w:szCs w:val="19"/>
                <w:color w:val="auto"/>
              </w:rPr>
              <w:t>10.2#</w:t>
            </w:r>
          </w:p>
        </w:tc>
        <w:tc>
          <w:tcPr>
            <w:tcW w:w="200" w:type="dxa"/>
            <w:vAlign w:val="bottom"/>
          </w:tcPr>
          <w:p>
            <w:pPr>
              <w:spacing w:after="0"/>
              <w:rPr>
                <w:sz w:val="17"/>
                <w:szCs w:val="17"/>
                <w:color w:val="auto"/>
              </w:rPr>
            </w:pPr>
          </w:p>
        </w:tc>
        <w:tc>
          <w:tcPr>
            <w:tcW w:w="7680" w:type="dxa"/>
            <w:vAlign w:val="bottom"/>
            <w:tcBorders>
              <w:top w:val="single" w:sz="8" w:color="0000FF"/>
            </w:tcBorders>
            <w:gridSpan w:val="12"/>
          </w:tcPr>
          <w:p>
            <w:pPr>
              <w:spacing w:after="0" w:line="198" w:lineRule="exact"/>
              <w:rPr>
                <w:sz w:val="20"/>
                <w:szCs w:val="20"/>
                <w:color w:val="auto"/>
              </w:rPr>
            </w:pPr>
            <w:r>
              <w:rPr>
                <w:rFonts w:ascii="Arial" w:cs="Arial" w:eastAsia="Arial" w:hAnsi="Arial"/>
                <w:sz w:val="19"/>
                <w:szCs w:val="19"/>
                <w:color w:val="0000FF"/>
              </w:rPr>
              <w:t>333- 257444) filed with the SEC on July 16, 2021)</w:t>
            </w:r>
          </w:p>
        </w:tc>
        <w:tc>
          <w:tcPr>
            <w:tcW w:w="20" w:type="dxa"/>
            <w:vAlign w:val="bottom"/>
          </w:tcPr>
          <w:p>
            <w:pPr>
              <w:spacing w:after="0"/>
              <w:rPr>
                <w:sz w:val="17"/>
                <w:szCs w:val="17"/>
                <w:color w:val="auto"/>
              </w:rPr>
            </w:pPr>
          </w:p>
        </w:tc>
        <w:tc>
          <w:tcPr>
            <w:tcW w:w="8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gridSpan w:val="5"/>
          </w:tcPr>
          <w:p>
            <w:pPr>
              <w:spacing w:after="0"/>
              <w:rPr>
                <w:sz w:val="17"/>
                <w:szCs w:val="17"/>
                <w:color w:val="auto"/>
              </w:rPr>
            </w:pPr>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3520" w:type="dxa"/>
            <w:vAlign w:val="bottom"/>
            <w:gridSpan w:val="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0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140" w:type="dxa"/>
            <w:vAlign w:val="bottom"/>
            <w:gridSpan w:val="30"/>
          </w:tcPr>
          <w:p>
            <w:pPr>
              <w:spacing w:after="0" w:line="213" w:lineRule="exact"/>
              <w:rPr>
                <w:sz w:val="20"/>
                <w:szCs w:val="20"/>
                <w:color w:val="auto"/>
              </w:rPr>
            </w:pPr>
            <w:r>
              <w:rPr>
                <w:rFonts w:ascii="Arial" w:cs="Arial" w:eastAsia="Arial" w:hAnsi="Arial"/>
                <w:sz w:val="19"/>
                <w:szCs w:val="19"/>
                <w:color w:val="0000FF"/>
              </w:rPr>
              <w:t>2021 Stock Option and Incentive Plan and forms of award agreements thereunder (incorporated</w:t>
            </w:r>
          </w:p>
        </w:tc>
        <w:tc>
          <w:tcPr>
            <w:tcW w:w="0" w:type="dxa"/>
            <w:vAlign w:val="bottom"/>
          </w:tcPr>
          <w:p>
            <w:pPr>
              <w:spacing w:after="0"/>
              <w:rPr>
                <w:sz w:val="1"/>
                <w:szCs w:val="1"/>
                <w:color w:val="auto"/>
              </w:rPr>
            </w:pPr>
          </w:p>
        </w:tc>
      </w:tr>
      <w:tr>
        <w:trPr>
          <w:trHeight w:val="198"/>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60" w:type="dxa"/>
            <w:vAlign w:val="bottom"/>
            <w:tcBorders>
              <w:top w:val="single" w:sz="8" w:color="0000FF"/>
            </w:tcBorders>
            <w:gridSpan w:val="27"/>
          </w:tcPr>
          <w:p>
            <w:pPr>
              <w:spacing w:after="0" w:line="198" w:lineRule="exact"/>
              <w:rPr>
                <w:sz w:val="20"/>
                <w:szCs w:val="20"/>
                <w:color w:val="auto"/>
              </w:rPr>
            </w:pPr>
            <w:r>
              <w:rPr>
                <w:rFonts w:ascii="Arial" w:cs="Arial" w:eastAsia="Arial" w:hAnsi="Arial"/>
                <w:sz w:val="19"/>
                <w:szCs w:val="19"/>
                <w:color w:val="0000FF"/>
              </w:rPr>
              <w:t>by reference to Exhibit 10.2 to the Registrant’s Registration Statement on Form S-1/A (File No.</w:t>
            </w:r>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40" w:type="dxa"/>
            <w:vAlign w:val="bottom"/>
            <w:vMerge w:val="restart"/>
          </w:tcPr>
          <w:p>
            <w:pPr>
              <w:spacing w:after="0"/>
              <w:rPr>
                <w:sz w:val="20"/>
                <w:szCs w:val="20"/>
                <w:color w:val="auto"/>
              </w:rPr>
            </w:pPr>
            <w:r>
              <w:rPr>
                <w:rFonts w:ascii="Arial" w:cs="Arial" w:eastAsia="Arial" w:hAnsi="Arial"/>
                <w:sz w:val="19"/>
                <w:szCs w:val="19"/>
                <w:color w:val="auto"/>
              </w:rPr>
              <w:t>10.3#</w:t>
            </w:r>
          </w:p>
        </w:tc>
        <w:tc>
          <w:tcPr>
            <w:tcW w:w="200" w:type="dxa"/>
            <w:vAlign w:val="bottom"/>
          </w:tcPr>
          <w:p>
            <w:pPr>
              <w:spacing w:after="0"/>
              <w:rPr>
                <w:sz w:val="17"/>
                <w:szCs w:val="17"/>
                <w:color w:val="auto"/>
              </w:rPr>
            </w:pPr>
          </w:p>
        </w:tc>
        <w:tc>
          <w:tcPr>
            <w:tcW w:w="7940" w:type="dxa"/>
            <w:vAlign w:val="bottom"/>
            <w:tcBorders>
              <w:top w:val="single" w:sz="8" w:color="0000FF"/>
            </w:tcBorders>
            <w:gridSpan w:val="22"/>
          </w:tcPr>
          <w:p>
            <w:pPr>
              <w:spacing w:after="0" w:line="198" w:lineRule="exact"/>
              <w:rPr>
                <w:sz w:val="20"/>
                <w:szCs w:val="20"/>
                <w:color w:val="auto"/>
              </w:rPr>
            </w:pPr>
            <w:r>
              <w:rPr>
                <w:rFonts w:ascii="Arial" w:cs="Arial" w:eastAsia="Arial" w:hAnsi="Arial"/>
                <w:sz w:val="19"/>
                <w:szCs w:val="19"/>
                <w:color w:val="0000FF"/>
              </w:rPr>
              <w:t>333- 257444) filed with the SEC on July 16, 2021)</w:t>
            </w:r>
          </w:p>
        </w:tc>
        <w:tc>
          <w:tcPr>
            <w:tcW w:w="2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3520" w:type="dxa"/>
            <w:vAlign w:val="bottom"/>
            <w:gridSpan w:val="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0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140" w:type="dxa"/>
            <w:vAlign w:val="bottom"/>
            <w:gridSpan w:val="30"/>
          </w:tcPr>
          <w:p>
            <w:pPr>
              <w:spacing w:after="0" w:line="213" w:lineRule="exact"/>
              <w:rPr>
                <w:sz w:val="20"/>
                <w:szCs w:val="20"/>
                <w:color w:val="auto"/>
              </w:rPr>
            </w:pPr>
            <w:r>
              <w:rPr>
                <w:rFonts w:ascii="Arial" w:cs="Arial" w:eastAsia="Arial" w:hAnsi="Arial"/>
                <w:sz w:val="19"/>
                <w:szCs w:val="19"/>
                <w:color w:val="0000FF"/>
              </w:rPr>
              <w:t>Senior Executive Cash Incentive Bonus Plan (incorporated by reference to Exhibit 10.3 to the</w:t>
            </w:r>
          </w:p>
        </w:tc>
        <w:tc>
          <w:tcPr>
            <w:tcW w:w="0" w:type="dxa"/>
            <w:vAlign w:val="bottom"/>
          </w:tcPr>
          <w:p>
            <w:pPr>
              <w:spacing w:after="0"/>
              <w:rPr>
                <w:sz w:val="1"/>
                <w:szCs w:val="1"/>
                <w:color w:val="auto"/>
              </w:rPr>
            </w:pPr>
          </w:p>
        </w:tc>
      </w:tr>
      <w:tr>
        <w:trPr>
          <w:trHeight w:val="198"/>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20" w:type="dxa"/>
            <w:vAlign w:val="bottom"/>
            <w:tcBorders>
              <w:top w:val="single" w:sz="8" w:color="0000FF"/>
            </w:tcBorders>
            <w:gridSpan w:val="17"/>
          </w:tcPr>
          <w:p>
            <w:pPr>
              <w:spacing w:after="0" w:line="198" w:lineRule="exact"/>
              <w:rPr>
                <w:sz w:val="20"/>
                <w:szCs w:val="20"/>
                <w:color w:val="auto"/>
              </w:rPr>
            </w:pPr>
            <w:r>
              <w:rPr>
                <w:rFonts w:ascii="Arial" w:cs="Arial" w:eastAsia="Arial" w:hAnsi="Arial"/>
                <w:sz w:val="19"/>
                <w:szCs w:val="19"/>
                <w:color w:val="0000FF"/>
              </w:rPr>
              <w:t>Registrant’s Registration Statement on Form S-1/A (File No. 333- 257444) filed with the SEC</w:t>
            </w:r>
          </w:p>
        </w:tc>
        <w:tc>
          <w:tcPr>
            <w:tcW w:w="320" w:type="dxa"/>
            <w:vAlign w:val="bottom"/>
            <w:gridSpan w:val="13"/>
          </w:tcPr>
          <w:p>
            <w:pPr>
              <w:jc w:val="right"/>
              <w:ind w:right="100"/>
              <w:spacing w:after="0" w:line="198" w:lineRule="exact"/>
              <w:rPr>
                <w:sz w:val="20"/>
                <w:szCs w:val="20"/>
                <w:color w:val="auto"/>
              </w:rPr>
            </w:pPr>
            <w:r>
              <w:rPr>
                <w:rFonts w:ascii="Arial" w:cs="Arial" w:eastAsia="Arial" w:hAnsi="Arial"/>
                <w:sz w:val="19"/>
                <w:szCs w:val="19"/>
                <w:color w:val="0000FF"/>
                <w:w w:val="94"/>
              </w:rPr>
              <w:t>on</w:t>
            </w:r>
          </w:p>
        </w:tc>
        <w:tc>
          <w:tcPr>
            <w:tcW w:w="0" w:type="dxa"/>
            <w:vAlign w:val="bottom"/>
          </w:tcPr>
          <w:p>
            <w:pPr>
              <w:spacing w:after="0"/>
              <w:rPr>
                <w:sz w:val="1"/>
                <w:szCs w:val="1"/>
                <w:color w:val="auto"/>
              </w:rPr>
            </w:pPr>
          </w:p>
        </w:tc>
      </w:tr>
      <w:tr>
        <w:trPr>
          <w:trHeight w:val="198"/>
        </w:trPr>
        <w:tc>
          <w:tcPr>
            <w:tcW w:w="1040" w:type="dxa"/>
            <w:vAlign w:val="bottom"/>
            <w:vMerge w:val="restart"/>
          </w:tcPr>
          <w:p>
            <w:pPr>
              <w:spacing w:after="0"/>
              <w:rPr>
                <w:sz w:val="20"/>
                <w:szCs w:val="20"/>
                <w:color w:val="auto"/>
              </w:rPr>
            </w:pPr>
            <w:r>
              <w:rPr>
                <w:rFonts w:ascii="Arial" w:cs="Arial" w:eastAsia="Arial" w:hAnsi="Arial"/>
                <w:sz w:val="19"/>
                <w:szCs w:val="19"/>
                <w:color w:val="auto"/>
              </w:rPr>
              <w:t>10.4#</w:t>
            </w:r>
          </w:p>
        </w:tc>
        <w:tc>
          <w:tcPr>
            <w:tcW w:w="200" w:type="dxa"/>
            <w:vAlign w:val="bottom"/>
          </w:tcPr>
          <w:p>
            <w:pPr>
              <w:spacing w:after="0"/>
              <w:rPr>
                <w:sz w:val="17"/>
                <w:szCs w:val="17"/>
                <w:color w:val="auto"/>
              </w:rPr>
            </w:pPr>
          </w:p>
        </w:tc>
        <w:tc>
          <w:tcPr>
            <w:tcW w:w="8040" w:type="dxa"/>
            <w:vAlign w:val="bottom"/>
            <w:tcBorders>
              <w:top w:val="single" w:sz="8" w:color="0000FF"/>
            </w:tcBorders>
            <w:gridSpan w:val="26"/>
          </w:tcPr>
          <w:p>
            <w:pPr>
              <w:spacing w:after="0" w:line="198" w:lineRule="exact"/>
              <w:rPr>
                <w:sz w:val="20"/>
                <w:szCs w:val="20"/>
                <w:color w:val="auto"/>
              </w:rPr>
            </w:pPr>
            <w:r>
              <w:rPr>
                <w:rFonts w:ascii="Arial" w:cs="Arial" w:eastAsia="Arial" w:hAnsi="Arial"/>
                <w:sz w:val="19"/>
                <w:szCs w:val="19"/>
                <w:color w:val="0000FF"/>
              </w:rPr>
              <w:t>July 16, 2021)</w:t>
            </w:r>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0" w:type="dxa"/>
            <w:vAlign w:val="bottom"/>
            <w:gridSpan w:val="10"/>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0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140" w:type="dxa"/>
            <w:vAlign w:val="bottom"/>
            <w:gridSpan w:val="30"/>
          </w:tcPr>
          <w:p>
            <w:pPr>
              <w:spacing w:after="0" w:line="215" w:lineRule="exact"/>
              <w:rPr>
                <w:sz w:val="20"/>
                <w:szCs w:val="20"/>
                <w:color w:val="auto"/>
              </w:rPr>
            </w:pPr>
            <w:r>
              <w:rPr>
                <w:rFonts w:ascii="Arial" w:cs="Arial" w:eastAsia="Arial" w:hAnsi="Arial"/>
                <w:sz w:val="19"/>
                <w:szCs w:val="19"/>
                <w:color w:val="0000FF"/>
              </w:rPr>
              <w:t>Employee Stock Purchase Plan (incorporated by reference to Exhibit 10.4 to the Registrant’s</w:t>
            </w:r>
          </w:p>
        </w:tc>
        <w:tc>
          <w:tcPr>
            <w:tcW w:w="0" w:type="dxa"/>
            <w:vAlign w:val="bottom"/>
          </w:tcPr>
          <w:p>
            <w:pPr>
              <w:spacing w:after="0"/>
              <w:rPr>
                <w:sz w:val="1"/>
                <w:szCs w:val="1"/>
                <w:color w:val="auto"/>
              </w:rPr>
            </w:pPr>
          </w:p>
        </w:tc>
      </w:tr>
      <w:tr>
        <w:trPr>
          <w:trHeight w:val="198"/>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80" w:type="dxa"/>
            <w:vAlign w:val="bottom"/>
            <w:tcBorders>
              <w:top w:val="single" w:sz="8" w:color="0000FF"/>
            </w:tcBorders>
            <w:gridSpan w:val="16"/>
          </w:tcPr>
          <w:p>
            <w:pPr>
              <w:spacing w:after="0" w:line="198" w:lineRule="exact"/>
              <w:rPr>
                <w:sz w:val="20"/>
                <w:szCs w:val="20"/>
                <w:color w:val="auto"/>
              </w:rPr>
            </w:pPr>
            <w:r>
              <w:rPr>
                <w:rFonts w:ascii="Arial" w:cs="Arial" w:eastAsia="Arial" w:hAnsi="Arial"/>
                <w:sz w:val="19"/>
                <w:szCs w:val="19"/>
                <w:color w:val="0000FF"/>
              </w:rPr>
              <w:t>Registration Statement on Form S-1/A (File No. 333- 257444) filed with the SEC on July 16,</w:t>
            </w:r>
          </w:p>
        </w:tc>
        <w:tc>
          <w:tcPr>
            <w:tcW w:w="80" w:type="dxa"/>
            <w:vAlign w:val="bottom"/>
            <w:gridSpan w:val="3"/>
          </w:tcPr>
          <w:p>
            <w:pPr>
              <w:spacing w:after="0"/>
              <w:rPr>
                <w:sz w:val="17"/>
                <w:szCs w:val="17"/>
                <w:color w:val="auto"/>
              </w:rPr>
            </w:pPr>
          </w:p>
        </w:tc>
        <w:tc>
          <w:tcPr>
            <w:tcW w:w="40" w:type="dxa"/>
            <w:vAlign w:val="bottom"/>
            <w:gridSpan w:val="2"/>
          </w:tcPr>
          <w:p>
            <w:pPr>
              <w:spacing w:after="0"/>
              <w:rPr>
                <w:sz w:val="17"/>
                <w:szCs w:val="17"/>
                <w:color w:val="auto"/>
              </w:rPr>
            </w:pPr>
          </w:p>
        </w:tc>
        <w:tc>
          <w:tcPr>
            <w:tcW w:w="2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40" w:type="dxa"/>
            <w:vAlign w:val="bottom"/>
            <w:vMerge w:val="restart"/>
          </w:tcPr>
          <w:p>
            <w:pPr>
              <w:spacing w:after="0"/>
              <w:rPr>
                <w:sz w:val="20"/>
                <w:szCs w:val="20"/>
                <w:color w:val="auto"/>
              </w:rPr>
            </w:pPr>
            <w:r>
              <w:rPr>
                <w:rFonts w:ascii="Arial" w:cs="Arial" w:eastAsia="Arial" w:hAnsi="Arial"/>
                <w:sz w:val="19"/>
                <w:szCs w:val="19"/>
                <w:color w:val="auto"/>
              </w:rPr>
              <w:t>10.5#</w:t>
            </w:r>
          </w:p>
        </w:tc>
        <w:tc>
          <w:tcPr>
            <w:tcW w:w="200" w:type="dxa"/>
            <w:vAlign w:val="bottom"/>
          </w:tcPr>
          <w:p>
            <w:pPr>
              <w:spacing w:after="0"/>
              <w:rPr>
                <w:sz w:val="17"/>
                <w:szCs w:val="17"/>
                <w:color w:val="auto"/>
              </w:rPr>
            </w:pPr>
          </w:p>
        </w:tc>
        <w:tc>
          <w:tcPr>
            <w:tcW w:w="480" w:type="dxa"/>
            <w:vAlign w:val="bottom"/>
            <w:tcBorders>
              <w:top w:val="single" w:sz="8" w:color="0000FF"/>
              <w:bottom w:val="single" w:sz="8" w:color="0000FF"/>
            </w:tcBorders>
          </w:tcPr>
          <w:p>
            <w:pPr>
              <w:spacing w:after="0" w:line="198" w:lineRule="exact"/>
              <w:rPr>
                <w:sz w:val="20"/>
                <w:szCs w:val="20"/>
                <w:color w:val="auto"/>
              </w:rPr>
            </w:pPr>
            <w:r>
              <w:rPr>
                <w:rFonts w:ascii="Arial" w:cs="Arial" w:eastAsia="Arial" w:hAnsi="Arial"/>
                <w:sz w:val="19"/>
                <w:szCs w:val="19"/>
                <w:color w:val="0000FF"/>
                <w:w w:val="94"/>
              </w:rPr>
              <w:t>2021)</w:t>
            </w:r>
          </w:p>
        </w:tc>
        <w:tc>
          <w:tcPr>
            <w:tcW w:w="70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108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204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0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140" w:type="dxa"/>
            <w:vAlign w:val="bottom"/>
            <w:gridSpan w:val="30"/>
          </w:tcPr>
          <w:p>
            <w:pPr>
              <w:spacing w:after="0" w:line="213" w:lineRule="exact"/>
              <w:rPr>
                <w:sz w:val="20"/>
                <w:szCs w:val="20"/>
                <w:color w:val="auto"/>
              </w:rPr>
            </w:pPr>
            <w:r>
              <w:rPr>
                <w:rFonts w:ascii="Arial" w:cs="Arial" w:eastAsia="Arial" w:hAnsi="Arial"/>
                <w:sz w:val="19"/>
                <w:szCs w:val="19"/>
                <w:color w:val="0000FF"/>
              </w:rPr>
              <w:t>Employment Agreement by and between Advantagene, Inc. d/b/a Candel Therapeutics and Paul</w:t>
            </w:r>
          </w:p>
        </w:tc>
        <w:tc>
          <w:tcPr>
            <w:tcW w:w="0" w:type="dxa"/>
            <w:vAlign w:val="bottom"/>
          </w:tcPr>
          <w:p>
            <w:pPr>
              <w:spacing w:after="0"/>
              <w:rPr>
                <w:sz w:val="1"/>
                <w:szCs w:val="1"/>
                <w:color w:val="auto"/>
              </w:rPr>
            </w:pPr>
          </w:p>
        </w:tc>
      </w:tr>
      <w:tr>
        <w:trPr>
          <w:trHeight w:val="198"/>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120" w:type="dxa"/>
            <w:vAlign w:val="bottom"/>
            <w:tcBorders>
              <w:top w:val="single" w:sz="8" w:color="0000FF"/>
            </w:tcBorders>
            <w:gridSpan w:val="29"/>
          </w:tcPr>
          <w:p>
            <w:pPr>
              <w:spacing w:after="0" w:line="198" w:lineRule="exact"/>
              <w:rPr>
                <w:sz w:val="20"/>
                <w:szCs w:val="20"/>
                <w:color w:val="auto"/>
              </w:rPr>
            </w:pPr>
            <w:r>
              <w:rPr>
                <w:rFonts w:ascii="Arial" w:cs="Arial" w:eastAsia="Arial" w:hAnsi="Arial"/>
                <w:sz w:val="19"/>
                <w:szCs w:val="19"/>
                <w:color w:val="0000FF"/>
              </w:rPr>
              <w:t>Peter Tak, M.D., Ph.D. dated September 12, 2020 (incorporated by reference to Exhibit 10.5.1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900" w:type="dxa"/>
            <w:vAlign w:val="bottom"/>
            <w:tcBorders>
              <w:top w:val="single" w:sz="8" w:color="0000FF"/>
            </w:tcBorders>
            <w:gridSpan w:val="21"/>
          </w:tcPr>
          <w:p>
            <w:pPr>
              <w:spacing w:after="0" w:line="198" w:lineRule="exact"/>
              <w:rPr>
                <w:sz w:val="20"/>
                <w:szCs w:val="20"/>
                <w:color w:val="auto"/>
              </w:rPr>
            </w:pPr>
            <w:r>
              <w:rPr>
                <w:rFonts w:ascii="Arial" w:cs="Arial" w:eastAsia="Arial" w:hAnsi="Arial"/>
                <w:sz w:val="19"/>
                <w:szCs w:val="19"/>
                <w:color w:val="0000FF"/>
              </w:rPr>
              <w:t>to the Registrant’s Registration Statement on Form S-1/A (File No. 333- 257444) filed with the</w:t>
            </w:r>
          </w:p>
        </w:tc>
        <w:tc>
          <w:tcPr>
            <w:tcW w:w="2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Borders>
              <w:top w:val="single" w:sz="8" w:color="0000FF"/>
              <w:bottom w:val="single" w:sz="8" w:color="0000FF"/>
            </w:tcBorders>
            <w:gridSpan w:val="3"/>
          </w:tcPr>
          <w:p>
            <w:pPr>
              <w:spacing w:after="0" w:line="198" w:lineRule="exact"/>
              <w:rPr>
                <w:sz w:val="20"/>
                <w:szCs w:val="20"/>
                <w:color w:val="auto"/>
              </w:rPr>
            </w:pPr>
            <w:r>
              <w:rPr>
                <w:rFonts w:ascii="Arial" w:cs="Arial" w:eastAsia="Arial" w:hAnsi="Arial"/>
                <w:sz w:val="19"/>
                <w:szCs w:val="19"/>
                <w:color w:val="0000FF"/>
                <w:w w:val="98"/>
              </w:rPr>
              <w:t>SEC on July 16, 2021)</w:t>
            </w:r>
          </w:p>
        </w:tc>
        <w:tc>
          <w:tcPr>
            <w:tcW w:w="5960" w:type="dxa"/>
            <w:vAlign w:val="bottom"/>
            <w:tcBorders>
              <w:top w:val="single" w:sz="8" w:color="0000FF"/>
            </w:tcBorders>
            <w:gridSpan w:val="16"/>
          </w:tcPr>
          <w:p>
            <w:pPr>
              <w:spacing w:after="0"/>
              <w:rPr>
                <w:sz w:val="17"/>
                <w:szCs w:val="17"/>
                <w:color w:val="auto"/>
              </w:rPr>
            </w:pPr>
          </w:p>
        </w:tc>
        <w:tc>
          <w:tcPr>
            <w:tcW w:w="2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bl>
    <w:p>
      <w:pPr>
        <w:sectPr>
          <w:pgSz w:w="12240" w:h="15840" w:orient="portrait"/>
          <w:cols w:equalWidth="0" w:num="1">
            <w:col w:w="9360"/>
          </w:cols>
          <w:pgMar w:left="1440" w:top="1416" w:right="1440" w:bottom="1440" w:gutter="0" w:footer="0" w:header="0"/>
        </w:sectPr>
      </w:pPr>
    </w:p>
    <w:bookmarkStart w:id="171" w:name="page172"/>
    <w:bookmarkEnd w:id="1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240" w:type="dxa"/>
            <w:vAlign w:val="bottom"/>
          </w:tcPr>
          <w:p>
            <w:pPr>
              <w:spacing w:after="0"/>
              <w:rPr>
                <w:sz w:val="20"/>
                <w:szCs w:val="20"/>
                <w:color w:val="auto"/>
              </w:rPr>
            </w:pPr>
            <w:r>
              <w:rPr>
                <w:rFonts w:ascii="Arial" w:cs="Arial" w:eastAsia="Arial" w:hAnsi="Arial"/>
                <w:sz w:val="19"/>
                <w:szCs w:val="19"/>
                <w:color w:val="auto"/>
              </w:rPr>
              <w:t>10.6#</w:t>
            </w:r>
          </w:p>
        </w:tc>
        <w:tc>
          <w:tcPr>
            <w:tcW w:w="8180" w:type="dxa"/>
            <w:vAlign w:val="bottom"/>
            <w:gridSpan w:val="45"/>
          </w:tcPr>
          <w:p>
            <w:pPr>
              <w:spacing w:after="0"/>
              <w:rPr>
                <w:sz w:val="20"/>
                <w:szCs w:val="20"/>
                <w:color w:val="auto"/>
              </w:rPr>
            </w:pPr>
            <w:r>
              <w:rPr>
                <w:rFonts w:ascii="Arial" w:cs="Arial" w:eastAsia="Arial" w:hAnsi="Arial"/>
                <w:sz w:val="19"/>
                <w:szCs w:val="19"/>
                <w:color w:val="0000FF"/>
              </w:rPr>
              <w:t>Form of Indemnification Agreement (incorporated by reference to Exhibit 10.6 to the Registrant’s</w:t>
            </w:r>
          </w:p>
        </w:tc>
        <w:tc>
          <w:tcPr>
            <w:tcW w:w="0" w:type="dxa"/>
            <w:vAlign w:val="bottom"/>
          </w:tcPr>
          <w:p>
            <w:pPr>
              <w:spacing w:after="0"/>
              <w:rPr>
                <w:sz w:val="1"/>
                <w:szCs w:val="1"/>
                <w:color w:val="auto"/>
              </w:rPr>
            </w:pPr>
          </w:p>
        </w:tc>
      </w:tr>
      <w:tr>
        <w:trPr>
          <w:trHeight w:val="198"/>
        </w:trPr>
        <w:tc>
          <w:tcPr>
            <w:tcW w:w="1240" w:type="dxa"/>
            <w:vAlign w:val="bottom"/>
          </w:tcPr>
          <w:p>
            <w:pPr>
              <w:spacing w:after="0"/>
              <w:rPr>
                <w:sz w:val="17"/>
                <w:szCs w:val="17"/>
                <w:color w:val="auto"/>
              </w:rPr>
            </w:pPr>
          </w:p>
        </w:tc>
        <w:tc>
          <w:tcPr>
            <w:tcW w:w="8140" w:type="dxa"/>
            <w:vAlign w:val="bottom"/>
            <w:tcBorders>
              <w:top w:val="single" w:sz="8" w:color="0000FF"/>
            </w:tcBorders>
            <w:gridSpan w:val="43"/>
          </w:tcPr>
          <w:p>
            <w:pPr>
              <w:spacing w:after="0" w:line="198" w:lineRule="exact"/>
              <w:rPr>
                <w:sz w:val="20"/>
                <w:szCs w:val="20"/>
                <w:color w:val="auto"/>
              </w:rPr>
            </w:pPr>
            <w:r>
              <w:rPr>
                <w:rFonts w:ascii="Arial" w:cs="Arial" w:eastAsia="Arial" w:hAnsi="Arial"/>
                <w:sz w:val="19"/>
                <w:szCs w:val="19"/>
                <w:color w:val="0000FF"/>
              </w:rPr>
              <w:t>Registration Statement on Form S-1/A (File No. 333- 257444) filed with the SEC on July 16,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240" w:type="dxa"/>
            <w:vAlign w:val="bottom"/>
            <w:vMerge w:val="restart"/>
          </w:tcPr>
          <w:p>
            <w:pPr>
              <w:spacing w:after="0"/>
              <w:rPr>
                <w:sz w:val="20"/>
                <w:szCs w:val="20"/>
                <w:color w:val="auto"/>
              </w:rPr>
            </w:pPr>
            <w:r>
              <w:rPr>
                <w:rFonts w:ascii="Arial" w:cs="Arial" w:eastAsia="Arial" w:hAnsi="Arial"/>
                <w:sz w:val="19"/>
                <w:szCs w:val="19"/>
                <w:color w:val="auto"/>
              </w:rPr>
              <w:t>10.7</w:t>
            </w:r>
          </w:p>
        </w:tc>
        <w:tc>
          <w:tcPr>
            <w:tcW w:w="480" w:type="dxa"/>
            <w:vAlign w:val="bottom"/>
            <w:tcBorders>
              <w:top w:val="single" w:sz="8" w:color="0000FF"/>
              <w:bottom w:val="single" w:sz="8" w:color="0000FF"/>
            </w:tcBorders>
          </w:tcPr>
          <w:p>
            <w:pPr>
              <w:spacing w:after="0" w:line="198" w:lineRule="exact"/>
              <w:rPr>
                <w:sz w:val="20"/>
                <w:szCs w:val="20"/>
                <w:color w:val="auto"/>
              </w:rPr>
            </w:pPr>
            <w:r>
              <w:rPr>
                <w:rFonts w:ascii="Arial" w:cs="Arial" w:eastAsia="Arial" w:hAnsi="Arial"/>
                <w:sz w:val="19"/>
                <w:szCs w:val="19"/>
                <w:color w:val="0000FF"/>
                <w:w w:val="94"/>
              </w:rPr>
              <w:t>2021)</w:t>
            </w:r>
          </w:p>
        </w:tc>
        <w:tc>
          <w:tcPr>
            <w:tcW w:w="70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62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00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7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240" w:type="dxa"/>
            <w:vAlign w:val="bottom"/>
            <w:vMerge w:val="continue"/>
          </w:tcPr>
          <w:p>
            <w:pPr>
              <w:spacing w:after="0"/>
              <w:rPr>
                <w:sz w:val="18"/>
                <w:szCs w:val="18"/>
                <w:color w:val="auto"/>
              </w:rPr>
            </w:pPr>
          </w:p>
        </w:tc>
        <w:tc>
          <w:tcPr>
            <w:tcW w:w="8180" w:type="dxa"/>
            <w:vAlign w:val="bottom"/>
            <w:gridSpan w:val="45"/>
          </w:tcPr>
          <w:p>
            <w:pPr>
              <w:spacing w:after="0" w:line="215" w:lineRule="exact"/>
              <w:rPr>
                <w:sz w:val="20"/>
                <w:szCs w:val="20"/>
                <w:color w:val="auto"/>
              </w:rPr>
            </w:pPr>
            <w:r>
              <w:rPr>
                <w:rFonts w:ascii="Arial" w:cs="Arial" w:eastAsia="Arial" w:hAnsi="Arial"/>
                <w:sz w:val="19"/>
                <w:szCs w:val="19"/>
                <w:color w:val="0000FF"/>
              </w:rPr>
              <w:t>Exclusive License Agreement by and between Advantagene, Inc. and Ventagen, LLC dated</w:t>
            </w:r>
          </w:p>
        </w:tc>
        <w:tc>
          <w:tcPr>
            <w:tcW w:w="0" w:type="dxa"/>
            <w:vAlign w:val="bottom"/>
          </w:tcPr>
          <w:p>
            <w:pPr>
              <w:spacing w:after="0"/>
              <w:rPr>
                <w:sz w:val="1"/>
                <w:szCs w:val="1"/>
                <w:color w:val="auto"/>
              </w:rPr>
            </w:pPr>
          </w:p>
        </w:tc>
      </w:tr>
      <w:tr>
        <w:trPr>
          <w:trHeight w:val="198"/>
        </w:trPr>
        <w:tc>
          <w:tcPr>
            <w:tcW w:w="1240" w:type="dxa"/>
            <w:vAlign w:val="bottom"/>
          </w:tcPr>
          <w:p>
            <w:pPr>
              <w:spacing w:after="0"/>
              <w:rPr>
                <w:sz w:val="17"/>
                <w:szCs w:val="17"/>
                <w:color w:val="auto"/>
              </w:rPr>
            </w:pPr>
          </w:p>
        </w:tc>
        <w:tc>
          <w:tcPr>
            <w:tcW w:w="7680" w:type="dxa"/>
            <w:vAlign w:val="bottom"/>
            <w:tcBorders>
              <w:top w:val="single" w:sz="8" w:color="0000FF"/>
            </w:tcBorders>
            <w:gridSpan w:val="20"/>
          </w:tcPr>
          <w:p>
            <w:pPr>
              <w:spacing w:after="0" w:line="198" w:lineRule="exact"/>
              <w:rPr>
                <w:sz w:val="20"/>
                <w:szCs w:val="20"/>
                <w:color w:val="auto"/>
              </w:rPr>
            </w:pPr>
            <w:r>
              <w:rPr>
                <w:rFonts w:ascii="Arial" w:cs="Arial" w:eastAsia="Arial" w:hAnsi="Arial"/>
                <w:sz w:val="19"/>
                <w:szCs w:val="19"/>
                <w:color w:val="0000FF"/>
              </w:rPr>
              <w:t>March 1, 2014 (incorporated by reference to Exhibit 10.7 to the Registrant’s Registration</w:t>
            </w: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240" w:type="dxa"/>
            <w:vAlign w:val="bottom"/>
            <w:vMerge w:val="restart"/>
          </w:tcPr>
          <w:p>
            <w:pPr>
              <w:spacing w:after="0"/>
              <w:rPr>
                <w:sz w:val="20"/>
                <w:szCs w:val="20"/>
                <w:color w:val="auto"/>
              </w:rPr>
            </w:pPr>
            <w:r>
              <w:rPr>
                <w:rFonts w:ascii="Arial" w:cs="Arial" w:eastAsia="Arial" w:hAnsi="Arial"/>
                <w:sz w:val="19"/>
                <w:szCs w:val="19"/>
                <w:color w:val="auto"/>
              </w:rPr>
              <w:t>10.8</w:t>
            </w:r>
          </w:p>
        </w:tc>
        <w:tc>
          <w:tcPr>
            <w:tcW w:w="7400" w:type="dxa"/>
            <w:vAlign w:val="bottom"/>
            <w:tcBorders>
              <w:top w:val="single" w:sz="8" w:color="0000FF"/>
            </w:tcBorders>
            <w:gridSpan w:val="14"/>
          </w:tcPr>
          <w:p>
            <w:pPr>
              <w:spacing w:after="0" w:line="198" w:lineRule="exact"/>
              <w:rPr>
                <w:sz w:val="20"/>
                <w:szCs w:val="20"/>
                <w:color w:val="auto"/>
              </w:rPr>
            </w:pPr>
            <w:r>
              <w:rPr>
                <w:rFonts w:ascii="Arial" w:cs="Arial" w:eastAsia="Arial" w:hAnsi="Arial"/>
                <w:sz w:val="19"/>
                <w:szCs w:val="19"/>
                <w:color w:val="0000FF"/>
              </w:rPr>
              <w:t>Statement on Form S-1/A (File No. 333- 257444) filed with the SEC on July 16, 2021)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240" w:type="dxa"/>
            <w:vAlign w:val="bottom"/>
            <w:vMerge w:val="continue"/>
          </w:tcPr>
          <w:p>
            <w:pPr>
              <w:spacing w:after="0"/>
              <w:rPr>
                <w:sz w:val="18"/>
                <w:szCs w:val="18"/>
                <w:color w:val="auto"/>
              </w:rPr>
            </w:pPr>
          </w:p>
        </w:tc>
        <w:tc>
          <w:tcPr>
            <w:tcW w:w="7840" w:type="dxa"/>
            <w:vAlign w:val="bottom"/>
            <w:tcBorders>
              <w:bottom w:val="single" w:sz="8" w:color="0000FF"/>
            </w:tcBorders>
            <w:gridSpan w:val="28"/>
          </w:tcPr>
          <w:p>
            <w:pPr>
              <w:spacing w:after="0" w:line="213" w:lineRule="exact"/>
              <w:rPr>
                <w:sz w:val="20"/>
                <w:szCs w:val="20"/>
                <w:color w:val="auto"/>
              </w:rPr>
            </w:pPr>
            <w:r>
              <w:rPr>
                <w:rFonts w:ascii="Arial" w:cs="Arial" w:eastAsia="Arial" w:hAnsi="Arial"/>
                <w:sz w:val="19"/>
                <w:szCs w:val="19"/>
                <w:color w:val="0000FF"/>
              </w:rPr>
              <w:t>Exclusive License Agreement by and between Advantagene, Inc., d/b/a Candel Therapeutics</w:t>
            </w:r>
          </w:p>
        </w:tc>
        <w:tc>
          <w:tcPr>
            <w:tcW w:w="340" w:type="dxa"/>
            <w:vAlign w:val="bottom"/>
            <w:gridSpan w:val="17"/>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240" w:type="dxa"/>
            <w:vAlign w:val="bottom"/>
          </w:tcPr>
          <w:p>
            <w:pPr>
              <w:spacing w:after="0"/>
              <w:rPr>
                <w:sz w:val="17"/>
                <w:szCs w:val="17"/>
                <w:color w:val="auto"/>
              </w:rPr>
            </w:pPr>
          </w:p>
        </w:tc>
        <w:tc>
          <w:tcPr>
            <w:tcW w:w="8020" w:type="dxa"/>
            <w:vAlign w:val="bottom"/>
            <w:tcBorders>
              <w:bottom w:val="single" w:sz="8" w:color="0000FF"/>
            </w:tcBorders>
            <w:gridSpan w:val="37"/>
          </w:tcPr>
          <w:p>
            <w:pPr>
              <w:spacing w:after="0" w:line="198" w:lineRule="exact"/>
              <w:rPr>
                <w:sz w:val="20"/>
                <w:szCs w:val="20"/>
                <w:color w:val="auto"/>
              </w:rPr>
            </w:pPr>
            <w:r>
              <w:rPr>
                <w:rFonts w:ascii="Arial" w:cs="Arial" w:eastAsia="Arial" w:hAnsi="Arial"/>
                <w:sz w:val="19"/>
                <w:szCs w:val="19"/>
                <w:color w:val="0000FF"/>
              </w:rPr>
              <w:t>and Periphagen, Inc. dated December 9, 2019 (incorporated by reference to Exhibit 10.8 to the</w:t>
            </w:r>
          </w:p>
        </w:tc>
        <w:tc>
          <w:tcPr>
            <w:tcW w:w="1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240" w:type="dxa"/>
            <w:vAlign w:val="bottom"/>
          </w:tcPr>
          <w:p>
            <w:pPr>
              <w:spacing w:after="0"/>
              <w:rPr>
                <w:sz w:val="17"/>
                <w:szCs w:val="17"/>
                <w:color w:val="auto"/>
              </w:rPr>
            </w:pPr>
          </w:p>
        </w:tc>
        <w:tc>
          <w:tcPr>
            <w:tcW w:w="8180" w:type="dxa"/>
            <w:vAlign w:val="bottom"/>
            <w:gridSpan w:val="45"/>
          </w:tcPr>
          <w:p>
            <w:pPr>
              <w:spacing w:after="0" w:line="198" w:lineRule="exact"/>
              <w:rPr>
                <w:sz w:val="20"/>
                <w:szCs w:val="20"/>
                <w:color w:val="auto"/>
              </w:rPr>
            </w:pPr>
            <w:r>
              <w:rPr>
                <w:rFonts w:ascii="Arial" w:cs="Arial" w:eastAsia="Arial" w:hAnsi="Arial"/>
                <w:sz w:val="19"/>
                <w:szCs w:val="19"/>
                <w:color w:val="0000FF"/>
              </w:rPr>
              <w:t>Registrant’s Registration Statement on Form S-1/A (File No. 333- 257444) filed with the SEC on</w:t>
            </w:r>
          </w:p>
        </w:tc>
        <w:tc>
          <w:tcPr>
            <w:tcW w:w="0" w:type="dxa"/>
            <w:vAlign w:val="bottom"/>
          </w:tcPr>
          <w:p>
            <w:pPr>
              <w:spacing w:after="0"/>
              <w:rPr>
                <w:sz w:val="1"/>
                <w:szCs w:val="1"/>
                <w:color w:val="auto"/>
              </w:rPr>
            </w:pPr>
          </w:p>
        </w:tc>
      </w:tr>
      <w:tr>
        <w:trPr>
          <w:trHeight w:val="198"/>
        </w:trPr>
        <w:tc>
          <w:tcPr>
            <w:tcW w:w="1240" w:type="dxa"/>
            <w:vAlign w:val="bottom"/>
            <w:vMerge w:val="restart"/>
          </w:tcPr>
          <w:p>
            <w:pPr>
              <w:spacing w:after="0"/>
              <w:rPr>
                <w:sz w:val="20"/>
                <w:szCs w:val="20"/>
                <w:color w:val="auto"/>
              </w:rPr>
            </w:pPr>
            <w:r>
              <w:rPr>
                <w:rFonts w:ascii="Arial" w:cs="Arial" w:eastAsia="Arial" w:hAnsi="Arial"/>
                <w:sz w:val="19"/>
                <w:szCs w:val="19"/>
                <w:color w:val="auto"/>
              </w:rPr>
              <w:t>10.9</w:t>
            </w:r>
          </w:p>
        </w:tc>
        <w:tc>
          <w:tcPr>
            <w:tcW w:w="8100" w:type="dxa"/>
            <w:vAlign w:val="bottom"/>
            <w:tcBorders>
              <w:top w:val="single" w:sz="8" w:color="0000FF"/>
            </w:tcBorders>
            <w:gridSpan w:val="41"/>
          </w:tcPr>
          <w:p>
            <w:pPr>
              <w:spacing w:after="0" w:line="198" w:lineRule="exact"/>
              <w:rPr>
                <w:sz w:val="20"/>
                <w:szCs w:val="20"/>
                <w:color w:val="auto"/>
              </w:rPr>
            </w:pPr>
            <w:r>
              <w:rPr>
                <w:rFonts w:ascii="Arial" w:cs="Arial" w:eastAsia="Arial" w:hAnsi="Arial"/>
                <w:sz w:val="19"/>
                <w:szCs w:val="19"/>
                <w:color w:val="0000FF"/>
              </w:rPr>
              <w:t>July 16, 2021)</w:t>
            </w: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240" w:type="dxa"/>
            <w:vAlign w:val="bottom"/>
            <w:vMerge w:val="continue"/>
          </w:tcPr>
          <w:p>
            <w:pPr>
              <w:spacing w:after="0"/>
              <w:rPr>
                <w:sz w:val="18"/>
                <w:szCs w:val="18"/>
                <w:color w:val="auto"/>
              </w:rPr>
            </w:pPr>
          </w:p>
        </w:tc>
        <w:tc>
          <w:tcPr>
            <w:tcW w:w="8180" w:type="dxa"/>
            <w:vAlign w:val="bottom"/>
            <w:gridSpan w:val="45"/>
          </w:tcPr>
          <w:p>
            <w:pPr>
              <w:spacing w:after="0" w:line="213" w:lineRule="exact"/>
              <w:rPr>
                <w:sz w:val="20"/>
                <w:szCs w:val="20"/>
                <w:color w:val="auto"/>
              </w:rPr>
            </w:pPr>
            <w:r>
              <w:rPr>
                <w:rFonts w:ascii="Arial" w:cs="Arial" w:eastAsia="Arial" w:hAnsi="Arial"/>
                <w:sz w:val="19"/>
                <w:szCs w:val="19"/>
                <w:color w:val="0000FF"/>
              </w:rPr>
              <w:t>Exclusive Patent License Agreement by and between Advantagene, Inc. and Mass General</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240" w:type="dxa"/>
            <w:vAlign w:val="bottom"/>
          </w:tcPr>
          <w:p>
            <w:pPr>
              <w:spacing w:after="0"/>
              <w:rPr>
                <w:sz w:val="17"/>
                <w:szCs w:val="17"/>
                <w:color w:val="auto"/>
              </w:rPr>
            </w:pPr>
          </w:p>
        </w:tc>
        <w:tc>
          <w:tcPr>
            <w:tcW w:w="8180" w:type="dxa"/>
            <w:vAlign w:val="bottom"/>
            <w:gridSpan w:val="45"/>
          </w:tcPr>
          <w:p>
            <w:pPr>
              <w:spacing w:after="0" w:line="198" w:lineRule="exact"/>
              <w:rPr>
                <w:sz w:val="20"/>
                <w:szCs w:val="20"/>
                <w:color w:val="auto"/>
              </w:rPr>
            </w:pPr>
            <w:r>
              <w:rPr>
                <w:rFonts w:ascii="Arial" w:cs="Arial" w:eastAsia="Arial" w:hAnsi="Arial"/>
                <w:sz w:val="19"/>
                <w:szCs w:val="19"/>
                <w:color w:val="0000FF"/>
              </w:rPr>
              <w:t>Brigham (formerly known as The Brigham and Women’s Hospital, Inc.) dated September 15,</w:t>
            </w:r>
          </w:p>
        </w:tc>
        <w:tc>
          <w:tcPr>
            <w:tcW w:w="0" w:type="dxa"/>
            <w:vAlign w:val="bottom"/>
          </w:tcPr>
          <w:p>
            <w:pPr>
              <w:spacing w:after="0"/>
              <w:rPr>
                <w:sz w:val="1"/>
                <w:szCs w:val="1"/>
                <w:color w:val="auto"/>
              </w:rPr>
            </w:pPr>
          </w:p>
        </w:tc>
      </w:tr>
      <w:tr>
        <w:trPr>
          <w:trHeight w:val="198"/>
        </w:trPr>
        <w:tc>
          <w:tcPr>
            <w:tcW w:w="1240" w:type="dxa"/>
            <w:vAlign w:val="bottom"/>
          </w:tcPr>
          <w:p>
            <w:pPr>
              <w:spacing w:after="0"/>
              <w:rPr>
                <w:sz w:val="17"/>
                <w:szCs w:val="17"/>
                <w:color w:val="auto"/>
              </w:rPr>
            </w:pPr>
          </w:p>
        </w:tc>
        <w:tc>
          <w:tcPr>
            <w:tcW w:w="7760" w:type="dxa"/>
            <w:vAlign w:val="bottom"/>
            <w:tcBorders>
              <w:top w:val="single" w:sz="8" w:color="0000FF"/>
              <w:bottom w:val="single" w:sz="8" w:color="0000FF"/>
            </w:tcBorders>
            <w:gridSpan w:val="24"/>
          </w:tcPr>
          <w:p>
            <w:pPr>
              <w:spacing w:after="0" w:line="198" w:lineRule="exact"/>
              <w:rPr>
                <w:sz w:val="20"/>
                <w:szCs w:val="20"/>
                <w:color w:val="auto"/>
              </w:rPr>
            </w:pPr>
            <w:r>
              <w:rPr>
                <w:rFonts w:ascii="Arial" w:cs="Arial" w:eastAsia="Arial" w:hAnsi="Arial"/>
                <w:sz w:val="19"/>
                <w:szCs w:val="19"/>
                <w:color w:val="0000FF"/>
                <w:w w:val="99"/>
              </w:rPr>
              <w:t>2020 (incorporated by reference to Exhibit 10.9 to the Registrant’s Registration Statement on</w:t>
            </w:r>
          </w:p>
        </w:tc>
        <w:tc>
          <w:tcPr>
            <w:tcW w:w="20" w:type="dxa"/>
            <w:vAlign w:val="bottom"/>
            <w:tcBorders>
              <w:bottom w:val="single" w:sz="8" w:color="0000FF"/>
            </w:tcBorders>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240" w:type="dxa"/>
            <w:vAlign w:val="bottom"/>
            <w:vMerge w:val="restart"/>
          </w:tcPr>
          <w:p>
            <w:pPr>
              <w:spacing w:after="0"/>
              <w:rPr>
                <w:sz w:val="20"/>
                <w:szCs w:val="20"/>
                <w:color w:val="auto"/>
              </w:rPr>
            </w:pPr>
            <w:r>
              <w:rPr>
                <w:rFonts w:ascii="Arial" w:cs="Arial" w:eastAsia="Arial" w:hAnsi="Arial"/>
                <w:sz w:val="19"/>
                <w:szCs w:val="19"/>
                <w:color w:val="auto"/>
              </w:rPr>
              <w:t>10.10</w:t>
            </w:r>
          </w:p>
        </w:tc>
        <w:tc>
          <w:tcPr>
            <w:tcW w:w="5980" w:type="dxa"/>
            <w:vAlign w:val="bottom"/>
            <w:tcBorders>
              <w:bottom w:val="single" w:sz="8" w:color="0000FF"/>
            </w:tcBorders>
            <w:gridSpan w:val="10"/>
          </w:tcPr>
          <w:p>
            <w:pPr>
              <w:spacing w:after="0" w:line="198" w:lineRule="exact"/>
              <w:rPr>
                <w:sz w:val="20"/>
                <w:szCs w:val="20"/>
                <w:color w:val="auto"/>
              </w:rPr>
            </w:pPr>
            <w:r>
              <w:rPr>
                <w:rFonts w:ascii="Arial" w:cs="Arial" w:eastAsia="Arial" w:hAnsi="Arial"/>
                <w:sz w:val="19"/>
                <w:szCs w:val="19"/>
                <w:color w:val="0000FF"/>
                <w:w w:val="99"/>
              </w:rPr>
              <w:t>Form S-1/A (File No. 333- 257444) filed with the SEC on July 16, 2021)</w:t>
            </w:r>
          </w:p>
        </w:tc>
        <w:tc>
          <w:tcPr>
            <w:tcW w:w="1840" w:type="dxa"/>
            <w:vAlign w:val="bottom"/>
            <w:gridSpan w:val="17"/>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240" w:type="dxa"/>
            <w:vAlign w:val="bottom"/>
            <w:vMerge w:val="continue"/>
          </w:tcPr>
          <w:p>
            <w:pPr>
              <w:spacing w:after="0"/>
              <w:rPr>
                <w:sz w:val="18"/>
                <w:szCs w:val="18"/>
                <w:color w:val="auto"/>
              </w:rPr>
            </w:pPr>
          </w:p>
        </w:tc>
        <w:tc>
          <w:tcPr>
            <w:tcW w:w="7580" w:type="dxa"/>
            <w:vAlign w:val="bottom"/>
            <w:tcBorders>
              <w:bottom w:val="single" w:sz="8" w:color="0000FF"/>
            </w:tcBorders>
            <w:gridSpan w:val="18"/>
          </w:tcPr>
          <w:p>
            <w:pPr>
              <w:spacing w:after="0" w:line="215" w:lineRule="exact"/>
              <w:rPr>
                <w:sz w:val="20"/>
                <w:szCs w:val="20"/>
                <w:color w:val="auto"/>
              </w:rPr>
            </w:pPr>
            <w:r>
              <w:rPr>
                <w:rFonts w:ascii="Arial" w:cs="Arial" w:eastAsia="Arial" w:hAnsi="Arial"/>
                <w:sz w:val="19"/>
                <w:szCs w:val="19"/>
                <w:color w:val="0000FF"/>
                <w:w w:val="99"/>
              </w:rPr>
              <w:t>Lease of Premises at 117 Kendrick Street, Needham, Massachusetts by and between 117</w:t>
            </w:r>
          </w:p>
        </w:tc>
        <w:tc>
          <w:tcPr>
            <w:tcW w:w="600" w:type="dxa"/>
            <w:vAlign w:val="bottom"/>
            <w:gridSpan w:val="27"/>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240" w:type="dxa"/>
            <w:vAlign w:val="bottom"/>
          </w:tcPr>
          <w:p>
            <w:pPr>
              <w:spacing w:after="0"/>
              <w:rPr>
                <w:sz w:val="17"/>
                <w:szCs w:val="17"/>
                <w:color w:val="auto"/>
              </w:rPr>
            </w:pPr>
          </w:p>
        </w:tc>
        <w:tc>
          <w:tcPr>
            <w:tcW w:w="8180" w:type="dxa"/>
            <w:vAlign w:val="bottom"/>
            <w:gridSpan w:val="45"/>
          </w:tcPr>
          <w:p>
            <w:pPr>
              <w:spacing w:after="0" w:line="198" w:lineRule="exact"/>
              <w:rPr>
                <w:sz w:val="20"/>
                <w:szCs w:val="20"/>
                <w:color w:val="auto"/>
              </w:rPr>
            </w:pPr>
            <w:r>
              <w:rPr>
                <w:rFonts w:ascii="Arial" w:cs="Arial" w:eastAsia="Arial" w:hAnsi="Arial"/>
                <w:sz w:val="19"/>
                <w:szCs w:val="19"/>
                <w:color w:val="0000FF"/>
              </w:rPr>
              <w:t>Kendrick DE, LLC and the Registrant dated as of February 4, 2019 (incorporated by reference to</w:t>
            </w:r>
          </w:p>
        </w:tc>
        <w:tc>
          <w:tcPr>
            <w:tcW w:w="0" w:type="dxa"/>
            <w:vAlign w:val="bottom"/>
          </w:tcPr>
          <w:p>
            <w:pPr>
              <w:spacing w:after="0"/>
              <w:rPr>
                <w:sz w:val="1"/>
                <w:szCs w:val="1"/>
                <w:color w:val="auto"/>
              </w:rPr>
            </w:pPr>
          </w:p>
        </w:tc>
      </w:tr>
      <w:tr>
        <w:trPr>
          <w:trHeight w:val="198"/>
        </w:trPr>
        <w:tc>
          <w:tcPr>
            <w:tcW w:w="1240" w:type="dxa"/>
            <w:vAlign w:val="bottom"/>
          </w:tcPr>
          <w:p>
            <w:pPr>
              <w:spacing w:after="0"/>
              <w:rPr>
                <w:sz w:val="17"/>
                <w:szCs w:val="17"/>
                <w:color w:val="auto"/>
              </w:rPr>
            </w:pPr>
          </w:p>
        </w:tc>
        <w:tc>
          <w:tcPr>
            <w:tcW w:w="8160" w:type="dxa"/>
            <w:vAlign w:val="bottom"/>
            <w:tcBorders>
              <w:top w:val="single" w:sz="8" w:color="0000FF"/>
            </w:tcBorders>
            <w:gridSpan w:val="44"/>
          </w:tcPr>
          <w:p>
            <w:pPr>
              <w:spacing w:after="0" w:line="198" w:lineRule="exact"/>
              <w:rPr>
                <w:sz w:val="20"/>
                <w:szCs w:val="20"/>
                <w:color w:val="auto"/>
              </w:rPr>
            </w:pPr>
            <w:r>
              <w:rPr>
                <w:rFonts w:ascii="Arial" w:cs="Arial" w:eastAsia="Arial" w:hAnsi="Arial"/>
                <w:sz w:val="19"/>
                <w:szCs w:val="19"/>
                <w:color w:val="0000FF"/>
              </w:rPr>
              <w:t>Exhibit 10.10 to the Registrant’s Registration Statement on Form S-1/A (File No. 333- 257444)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240" w:type="dxa"/>
            <w:vAlign w:val="bottom"/>
            <w:vMerge w:val="restart"/>
          </w:tcPr>
          <w:p>
            <w:pPr>
              <w:spacing w:after="0"/>
              <w:rPr>
                <w:sz w:val="20"/>
                <w:szCs w:val="20"/>
                <w:color w:val="auto"/>
              </w:rPr>
            </w:pPr>
            <w:r>
              <w:rPr>
                <w:rFonts w:ascii="Arial" w:cs="Arial" w:eastAsia="Arial" w:hAnsi="Arial"/>
                <w:sz w:val="19"/>
                <w:szCs w:val="19"/>
                <w:color w:val="auto"/>
              </w:rPr>
              <w:t>10.11</w:t>
            </w:r>
          </w:p>
        </w:tc>
        <w:tc>
          <w:tcPr>
            <w:tcW w:w="7920" w:type="dxa"/>
            <w:vAlign w:val="bottom"/>
            <w:tcBorders>
              <w:top w:val="single" w:sz="8" w:color="0000FF"/>
            </w:tcBorders>
            <w:gridSpan w:val="32"/>
          </w:tcPr>
          <w:p>
            <w:pPr>
              <w:spacing w:after="0" w:line="198" w:lineRule="exact"/>
              <w:rPr>
                <w:sz w:val="20"/>
                <w:szCs w:val="20"/>
                <w:color w:val="auto"/>
              </w:rPr>
            </w:pPr>
            <w:r>
              <w:rPr>
                <w:rFonts w:ascii="Arial" w:cs="Arial" w:eastAsia="Arial" w:hAnsi="Arial"/>
                <w:sz w:val="19"/>
                <w:szCs w:val="19"/>
                <w:color w:val="0000FF"/>
              </w:rPr>
              <w:t>filed with the SEC on July 16, 2021)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240" w:type="dxa"/>
            <w:vAlign w:val="bottom"/>
            <w:vMerge w:val="continue"/>
          </w:tcPr>
          <w:p>
            <w:pPr>
              <w:spacing w:after="0"/>
              <w:rPr>
                <w:sz w:val="18"/>
                <w:szCs w:val="18"/>
                <w:color w:val="auto"/>
              </w:rPr>
            </w:pPr>
          </w:p>
        </w:tc>
        <w:tc>
          <w:tcPr>
            <w:tcW w:w="7780" w:type="dxa"/>
            <w:vAlign w:val="bottom"/>
            <w:tcBorders>
              <w:bottom w:val="single" w:sz="8" w:color="0000FF"/>
            </w:tcBorders>
            <w:gridSpan w:val="25"/>
          </w:tcPr>
          <w:p>
            <w:pPr>
              <w:spacing w:after="0" w:line="213" w:lineRule="exact"/>
              <w:rPr>
                <w:sz w:val="20"/>
                <w:szCs w:val="20"/>
                <w:color w:val="auto"/>
              </w:rPr>
            </w:pPr>
            <w:r>
              <w:rPr>
                <w:rFonts w:ascii="Arial" w:cs="Arial" w:eastAsia="Arial" w:hAnsi="Arial"/>
                <w:sz w:val="19"/>
                <w:szCs w:val="19"/>
                <w:color w:val="0000FF"/>
                <w:w w:val="99"/>
              </w:rPr>
              <w:t>Loan and Security Agreement by and between the Registrant and Silicon Valley Bank, dated</w:t>
            </w:r>
          </w:p>
        </w:tc>
        <w:tc>
          <w:tcPr>
            <w:tcW w:w="400" w:type="dxa"/>
            <w:vAlign w:val="bottom"/>
            <w:gridSpan w:val="20"/>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240" w:type="dxa"/>
            <w:vAlign w:val="bottom"/>
          </w:tcPr>
          <w:p>
            <w:pPr>
              <w:spacing w:after="0"/>
              <w:rPr>
                <w:sz w:val="17"/>
                <w:szCs w:val="17"/>
                <w:color w:val="auto"/>
              </w:rPr>
            </w:pPr>
          </w:p>
        </w:tc>
        <w:tc>
          <w:tcPr>
            <w:tcW w:w="8180" w:type="dxa"/>
            <w:vAlign w:val="bottom"/>
            <w:gridSpan w:val="45"/>
          </w:tcPr>
          <w:p>
            <w:pPr>
              <w:spacing w:after="0" w:line="198" w:lineRule="exact"/>
              <w:rPr>
                <w:sz w:val="20"/>
                <w:szCs w:val="20"/>
                <w:color w:val="auto"/>
              </w:rPr>
            </w:pPr>
            <w:r>
              <w:rPr>
                <w:rFonts w:ascii="Arial" w:cs="Arial" w:eastAsia="Arial" w:hAnsi="Arial"/>
                <w:sz w:val="19"/>
                <w:szCs w:val="19"/>
                <w:color w:val="0000FF"/>
              </w:rPr>
              <w:t>February 24, 2022 (incorporated by reference to Exhibit 10.11 to the Registrant's Annual Report</w:t>
            </w:r>
          </w:p>
        </w:tc>
        <w:tc>
          <w:tcPr>
            <w:tcW w:w="0" w:type="dxa"/>
            <w:vAlign w:val="bottom"/>
          </w:tcPr>
          <w:p>
            <w:pPr>
              <w:spacing w:after="0"/>
              <w:rPr>
                <w:sz w:val="1"/>
                <w:szCs w:val="1"/>
                <w:color w:val="auto"/>
              </w:rPr>
            </w:pPr>
          </w:p>
        </w:tc>
      </w:tr>
      <w:tr>
        <w:trPr>
          <w:trHeight w:val="198"/>
        </w:trPr>
        <w:tc>
          <w:tcPr>
            <w:tcW w:w="1240" w:type="dxa"/>
            <w:vAlign w:val="bottom"/>
            <w:vMerge w:val="restart"/>
          </w:tcPr>
          <w:p>
            <w:pPr>
              <w:spacing w:after="0"/>
              <w:rPr>
                <w:sz w:val="20"/>
                <w:szCs w:val="20"/>
                <w:color w:val="auto"/>
              </w:rPr>
            </w:pPr>
            <w:r>
              <w:rPr>
                <w:rFonts w:ascii="Arial" w:cs="Arial" w:eastAsia="Arial" w:hAnsi="Arial"/>
                <w:sz w:val="19"/>
                <w:szCs w:val="19"/>
                <w:color w:val="auto"/>
              </w:rPr>
              <w:t>10.12#</w:t>
            </w:r>
          </w:p>
        </w:tc>
        <w:tc>
          <w:tcPr>
            <w:tcW w:w="8080" w:type="dxa"/>
            <w:vAlign w:val="bottom"/>
            <w:tcBorders>
              <w:top w:val="single" w:sz="8" w:color="0000FF"/>
            </w:tcBorders>
            <w:gridSpan w:val="40"/>
          </w:tcPr>
          <w:p>
            <w:pPr>
              <w:spacing w:after="0" w:line="198" w:lineRule="exact"/>
              <w:rPr>
                <w:sz w:val="20"/>
                <w:szCs w:val="20"/>
                <w:color w:val="auto"/>
              </w:rPr>
            </w:pPr>
            <w:r>
              <w:rPr>
                <w:rFonts w:ascii="Arial" w:cs="Arial" w:eastAsia="Arial" w:hAnsi="Arial"/>
                <w:sz w:val="19"/>
                <w:szCs w:val="19"/>
                <w:color w:val="0000FF"/>
              </w:rPr>
              <w:t>on Form 10-K filed with the SEC on March 29, 2022)</w:t>
            </w:r>
          </w:p>
        </w:tc>
        <w:tc>
          <w:tcPr>
            <w:tcW w:w="40" w:type="dxa"/>
            <w:vAlign w:val="bottom"/>
            <w:gridSpan w:val="2"/>
          </w:tcPr>
          <w:p>
            <w:pPr>
              <w:spacing w:after="0"/>
              <w:rPr>
                <w:sz w:val="17"/>
                <w:szCs w:val="17"/>
                <w:color w:val="auto"/>
              </w:rPr>
            </w:pPr>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240" w:type="dxa"/>
            <w:vAlign w:val="bottom"/>
            <w:vMerge w:val="continue"/>
          </w:tcPr>
          <w:p>
            <w:pPr>
              <w:spacing w:after="0"/>
              <w:rPr>
                <w:sz w:val="18"/>
                <w:szCs w:val="18"/>
                <w:color w:val="auto"/>
              </w:rPr>
            </w:pPr>
          </w:p>
        </w:tc>
        <w:tc>
          <w:tcPr>
            <w:tcW w:w="7740" w:type="dxa"/>
            <w:vAlign w:val="bottom"/>
            <w:tcBorders>
              <w:bottom w:val="single" w:sz="8" w:color="0000FF"/>
            </w:tcBorders>
            <w:gridSpan w:val="23"/>
          </w:tcPr>
          <w:p>
            <w:pPr>
              <w:spacing w:after="0" w:line="213" w:lineRule="exact"/>
              <w:rPr>
                <w:sz w:val="20"/>
                <w:szCs w:val="20"/>
                <w:color w:val="auto"/>
              </w:rPr>
            </w:pPr>
            <w:r>
              <w:rPr>
                <w:rFonts w:ascii="Arial" w:cs="Arial" w:eastAsia="Arial" w:hAnsi="Arial"/>
                <w:sz w:val="19"/>
                <w:szCs w:val="19"/>
                <w:color w:val="0000FF"/>
                <w:w w:val="99"/>
              </w:rPr>
              <w:t>Employment Agreement by and between Candel Therapeutics and Francesca Barone dated</w:t>
            </w:r>
          </w:p>
        </w:tc>
        <w:tc>
          <w:tcPr>
            <w:tcW w:w="440" w:type="dxa"/>
            <w:vAlign w:val="bottom"/>
            <w:gridSpan w:val="22"/>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240" w:type="dxa"/>
            <w:vAlign w:val="bottom"/>
          </w:tcPr>
          <w:p>
            <w:pPr>
              <w:spacing w:after="0"/>
              <w:rPr>
                <w:sz w:val="17"/>
                <w:szCs w:val="17"/>
                <w:color w:val="auto"/>
              </w:rPr>
            </w:pPr>
          </w:p>
        </w:tc>
        <w:tc>
          <w:tcPr>
            <w:tcW w:w="8180" w:type="dxa"/>
            <w:vAlign w:val="bottom"/>
            <w:gridSpan w:val="45"/>
          </w:tcPr>
          <w:p>
            <w:pPr>
              <w:spacing w:after="0" w:line="198" w:lineRule="exact"/>
              <w:rPr>
                <w:sz w:val="20"/>
                <w:szCs w:val="20"/>
                <w:color w:val="auto"/>
              </w:rPr>
            </w:pPr>
            <w:r>
              <w:rPr>
                <w:rFonts w:ascii="Arial" w:cs="Arial" w:eastAsia="Arial" w:hAnsi="Arial"/>
                <w:sz w:val="19"/>
                <w:szCs w:val="19"/>
                <w:color w:val="0000FF"/>
              </w:rPr>
              <w:t>February 3, 2022 (incorporated by reference to Exhibit 10.12 to the Registrant's Annual Report</w:t>
            </w:r>
          </w:p>
        </w:tc>
        <w:tc>
          <w:tcPr>
            <w:tcW w:w="0" w:type="dxa"/>
            <w:vAlign w:val="bottom"/>
          </w:tcPr>
          <w:p>
            <w:pPr>
              <w:spacing w:after="0"/>
              <w:rPr>
                <w:sz w:val="1"/>
                <w:szCs w:val="1"/>
                <w:color w:val="auto"/>
              </w:rPr>
            </w:pPr>
          </w:p>
        </w:tc>
      </w:tr>
      <w:tr>
        <w:trPr>
          <w:trHeight w:val="201"/>
        </w:trPr>
        <w:tc>
          <w:tcPr>
            <w:tcW w:w="1240" w:type="dxa"/>
            <w:vAlign w:val="bottom"/>
            <w:vMerge w:val="restart"/>
          </w:tcPr>
          <w:p>
            <w:pPr>
              <w:spacing w:after="0"/>
              <w:rPr>
                <w:sz w:val="20"/>
                <w:szCs w:val="20"/>
                <w:color w:val="auto"/>
              </w:rPr>
            </w:pPr>
            <w:r>
              <w:rPr>
                <w:rFonts w:ascii="Arial" w:cs="Arial" w:eastAsia="Arial" w:hAnsi="Arial"/>
                <w:sz w:val="19"/>
                <w:szCs w:val="19"/>
                <w:color w:val="auto"/>
              </w:rPr>
              <w:t>10.13#</w:t>
            </w:r>
          </w:p>
        </w:tc>
        <w:tc>
          <w:tcPr>
            <w:tcW w:w="7940" w:type="dxa"/>
            <w:vAlign w:val="bottom"/>
            <w:tcBorders>
              <w:top w:val="single" w:sz="8" w:color="0000FF"/>
            </w:tcBorders>
            <w:gridSpan w:val="33"/>
          </w:tcPr>
          <w:p>
            <w:pPr>
              <w:spacing w:after="0" w:line="201" w:lineRule="exact"/>
              <w:rPr>
                <w:sz w:val="20"/>
                <w:szCs w:val="20"/>
                <w:color w:val="auto"/>
              </w:rPr>
            </w:pPr>
            <w:r>
              <w:rPr>
                <w:rFonts w:ascii="Arial" w:cs="Arial" w:eastAsia="Arial" w:hAnsi="Arial"/>
                <w:sz w:val="19"/>
                <w:szCs w:val="19"/>
                <w:color w:val="0000FF"/>
              </w:rPr>
              <w:t>on Form 10-K filed with the SEC on March 29, 2022)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gridSpan w:val="3"/>
          </w:tcPr>
          <w:p>
            <w:pPr>
              <w:spacing w:after="0"/>
              <w:rPr>
                <w:sz w:val="17"/>
                <w:szCs w:val="17"/>
                <w:color w:val="auto"/>
              </w:rPr>
            </w:pPr>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240" w:type="dxa"/>
            <w:vAlign w:val="bottom"/>
            <w:vMerge w:val="continue"/>
          </w:tcPr>
          <w:p>
            <w:pPr>
              <w:spacing w:after="0"/>
              <w:rPr>
                <w:sz w:val="18"/>
                <w:szCs w:val="18"/>
                <w:color w:val="auto"/>
              </w:rPr>
            </w:pPr>
          </w:p>
        </w:tc>
        <w:tc>
          <w:tcPr>
            <w:tcW w:w="8180" w:type="dxa"/>
            <w:vAlign w:val="bottom"/>
            <w:gridSpan w:val="45"/>
          </w:tcPr>
          <w:p>
            <w:pPr>
              <w:spacing w:after="0" w:line="213" w:lineRule="exact"/>
              <w:rPr>
                <w:sz w:val="20"/>
                <w:szCs w:val="20"/>
                <w:color w:val="auto"/>
              </w:rPr>
            </w:pPr>
            <w:r>
              <w:rPr>
                <w:rFonts w:ascii="Arial" w:cs="Arial" w:eastAsia="Arial" w:hAnsi="Arial"/>
                <w:sz w:val="19"/>
                <w:szCs w:val="19"/>
                <w:color w:val="0000FF"/>
              </w:rPr>
              <w:t>Consulting Agreement by and between Candel Therapeutics, Inc. and Susan Stewart dated</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240" w:type="dxa"/>
            <w:vAlign w:val="bottom"/>
          </w:tcPr>
          <w:p>
            <w:pPr>
              <w:spacing w:after="0"/>
              <w:rPr>
                <w:sz w:val="17"/>
                <w:szCs w:val="17"/>
                <w:color w:val="auto"/>
              </w:rPr>
            </w:pPr>
          </w:p>
        </w:tc>
        <w:tc>
          <w:tcPr>
            <w:tcW w:w="8180" w:type="dxa"/>
            <w:vAlign w:val="bottom"/>
            <w:gridSpan w:val="45"/>
          </w:tcPr>
          <w:p>
            <w:pPr>
              <w:spacing w:after="0" w:line="198" w:lineRule="exact"/>
              <w:rPr>
                <w:sz w:val="20"/>
                <w:szCs w:val="20"/>
                <w:color w:val="auto"/>
              </w:rPr>
            </w:pPr>
            <w:r>
              <w:rPr>
                <w:rFonts w:ascii="Arial" w:cs="Arial" w:eastAsia="Arial" w:hAnsi="Arial"/>
                <w:sz w:val="19"/>
                <w:szCs w:val="19"/>
                <w:color w:val="0000FF"/>
              </w:rPr>
              <w:t>October 19, 2021 (incorporated by reference to Exhibit 10.13 to the Registrant's Annual Report</w:t>
            </w:r>
          </w:p>
        </w:tc>
        <w:tc>
          <w:tcPr>
            <w:tcW w:w="0" w:type="dxa"/>
            <w:vAlign w:val="bottom"/>
          </w:tcPr>
          <w:p>
            <w:pPr>
              <w:spacing w:after="0"/>
              <w:rPr>
                <w:sz w:val="1"/>
                <w:szCs w:val="1"/>
                <w:color w:val="auto"/>
              </w:rPr>
            </w:pPr>
          </w:p>
        </w:tc>
      </w:tr>
      <w:tr>
        <w:trPr>
          <w:trHeight w:val="198"/>
        </w:trPr>
        <w:tc>
          <w:tcPr>
            <w:tcW w:w="1240" w:type="dxa"/>
            <w:vAlign w:val="bottom"/>
            <w:vMerge w:val="restart"/>
          </w:tcPr>
          <w:p>
            <w:pPr>
              <w:spacing w:after="0"/>
              <w:rPr>
                <w:sz w:val="20"/>
                <w:szCs w:val="20"/>
                <w:color w:val="auto"/>
              </w:rPr>
            </w:pPr>
            <w:r>
              <w:rPr>
                <w:rFonts w:ascii="Arial" w:cs="Arial" w:eastAsia="Arial" w:hAnsi="Arial"/>
                <w:sz w:val="19"/>
                <w:szCs w:val="19"/>
                <w:color w:val="auto"/>
              </w:rPr>
              <w:t>10.14#</w:t>
            </w:r>
          </w:p>
        </w:tc>
        <w:tc>
          <w:tcPr>
            <w:tcW w:w="7980" w:type="dxa"/>
            <w:vAlign w:val="bottom"/>
            <w:tcBorders>
              <w:top w:val="single" w:sz="8" w:color="0000FF"/>
            </w:tcBorders>
            <w:gridSpan w:val="35"/>
          </w:tcPr>
          <w:p>
            <w:pPr>
              <w:spacing w:after="0" w:line="198" w:lineRule="exact"/>
              <w:rPr>
                <w:sz w:val="20"/>
                <w:szCs w:val="20"/>
                <w:color w:val="auto"/>
              </w:rPr>
            </w:pPr>
            <w:r>
              <w:rPr>
                <w:rFonts w:ascii="Arial" w:cs="Arial" w:eastAsia="Arial" w:hAnsi="Arial"/>
                <w:sz w:val="19"/>
                <w:szCs w:val="19"/>
                <w:color w:val="0000FF"/>
              </w:rPr>
              <w:t>on Form 10-K filed with the SEC on March 29, 2022)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gridSpan w:val="3"/>
          </w:tcPr>
          <w:p>
            <w:pPr>
              <w:spacing w:after="0"/>
              <w:rPr>
                <w:sz w:val="17"/>
                <w:szCs w:val="17"/>
                <w:color w:val="auto"/>
              </w:rPr>
            </w:pPr>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240" w:type="dxa"/>
            <w:vAlign w:val="bottom"/>
            <w:vMerge w:val="continue"/>
          </w:tcPr>
          <w:p>
            <w:pPr>
              <w:spacing w:after="0"/>
              <w:rPr>
                <w:sz w:val="18"/>
                <w:szCs w:val="18"/>
                <w:color w:val="auto"/>
              </w:rPr>
            </w:pPr>
          </w:p>
        </w:tc>
        <w:tc>
          <w:tcPr>
            <w:tcW w:w="8180" w:type="dxa"/>
            <w:vAlign w:val="bottom"/>
            <w:gridSpan w:val="45"/>
          </w:tcPr>
          <w:p>
            <w:pPr>
              <w:spacing w:after="0" w:line="213" w:lineRule="exact"/>
              <w:rPr>
                <w:sz w:val="20"/>
                <w:szCs w:val="20"/>
                <w:color w:val="auto"/>
              </w:rPr>
            </w:pPr>
            <w:r>
              <w:rPr>
                <w:rFonts w:ascii="Arial" w:cs="Arial" w:eastAsia="Arial" w:hAnsi="Arial"/>
                <w:sz w:val="19"/>
                <w:szCs w:val="19"/>
                <w:color w:val="0000FF"/>
              </w:rPr>
              <w:t>Employment Agreement by and between Candel Therapeutics and Seshu Tyagarajan dated</w:t>
            </w:r>
          </w:p>
        </w:tc>
        <w:tc>
          <w:tcPr>
            <w:tcW w:w="0" w:type="dxa"/>
            <w:vAlign w:val="bottom"/>
          </w:tcPr>
          <w:p>
            <w:pPr>
              <w:spacing w:after="0"/>
              <w:rPr>
                <w:sz w:val="1"/>
                <w:szCs w:val="1"/>
                <w:color w:val="auto"/>
              </w:rPr>
            </w:pPr>
          </w:p>
        </w:tc>
      </w:tr>
      <w:tr>
        <w:trPr>
          <w:trHeight w:val="198"/>
        </w:trPr>
        <w:tc>
          <w:tcPr>
            <w:tcW w:w="1240" w:type="dxa"/>
            <w:vAlign w:val="bottom"/>
          </w:tcPr>
          <w:p>
            <w:pPr>
              <w:spacing w:after="0"/>
              <w:rPr>
                <w:sz w:val="17"/>
                <w:szCs w:val="17"/>
                <w:color w:val="auto"/>
              </w:rPr>
            </w:pPr>
          </w:p>
        </w:tc>
        <w:tc>
          <w:tcPr>
            <w:tcW w:w="7720" w:type="dxa"/>
            <w:vAlign w:val="bottom"/>
            <w:tcBorders>
              <w:top w:val="single" w:sz="8" w:color="0000FF"/>
            </w:tcBorders>
            <w:gridSpan w:val="22"/>
          </w:tcPr>
          <w:p>
            <w:pPr>
              <w:spacing w:after="0" w:line="198" w:lineRule="exact"/>
              <w:rPr>
                <w:sz w:val="20"/>
                <w:szCs w:val="20"/>
                <w:color w:val="auto"/>
              </w:rPr>
            </w:pPr>
            <w:r>
              <w:rPr>
                <w:rFonts w:ascii="Arial" w:cs="Arial" w:eastAsia="Arial" w:hAnsi="Arial"/>
                <w:sz w:val="19"/>
                <w:szCs w:val="19"/>
                <w:color w:val="0000FF"/>
                <w:w w:val="99"/>
              </w:rPr>
              <w:t>April 14, 2022 (incorporated by reference to Exhibit 10.8 to the Registrant’s Quarterly Report</w:t>
            </w:r>
          </w:p>
        </w:tc>
        <w:tc>
          <w:tcPr>
            <w:tcW w:w="80" w:type="dxa"/>
            <w:vAlign w:val="bottom"/>
            <w:gridSpan w:val="4"/>
          </w:tcPr>
          <w:p>
            <w:pPr>
              <w:spacing w:after="0"/>
              <w:rPr>
                <w:sz w:val="17"/>
                <w:szCs w:val="17"/>
                <w:color w:val="auto"/>
              </w:rPr>
            </w:pPr>
          </w:p>
        </w:tc>
        <w:tc>
          <w:tcPr>
            <w:tcW w:w="380" w:type="dxa"/>
            <w:vAlign w:val="bottom"/>
            <w:gridSpan w:val="19"/>
          </w:tcPr>
          <w:p>
            <w:pPr>
              <w:spacing w:after="0" w:line="198" w:lineRule="exact"/>
              <w:rPr>
                <w:sz w:val="20"/>
                <w:szCs w:val="20"/>
                <w:color w:val="auto"/>
              </w:rPr>
            </w:pPr>
            <w:r>
              <w:rPr>
                <w:rFonts w:ascii="Arial" w:cs="Arial" w:eastAsia="Arial" w:hAnsi="Arial"/>
                <w:sz w:val="19"/>
                <w:szCs w:val="19"/>
                <w:color w:val="0000FF"/>
              </w:rPr>
              <w:t>on</w:t>
            </w:r>
          </w:p>
        </w:tc>
        <w:tc>
          <w:tcPr>
            <w:tcW w:w="0" w:type="dxa"/>
            <w:vAlign w:val="bottom"/>
          </w:tcPr>
          <w:p>
            <w:pPr>
              <w:spacing w:after="0"/>
              <w:rPr>
                <w:sz w:val="1"/>
                <w:szCs w:val="1"/>
                <w:color w:val="auto"/>
              </w:rPr>
            </w:pPr>
          </w:p>
        </w:tc>
      </w:tr>
      <w:tr>
        <w:trPr>
          <w:trHeight w:val="198"/>
        </w:trPr>
        <w:tc>
          <w:tcPr>
            <w:tcW w:w="1240" w:type="dxa"/>
            <w:vAlign w:val="bottom"/>
            <w:vMerge w:val="restart"/>
          </w:tcPr>
          <w:p>
            <w:pPr>
              <w:spacing w:after="0"/>
              <w:rPr>
                <w:sz w:val="20"/>
                <w:szCs w:val="20"/>
                <w:color w:val="auto"/>
              </w:rPr>
            </w:pPr>
            <w:r>
              <w:rPr>
                <w:rFonts w:ascii="Arial" w:cs="Arial" w:eastAsia="Arial" w:hAnsi="Arial"/>
                <w:sz w:val="19"/>
                <w:szCs w:val="19"/>
                <w:color w:val="auto"/>
              </w:rPr>
              <w:t>10.15#</w:t>
            </w:r>
          </w:p>
        </w:tc>
        <w:tc>
          <w:tcPr>
            <w:tcW w:w="4000" w:type="dxa"/>
            <w:vAlign w:val="bottom"/>
            <w:tcBorders>
              <w:top w:val="single" w:sz="8" w:color="0000FF"/>
              <w:bottom w:val="single" w:sz="8" w:color="0000FF"/>
            </w:tcBorders>
            <w:gridSpan w:val="6"/>
          </w:tcPr>
          <w:p>
            <w:pPr>
              <w:spacing w:after="0" w:line="198" w:lineRule="exact"/>
              <w:rPr>
                <w:sz w:val="20"/>
                <w:szCs w:val="20"/>
                <w:color w:val="auto"/>
              </w:rPr>
            </w:pPr>
            <w:r>
              <w:rPr>
                <w:rFonts w:ascii="Arial" w:cs="Arial" w:eastAsia="Arial" w:hAnsi="Arial"/>
                <w:sz w:val="19"/>
                <w:szCs w:val="19"/>
                <w:color w:val="0000FF"/>
                <w:w w:val="99"/>
              </w:rPr>
              <w:t>Form 10-Q filed with the SEC on May 12, 2022)</w:t>
            </w:r>
          </w:p>
        </w:tc>
        <w:tc>
          <w:tcPr>
            <w:tcW w:w="4040" w:type="dxa"/>
            <w:vAlign w:val="bottom"/>
            <w:tcBorders>
              <w:top w:val="single" w:sz="8" w:color="0000FF"/>
            </w:tcBorders>
            <w:gridSpan w:val="32"/>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gridSpan w:val="3"/>
          </w:tcPr>
          <w:p>
            <w:pPr>
              <w:spacing w:after="0"/>
              <w:rPr>
                <w:sz w:val="17"/>
                <w:szCs w:val="17"/>
                <w:color w:val="auto"/>
              </w:rPr>
            </w:pPr>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240" w:type="dxa"/>
            <w:vAlign w:val="bottom"/>
            <w:vMerge w:val="continue"/>
          </w:tcPr>
          <w:p>
            <w:pPr>
              <w:spacing w:after="0"/>
              <w:rPr>
                <w:sz w:val="18"/>
                <w:szCs w:val="18"/>
                <w:color w:val="auto"/>
              </w:rPr>
            </w:pPr>
          </w:p>
        </w:tc>
        <w:tc>
          <w:tcPr>
            <w:tcW w:w="8180" w:type="dxa"/>
            <w:vAlign w:val="bottom"/>
            <w:gridSpan w:val="45"/>
          </w:tcPr>
          <w:p>
            <w:pPr>
              <w:spacing w:after="0" w:line="215" w:lineRule="exact"/>
              <w:rPr>
                <w:sz w:val="20"/>
                <w:szCs w:val="20"/>
                <w:color w:val="auto"/>
              </w:rPr>
            </w:pPr>
            <w:r>
              <w:rPr>
                <w:rFonts w:ascii="Arial" w:cs="Arial" w:eastAsia="Arial" w:hAnsi="Arial"/>
                <w:sz w:val="19"/>
                <w:szCs w:val="19"/>
                <w:color w:val="0000FF"/>
              </w:rPr>
              <w:t>Employment Agreement by and between Candel Therapeutics and Jason A. Amello dated</w:t>
            </w:r>
          </w:p>
        </w:tc>
        <w:tc>
          <w:tcPr>
            <w:tcW w:w="0" w:type="dxa"/>
            <w:vAlign w:val="bottom"/>
          </w:tcPr>
          <w:p>
            <w:pPr>
              <w:spacing w:after="0"/>
              <w:rPr>
                <w:sz w:val="1"/>
                <w:szCs w:val="1"/>
                <w:color w:val="auto"/>
              </w:rPr>
            </w:pPr>
          </w:p>
        </w:tc>
      </w:tr>
      <w:tr>
        <w:trPr>
          <w:trHeight w:val="198"/>
        </w:trPr>
        <w:tc>
          <w:tcPr>
            <w:tcW w:w="1240" w:type="dxa"/>
            <w:vAlign w:val="bottom"/>
          </w:tcPr>
          <w:p>
            <w:pPr>
              <w:spacing w:after="0"/>
              <w:rPr>
                <w:sz w:val="17"/>
                <w:szCs w:val="17"/>
                <w:color w:val="auto"/>
              </w:rPr>
            </w:pPr>
          </w:p>
        </w:tc>
        <w:tc>
          <w:tcPr>
            <w:tcW w:w="7560" w:type="dxa"/>
            <w:vAlign w:val="bottom"/>
            <w:tcBorders>
              <w:top w:val="single" w:sz="8" w:color="0000FF"/>
            </w:tcBorders>
            <w:gridSpan w:val="17"/>
          </w:tcPr>
          <w:p>
            <w:pPr>
              <w:spacing w:after="0" w:line="198" w:lineRule="exact"/>
              <w:rPr>
                <w:sz w:val="20"/>
                <w:szCs w:val="20"/>
                <w:color w:val="auto"/>
              </w:rPr>
            </w:pPr>
            <w:r>
              <w:rPr>
                <w:rFonts w:ascii="Arial" w:cs="Arial" w:eastAsia="Arial" w:hAnsi="Arial"/>
                <w:sz w:val="19"/>
                <w:szCs w:val="19"/>
                <w:color w:val="0000FF"/>
                <w:w w:val="98"/>
              </w:rPr>
              <w:t>September 21, 2022 (incorporated by reference to Exhibit 10.1 to the Registrant’s Quarterly</w:t>
            </w:r>
          </w:p>
        </w:tc>
        <w:tc>
          <w:tcPr>
            <w:tcW w:w="240" w:type="dxa"/>
            <w:vAlign w:val="bottom"/>
            <w:gridSpan w:val="9"/>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gridSpan w:val="3"/>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60" w:type="dxa"/>
            <w:vAlign w:val="bottom"/>
            <w:gridSpan w:val="3"/>
          </w:tcPr>
          <w:p>
            <w:pPr>
              <w:spacing w:after="0"/>
              <w:rPr>
                <w:sz w:val="17"/>
                <w:szCs w:val="17"/>
                <w:color w:val="auto"/>
              </w:rPr>
            </w:pPr>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240" w:type="dxa"/>
            <w:vAlign w:val="bottom"/>
            <w:vMerge w:val="restart"/>
          </w:tcPr>
          <w:p>
            <w:pPr>
              <w:spacing w:after="0"/>
              <w:rPr>
                <w:sz w:val="20"/>
                <w:szCs w:val="20"/>
                <w:color w:val="auto"/>
              </w:rPr>
            </w:pPr>
            <w:r>
              <w:rPr>
                <w:rFonts w:ascii="Arial" w:cs="Arial" w:eastAsia="Arial" w:hAnsi="Arial"/>
                <w:sz w:val="19"/>
                <w:szCs w:val="19"/>
                <w:color w:val="auto"/>
              </w:rPr>
              <w:t>10.16**</w:t>
            </w:r>
          </w:p>
        </w:tc>
        <w:tc>
          <w:tcPr>
            <w:tcW w:w="5400" w:type="dxa"/>
            <w:vAlign w:val="bottom"/>
            <w:tcBorders>
              <w:top w:val="single" w:sz="8" w:color="0000FF"/>
              <w:bottom w:val="single" w:sz="8" w:color="0000FF"/>
            </w:tcBorders>
            <w:gridSpan w:val="9"/>
          </w:tcPr>
          <w:p>
            <w:pPr>
              <w:spacing w:after="0" w:line="198" w:lineRule="exact"/>
              <w:rPr>
                <w:sz w:val="20"/>
                <w:szCs w:val="20"/>
                <w:color w:val="auto"/>
              </w:rPr>
            </w:pPr>
            <w:r>
              <w:rPr>
                <w:rFonts w:ascii="Arial" w:cs="Arial" w:eastAsia="Arial" w:hAnsi="Arial"/>
                <w:sz w:val="19"/>
                <w:szCs w:val="19"/>
                <w:color w:val="0000FF"/>
                <w:w w:val="99"/>
              </w:rPr>
              <w:t>Report on Form 10-Q filed with the SEC on November 10, 2022)</w:t>
            </w:r>
          </w:p>
        </w:tc>
        <w:tc>
          <w:tcPr>
            <w:tcW w:w="2260" w:type="dxa"/>
            <w:vAlign w:val="bottom"/>
            <w:tcBorders>
              <w:top w:val="single" w:sz="8" w:color="0000FF"/>
            </w:tcBorders>
            <w:gridSpan w:val="10"/>
          </w:tcPr>
          <w:p>
            <w:pPr>
              <w:spacing w:after="0"/>
              <w:rPr>
                <w:sz w:val="17"/>
                <w:szCs w:val="17"/>
                <w:color w:val="auto"/>
              </w:rPr>
            </w:pPr>
          </w:p>
        </w:tc>
        <w:tc>
          <w:tcPr>
            <w:tcW w:w="140" w:type="dxa"/>
            <w:vAlign w:val="bottom"/>
            <w:gridSpan w:val="7"/>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gridSpan w:val="3"/>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60" w:type="dxa"/>
            <w:vAlign w:val="bottom"/>
            <w:gridSpan w:val="3"/>
          </w:tcPr>
          <w:p>
            <w:pPr>
              <w:spacing w:after="0"/>
              <w:rPr>
                <w:sz w:val="17"/>
                <w:szCs w:val="17"/>
                <w:color w:val="auto"/>
              </w:rPr>
            </w:pPr>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240" w:type="dxa"/>
            <w:vAlign w:val="bottom"/>
            <w:vMerge w:val="continue"/>
          </w:tcPr>
          <w:p>
            <w:pPr>
              <w:spacing w:after="0"/>
              <w:rPr>
                <w:sz w:val="18"/>
                <w:szCs w:val="18"/>
                <w:color w:val="auto"/>
              </w:rPr>
            </w:pPr>
          </w:p>
        </w:tc>
        <w:tc>
          <w:tcPr>
            <w:tcW w:w="8180" w:type="dxa"/>
            <w:vAlign w:val="bottom"/>
            <w:gridSpan w:val="45"/>
          </w:tcPr>
          <w:p>
            <w:pPr>
              <w:spacing w:after="0" w:line="213" w:lineRule="exact"/>
              <w:rPr>
                <w:sz w:val="20"/>
                <w:szCs w:val="20"/>
                <w:color w:val="auto"/>
              </w:rPr>
            </w:pPr>
            <w:r>
              <w:rPr>
                <w:rFonts w:ascii="Arial" w:cs="Arial" w:eastAsia="Arial" w:hAnsi="Arial"/>
                <w:sz w:val="19"/>
                <w:szCs w:val="19"/>
                <w:color w:val="0000FF"/>
              </w:rPr>
              <w:t>Master Production Services Agreement by and between Candel Therapeutics and SAFC</w:t>
            </w:r>
          </w:p>
        </w:tc>
        <w:tc>
          <w:tcPr>
            <w:tcW w:w="0" w:type="dxa"/>
            <w:vAlign w:val="bottom"/>
          </w:tcPr>
          <w:p>
            <w:pPr>
              <w:spacing w:after="0"/>
              <w:rPr>
                <w:sz w:val="1"/>
                <w:szCs w:val="1"/>
                <w:color w:val="auto"/>
              </w:rPr>
            </w:pPr>
          </w:p>
        </w:tc>
      </w:tr>
      <w:tr>
        <w:trPr>
          <w:trHeight w:val="198"/>
        </w:trPr>
        <w:tc>
          <w:tcPr>
            <w:tcW w:w="1240" w:type="dxa"/>
            <w:vAlign w:val="bottom"/>
          </w:tcPr>
          <w:p>
            <w:pPr>
              <w:spacing w:after="0"/>
              <w:rPr>
                <w:sz w:val="17"/>
                <w:szCs w:val="17"/>
                <w:color w:val="auto"/>
              </w:rPr>
            </w:pPr>
          </w:p>
        </w:tc>
        <w:tc>
          <w:tcPr>
            <w:tcW w:w="7420" w:type="dxa"/>
            <w:vAlign w:val="bottom"/>
            <w:tcBorders>
              <w:top w:val="single" w:sz="8" w:color="0000FF"/>
            </w:tcBorders>
            <w:gridSpan w:val="15"/>
          </w:tcPr>
          <w:p>
            <w:pPr>
              <w:spacing w:after="0" w:line="198" w:lineRule="exact"/>
              <w:rPr>
                <w:sz w:val="20"/>
                <w:szCs w:val="20"/>
                <w:color w:val="auto"/>
              </w:rPr>
            </w:pPr>
            <w:r>
              <w:rPr>
                <w:rFonts w:ascii="Arial" w:cs="Arial" w:eastAsia="Arial" w:hAnsi="Arial"/>
                <w:sz w:val="19"/>
                <w:szCs w:val="19"/>
                <w:color w:val="0000FF"/>
                <w:w w:val="99"/>
              </w:rPr>
              <w:t>Carlsbad, Inc., effective November 3, 2022 (incorporated by reference to Exhibit 10.16 to</w:t>
            </w:r>
          </w:p>
        </w:tc>
        <w:tc>
          <w:tcPr>
            <w:tcW w:w="60" w:type="dxa"/>
            <w:vAlign w:val="bottom"/>
          </w:tcPr>
          <w:p>
            <w:pPr>
              <w:spacing w:after="0"/>
              <w:rPr>
                <w:sz w:val="17"/>
                <w:szCs w:val="17"/>
                <w:color w:val="auto"/>
              </w:rPr>
            </w:pPr>
          </w:p>
        </w:tc>
        <w:tc>
          <w:tcPr>
            <w:tcW w:w="700" w:type="dxa"/>
            <w:vAlign w:val="bottom"/>
            <w:gridSpan w:val="29"/>
          </w:tcPr>
          <w:p>
            <w:pPr>
              <w:ind w:left="20"/>
              <w:spacing w:after="0" w:line="198" w:lineRule="exact"/>
              <w:rPr>
                <w:sz w:val="20"/>
                <w:szCs w:val="20"/>
                <w:color w:val="auto"/>
              </w:rPr>
            </w:pPr>
            <w:r>
              <w:rPr>
                <w:rFonts w:ascii="Arial" w:cs="Arial" w:eastAsia="Arial" w:hAnsi="Arial"/>
                <w:sz w:val="19"/>
                <w:szCs w:val="19"/>
                <w:color w:val="0000FF"/>
              </w:rPr>
              <w:t>the</w:t>
            </w:r>
          </w:p>
        </w:tc>
        <w:tc>
          <w:tcPr>
            <w:tcW w:w="0" w:type="dxa"/>
            <w:vAlign w:val="bottom"/>
          </w:tcPr>
          <w:p>
            <w:pPr>
              <w:spacing w:after="0"/>
              <w:rPr>
                <w:sz w:val="1"/>
                <w:szCs w:val="1"/>
                <w:color w:val="auto"/>
              </w:rPr>
            </w:pPr>
          </w:p>
        </w:tc>
      </w:tr>
      <w:tr>
        <w:trPr>
          <w:trHeight w:val="198"/>
        </w:trPr>
        <w:tc>
          <w:tcPr>
            <w:tcW w:w="1240" w:type="dxa"/>
            <w:vAlign w:val="bottom"/>
            <w:vMerge w:val="restart"/>
          </w:tcPr>
          <w:p>
            <w:pPr>
              <w:spacing w:after="0"/>
              <w:rPr>
                <w:sz w:val="20"/>
                <w:szCs w:val="20"/>
                <w:color w:val="auto"/>
              </w:rPr>
            </w:pPr>
            <w:r>
              <w:rPr>
                <w:rFonts w:ascii="Arial" w:cs="Arial" w:eastAsia="Arial" w:hAnsi="Arial"/>
                <w:sz w:val="19"/>
                <w:szCs w:val="19"/>
                <w:color w:val="auto"/>
              </w:rPr>
              <w:t>10.17**</w:t>
            </w:r>
          </w:p>
        </w:tc>
        <w:tc>
          <w:tcPr>
            <w:tcW w:w="6740" w:type="dxa"/>
            <w:vAlign w:val="bottom"/>
            <w:tcBorders>
              <w:top w:val="single" w:sz="8" w:color="0000FF"/>
              <w:bottom w:val="single" w:sz="8" w:color="0000FF"/>
            </w:tcBorders>
            <w:gridSpan w:val="11"/>
          </w:tcPr>
          <w:p>
            <w:pPr>
              <w:spacing w:after="0" w:line="198" w:lineRule="exact"/>
              <w:rPr>
                <w:sz w:val="20"/>
                <w:szCs w:val="20"/>
                <w:color w:val="auto"/>
              </w:rPr>
            </w:pPr>
            <w:r>
              <w:rPr>
                <w:rFonts w:ascii="Arial" w:cs="Arial" w:eastAsia="Arial" w:hAnsi="Arial"/>
                <w:sz w:val="19"/>
                <w:szCs w:val="19"/>
                <w:color w:val="0000FF"/>
                <w:w w:val="99"/>
              </w:rPr>
              <w:t>Registrant’s Annual Report on Form 10-K filed with the SEC on March 30, 2023)</w:t>
            </w:r>
          </w:p>
        </w:tc>
        <w:tc>
          <w:tcPr>
            <w:tcW w:w="1060" w:type="dxa"/>
            <w:vAlign w:val="bottom"/>
            <w:tcBorders>
              <w:top w:val="single" w:sz="8" w:color="0000FF"/>
            </w:tcBorders>
            <w:gridSpan w:val="15"/>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gridSpan w:val="3"/>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60" w:type="dxa"/>
            <w:vAlign w:val="bottom"/>
            <w:gridSpan w:val="3"/>
          </w:tcPr>
          <w:p>
            <w:pPr>
              <w:spacing w:after="0"/>
              <w:rPr>
                <w:sz w:val="17"/>
                <w:szCs w:val="17"/>
                <w:color w:val="auto"/>
              </w:rPr>
            </w:pPr>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240" w:type="dxa"/>
            <w:vAlign w:val="bottom"/>
            <w:vMerge w:val="continue"/>
          </w:tcPr>
          <w:p>
            <w:pPr>
              <w:spacing w:after="0"/>
              <w:rPr>
                <w:sz w:val="18"/>
                <w:szCs w:val="18"/>
                <w:color w:val="auto"/>
              </w:rPr>
            </w:pPr>
          </w:p>
        </w:tc>
        <w:tc>
          <w:tcPr>
            <w:tcW w:w="8180" w:type="dxa"/>
            <w:vAlign w:val="bottom"/>
            <w:gridSpan w:val="45"/>
          </w:tcPr>
          <w:p>
            <w:pPr>
              <w:spacing w:after="0" w:line="213" w:lineRule="exact"/>
              <w:rPr>
                <w:sz w:val="20"/>
                <w:szCs w:val="20"/>
                <w:color w:val="auto"/>
              </w:rPr>
            </w:pPr>
            <w:r>
              <w:rPr>
                <w:rFonts w:ascii="Arial" w:cs="Arial" w:eastAsia="Arial" w:hAnsi="Arial"/>
                <w:sz w:val="19"/>
                <w:szCs w:val="19"/>
                <w:color w:val="0000FF"/>
              </w:rPr>
              <w:t>Amendment to Exclusive License Agreement by and between Candel Therapeutics, Inc. and</w:t>
            </w:r>
          </w:p>
        </w:tc>
        <w:tc>
          <w:tcPr>
            <w:tcW w:w="0" w:type="dxa"/>
            <w:vAlign w:val="bottom"/>
          </w:tcPr>
          <w:p>
            <w:pPr>
              <w:spacing w:after="0"/>
              <w:rPr>
                <w:sz w:val="1"/>
                <w:szCs w:val="1"/>
                <w:color w:val="auto"/>
              </w:rPr>
            </w:pPr>
          </w:p>
        </w:tc>
      </w:tr>
      <w:tr>
        <w:trPr>
          <w:trHeight w:val="198"/>
        </w:trPr>
        <w:tc>
          <w:tcPr>
            <w:tcW w:w="1240" w:type="dxa"/>
            <w:vAlign w:val="bottom"/>
          </w:tcPr>
          <w:p>
            <w:pPr>
              <w:spacing w:after="0"/>
              <w:rPr>
                <w:sz w:val="17"/>
                <w:szCs w:val="17"/>
                <w:color w:val="auto"/>
              </w:rPr>
            </w:pPr>
          </w:p>
        </w:tc>
        <w:tc>
          <w:tcPr>
            <w:tcW w:w="7780" w:type="dxa"/>
            <w:vAlign w:val="bottom"/>
            <w:tcBorders>
              <w:top w:val="single" w:sz="8" w:color="0000FF"/>
            </w:tcBorders>
            <w:gridSpan w:val="25"/>
          </w:tcPr>
          <w:p>
            <w:pPr>
              <w:spacing w:after="0" w:line="198" w:lineRule="exact"/>
              <w:rPr>
                <w:sz w:val="20"/>
                <w:szCs w:val="20"/>
                <w:color w:val="auto"/>
              </w:rPr>
            </w:pPr>
            <w:r>
              <w:rPr>
                <w:rFonts w:ascii="Arial" w:cs="Arial" w:eastAsia="Arial" w:hAnsi="Arial"/>
                <w:sz w:val="19"/>
                <w:szCs w:val="19"/>
                <w:color w:val="0000FF"/>
              </w:rPr>
              <w:t>Periphagen, Inc. dated June 7, 2023 (incorporated by reference to Exhibit 10.1 to the</w:t>
            </w:r>
          </w:p>
        </w:tc>
        <w:tc>
          <w:tcPr>
            <w:tcW w:w="6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gridSpan w:val="3"/>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60" w:type="dxa"/>
            <w:vAlign w:val="bottom"/>
            <w:gridSpan w:val="3"/>
          </w:tcPr>
          <w:p>
            <w:pPr>
              <w:spacing w:after="0"/>
              <w:rPr>
                <w:sz w:val="17"/>
                <w:szCs w:val="17"/>
                <w:color w:val="auto"/>
              </w:rPr>
            </w:pPr>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240" w:type="dxa"/>
            <w:vAlign w:val="bottom"/>
            <w:vMerge w:val="restart"/>
          </w:tcPr>
          <w:p>
            <w:pPr>
              <w:spacing w:after="0"/>
              <w:rPr>
                <w:sz w:val="20"/>
                <w:szCs w:val="20"/>
                <w:color w:val="auto"/>
              </w:rPr>
            </w:pPr>
            <w:r>
              <w:rPr>
                <w:rFonts w:ascii="Arial" w:cs="Arial" w:eastAsia="Arial" w:hAnsi="Arial"/>
                <w:sz w:val="19"/>
                <w:szCs w:val="19"/>
                <w:color w:val="auto"/>
              </w:rPr>
              <w:t>10.18</w:t>
            </w:r>
          </w:p>
        </w:tc>
        <w:tc>
          <w:tcPr>
            <w:tcW w:w="7160" w:type="dxa"/>
            <w:vAlign w:val="bottom"/>
            <w:tcBorders>
              <w:top w:val="single" w:sz="8" w:color="0000FF"/>
            </w:tcBorders>
            <w:gridSpan w:val="13"/>
          </w:tcPr>
          <w:p>
            <w:pPr>
              <w:spacing w:after="0" w:line="198" w:lineRule="exact"/>
              <w:rPr>
                <w:sz w:val="20"/>
                <w:szCs w:val="20"/>
                <w:color w:val="auto"/>
              </w:rPr>
            </w:pPr>
            <w:r>
              <w:rPr>
                <w:rFonts w:ascii="Arial" w:cs="Arial" w:eastAsia="Arial" w:hAnsi="Arial"/>
                <w:sz w:val="19"/>
                <w:szCs w:val="19"/>
                <w:color w:val="0000FF"/>
              </w:rPr>
              <w:t>Registrant’s Quarterly Report on Form 10-Q filed with the SEC on August 10, 2023)</w:t>
            </w:r>
          </w:p>
        </w:tc>
        <w:tc>
          <w:tcPr>
            <w:tcW w:w="320" w:type="dxa"/>
            <w:vAlign w:val="bottom"/>
            <w:gridSpan w:val="3"/>
          </w:tcPr>
          <w:p>
            <w:pPr>
              <w:spacing w:after="0"/>
              <w:rPr>
                <w:sz w:val="17"/>
                <w:szCs w:val="17"/>
                <w:color w:val="auto"/>
              </w:rPr>
            </w:pPr>
          </w:p>
        </w:tc>
        <w:tc>
          <w:tcPr>
            <w:tcW w:w="360" w:type="dxa"/>
            <w:vAlign w:val="bottom"/>
            <w:gridSpan w:val="1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gridSpan w:val="3"/>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60" w:type="dxa"/>
            <w:vAlign w:val="bottom"/>
            <w:gridSpan w:val="3"/>
          </w:tcPr>
          <w:p>
            <w:pPr>
              <w:spacing w:after="0"/>
              <w:rPr>
                <w:sz w:val="17"/>
                <w:szCs w:val="17"/>
                <w:color w:val="auto"/>
              </w:rPr>
            </w:pPr>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860" w:type="dxa"/>
            <w:vAlign w:val="bottom"/>
            <w:gridSpan w:val="5"/>
            <w:shd w:val="clear" w:color="auto" w:fill="0000FF"/>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36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240" w:type="dxa"/>
            <w:vAlign w:val="bottom"/>
            <w:vMerge w:val="continue"/>
          </w:tcPr>
          <w:p>
            <w:pPr>
              <w:spacing w:after="0"/>
              <w:rPr>
                <w:sz w:val="18"/>
                <w:szCs w:val="18"/>
                <w:color w:val="auto"/>
              </w:rPr>
            </w:pPr>
          </w:p>
        </w:tc>
        <w:tc>
          <w:tcPr>
            <w:tcW w:w="8180" w:type="dxa"/>
            <w:vAlign w:val="bottom"/>
            <w:gridSpan w:val="45"/>
          </w:tcPr>
          <w:p>
            <w:pPr>
              <w:spacing w:after="0" w:line="215" w:lineRule="exact"/>
              <w:rPr>
                <w:sz w:val="20"/>
                <w:szCs w:val="20"/>
                <w:color w:val="auto"/>
              </w:rPr>
            </w:pPr>
            <w:r>
              <w:rPr>
                <w:rFonts w:ascii="Arial" w:cs="Arial" w:eastAsia="Arial" w:hAnsi="Arial"/>
                <w:sz w:val="19"/>
                <w:szCs w:val="19"/>
                <w:color w:val="0000FF"/>
              </w:rPr>
              <w:t>First Amendment to Loan and Security Agreement by and between Candel Therapeutics, Inc.</w:t>
            </w:r>
          </w:p>
        </w:tc>
        <w:tc>
          <w:tcPr>
            <w:tcW w:w="0" w:type="dxa"/>
            <w:vAlign w:val="bottom"/>
          </w:tcPr>
          <w:p>
            <w:pPr>
              <w:spacing w:after="0"/>
              <w:rPr>
                <w:sz w:val="1"/>
                <w:szCs w:val="1"/>
                <w:color w:val="auto"/>
              </w:rPr>
            </w:pPr>
          </w:p>
        </w:tc>
      </w:tr>
      <w:tr>
        <w:trPr>
          <w:trHeight w:val="198"/>
        </w:trPr>
        <w:tc>
          <w:tcPr>
            <w:tcW w:w="1240" w:type="dxa"/>
            <w:vAlign w:val="bottom"/>
          </w:tcPr>
          <w:p>
            <w:pPr>
              <w:spacing w:after="0"/>
              <w:rPr>
                <w:sz w:val="17"/>
                <w:szCs w:val="17"/>
                <w:color w:val="auto"/>
              </w:rPr>
            </w:pPr>
          </w:p>
        </w:tc>
        <w:tc>
          <w:tcPr>
            <w:tcW w:w="7860" w:type="dxa"/>
            <w:vAlign w:val="bottom"/>
            <w:tcBorders>
              <w:top w:val="single" w:sz="8" w:color="0000FF"/>
              <w:bottom w:val="single" w:sz="8" w:color="0000FF"/>
            </w:tcBorders>
            <w:gridSpan w:val="29"/>
          </w:tcPr>
          <w:p>
            <w:pPr>
              <w:spacing w:after="0" w:line="198" w:lineRule="exact"/>
              <w:rPr>
                <w:sz w:val="20"/>
                <w:szCs w:val="20"/>
                <w:color w:val="auto"/>
              </w:rPr>
            </w:pPr>
            <w:r>
              <w:rPr>
                <w:rFonts w:ascii="Arial" w:cs="Arial" w:eastAsia="Arial" w:hAnsi="Arial"/>
                <w:sz w:val="19"/>
                <w:szCs w:val="19"/>
                <w:color w:val="0000FF"/>
                <w:w w:val="99"/>
              </w:rPr>
              <w:t>and Silicon Valley Bank, dated June 14, 2023 (incorporated by reference to Exhibit 10.2 to the</w:t>
            </w:r>
          </w:p>
        </w:tc>
        <w:tc>
          <w:tcPr>
            <w:tcW w:w="20" w:type="dxa"/>
            <w:vAlign w:val="bottom"/>
            <w:tcBorders>
              <w:bottom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gridSpan w:val="3"/>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60" w:type="dxa"/>
            <w:vAlign w:val="bottom"/>
            <w:gridSpan w:val="3"/>
          </w:tcPr>
          <w:p>
            <w:pPr>
              <w:spacing w:after="0"/>
              <w:rPr>
                <w:sz w:val="17"/>
                <w:szCs w:val="17"/>
                <w:color w:val="auto"/>
              </w:rPr>
            </w:pPr>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240" w:type="dxa"/>
            <w:vAlign w:val="bottom"/>
            <w:vMerge w:val="restart"/>
          </w:tcPr>
          <w:p>
            <w:pPr>
              <w:spacing w:after="0"/>
              <w:rPr>
                <w:sz w:val="20"/>
                <w:szCs w:val="20"/>
                <w:color w:val="auto"/>
              </w:rPr>
            </w:pPr>
            <w:r>
              <w:rPr>
                <w:rFonts w:ascii="Arial" w:cs="Arial" w:eastAsia="Arial" w:hAnsi="Arial"/>
                <w:sz w:val="19"/>
                <w:szCs w:val="19"/>
                <w:color w:val="auto"/>
              </w:rPr>
              <w:t>10.19#</w:t>
            </w:r>
          </w:p>
        </w:tc>
        <w:tc>
          <w:tcPr>
            <w:tcW w:w="7880" w:type="dxa"/>
            <w:vAlign w:val="bottom"/>
            <w:gridSpan w:val="30"/>
          </w:tcPr>
          <w:p>
            <w:pPr>
              <w:spacing w:after="0" w:line="198" w:lineRule="exact"/>
              <w:rPr>
                <w:sz w:val="20"/>
                <w:szCs w:val="20"/>
                <w:color w:val="auto"/>
              </w:rPr>
            </w:pPr>
            <w:r>
              <w:rPr>
                <w:rFonts w:ascii="Arial" w:cs="Arial" w:eastAsia="Arial" w:hAnsi="Arial"/>
                <w:sz w:val="19"/>
                <w:szCs w:val="19"/>
                <w:color w:val="0000FF"/>
              </w:rPr>
              <w:t>Registrant’s Quarterly Report on Form 10-Q filed with the SEC on August 10, 2023)</w:t>
            </w:r>
          </w:p>
        </w:tc>
        <w:tc>
          <w:tcPr>
            <w:tcW w:w="20" w:type="dxa"/>
            <w:vAlign w:val="bottom"/>
          </w:tcPr>
          <w:p>
            <w:pPr>
              <w:spacing w:after="0"/>
              <w:rPr>
                <w:sz w:val="17"/>
                <w:szCs w:val="17"/>
                <w:color w:val="auto"/>
              </w:rPr>
            </w:pPr>
          </w:p>
        </w:tc>
        <w:tc>
          <w:tcPr>
            <w:tcW w:w="60" w:type="dxa"/>
            <w:vAlign w:val="bottom"/>
            <w:gridSpan w:val="3"/>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60" w:type="dxa"/>
            <w:vAlign w:val="bottom"/>
            <w:gridSpan w:val="3"/>
          </w:tcPr>
          <w:p>
            <w:pPr>
              <w:spacing w:after="0"/>
              <w:rPr>
                <w:sz w:val="17"/>
                <w:szCs w:val="17"/>
                <w:color w:val="auto"/>
              </w:rPr>
            </w:pPr>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860" w:type="dxa"/>
            <w:vAlign w:val="bottom"/>
            <w:gridSpan w:val="5"/>
            <w:shd w:val="clear" w:color="auto" w:fill="0000FF"/>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360" w:type="dxa"/>
            <w:vAlign w:val="bottom"/>
            <w:gridSpan w:val="1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240" w:type="dxa"/>
            <w:vAlign w:val="bottom"/>
            <w:vMerge w:val="continue"/>
          </w:tcPr>
          <w:p>
            <w:pPr>
              <w:spacing w:after="0"/>
              <w:rPr>
                <w:sz w:val="18"/>
                <w:szCs w:val="18"/>
                <w:color w:val="auto"/>
              </w:rPr>
            </w:pPr>
          </w:p>
        </w:tc>
        <w:tc>
          <w:tcPr>
            <w:tcW w:w="8180" w:type="dxa"/>
            <w:vAlign w:val="bottom"/>
            <w:gridSpan w:val="45"/>
          </w:tcPr>
          <w:p>
            <w:pPr>
              <w:spacing w:after="0" w:line="213" w:lineRule="exact"/>
              <w:rPr>
                <w:sz w:val="20"/>
                <w:szCs w:val="20"/>
                <w:color w:val="auto"/>
              </w:rPr>
            </w:pPr>
            <w:r>
              <w:rPr>
                <w:rFonts w:ascii="Arial" w:cs="Arial" w:eastAsia="Arial" w:hAnsi="Arial"/>
                <w:sz w:val="19"/>
                <w:szCs w:val="19"/>
                <w:color w:val="0000FF"/>
              </w:rPr>
              <w:t>Consulting by and between Candel Therapeutics, Inc. and Jason A. Amello, dated as of January</w:t>
            </w:r>
          </w:p>
        </w:tc>
        <w:tc>
          <w:tcPr>
            <w:tcW w:w="0" w:type="dxa"/>
            <w:vAlign w:val="bottom"/>
          </w:tcPr>
          <w:p>
            <w:pPr>
              <w:spacing w:after="0"/>
              <w:rPr>
                <w:sz w:val="1"/>
                <w:szCs w:val="1"/>
                <w:color w:val="auto"/>
              </w:rPr>
            </w:pPr>
          </w:p>
        </w:tc>
      </w:tr>
      <w:tr>
        <w:trPr>
          <w:trHeight w:val="198"/>
        </w:trPr>
        <w:tc>
          <w:tcPr>
            <w:tcW w:w="1240" w:type="dxa"/>
            <w:vAlign w:val="bottom"/>
          </w:tcPr>
          <w:p>
            <w:pPr>
              <w:spacing w:after="0"/>
              <w:rPr>
                <w:sz w:val="17"/>
                <w:szCs w:val="17"/>
                <w:color w:val="auto"/>
              </w:rPr>
            </w:pPr>
          </w:p>
        </w:tc>
        <w:tc>
          <w:tcPr>
            <w:tcW w:w="8120" w:type="dxa"/>
            <w:vAlign w:val="bottom"/>
            <w:tcBorders>
              <w:top w:val="single" w:sz="8" w:color="0000FF"/>
            </w:tcBorders>
            <w:gridSpan w:val="42"/>
          </w:tcPr>
          <w:p>
            <w:pPr>
              <w:spacing w:after="0" w:line="198" w:lineRule="exact"/>
              <w:rPr>
                <w:sz w:val="20"/>
                <w:szCs w:val="20"/>
                <w:color w:val="auto"/>
              </w:rPr>
            </w:pPr>
            <w:r>
              <w:rPr>
                <w:rFonts w:ascii="Arial" w:cs="Arial" w:eastAsia="Arial" w:hAnsi="Arial"/>
                <w:sz w:val="19"/>
                <w:szCs w:val="19"/>
                <w:color w:val="0000FF"/>
              </w:rPr>
              <w:t>12, 2024 (incorporated by reference to Exhibit 10.19 to the Registrant’s Annual Report on Form</w:t>
            </w:r>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240" w:type="dxa"/>
            <w:vAlign w:val="bottom"/>
            <w:vMerge w:val="restart"/>
          </w:tcPr>
          <w:p>
            <w:pPr>
              <w:spacing w:after="0"/>
              <w:rPr>
                <w:sz w:val="20"/>
                <w:szCs w:val="20"/>
                <w:color w:val="auto"/>
              </w:rPr>
            </w:pPr>
            <w:r>
              <w:rPr>
                <w:rFonts w:ascii="Arial" w:cs="Arial" w:eastAsia="Arial" w:hAnsi="Arial"/>
                <w:sz w:val="19"/>
                <w:szCs w:val="19"/>
                <w:color w:val="auto"/>
              </w:rPr>
              <w:t>21.1</w:t>
            </w:r>
          </w:p>
        </w:tc>
        <w:tc>
          <w:tcPr>
            <w:tcW w:w="8020" w:type="dxa"/>
            <w:vAlign w:val="bottom"/>
            <w:tcBorders>
              <w:top w:val="single" w:sz="8" w:color="0000FF"/>
            </w:tcBorders>
            <w:gridSpan w:val="37"/>
          </w:tcPr>
          <w:p>
            <w:pPr>
              <w:spacing w:after="0" w:line="198" w:lineRule="exact"/>
              <w:rPr>
                <w:sz w:val="20"/>
                <w:szCs w:val="20"/>
                <w:color w:val="auto"/>
              </w:rPr>
            </w:pPr>
            <w:r>
              <w:rPr>
                <w:rFonts w:ascii="Arial" w:cs="Arial" w:eastAsia="Arial" w:hAnsi="Arial"/>
                <w:sz w:val="19"/>
                <w:szCs w:val="19"/>
                <w:color w:val="0000FF"/>
              </w:rPr>
              <w:t>10-K filed with the SEC on March 28, 2024)</w:t>
            </w:r>
          </w:p>
        </w:tc>
        <w:tc>
          <w:tcPr>
            <w:tcW w:w="40" w:type="dxa"/>
            <w:vAlign w:val="bottom"/>
            <w:gridSpan w:val="2"/>
          </w:tcPr>
          <w:p>
            <w:pPr>
              <w:spacing w:after="0"/>
              <w:rPr>
                <w:sz w:val="17"/>
                <w:szCs w:val="17"/>
                <w:color w:val="auto"/>
              </w:rPr>
            </w:pPr>
          </w:p>
        </w:tc>
        <w:tc>
          <w:tcPr>
            <w:tcW w:w="1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340" w:type="dxa"/>
            <w:vAlign w:val="bottom"/>
            <w:gridSpan w:val="9"/>
          </w:tcPr>
          <w:p>
            <w:pPr>
              <w:spacing w:after="0" w:line="20" w:lineRule="exact"/>
              <w:rPr>
                <w:sz w:val="1"/>
                <w:szCs w:val="1"/>
                <w:color w:val="auto"/>
              </w:rPr>
            </w:pPr>
          </w:p>
        </w:tc>
        <w:tc>
          <w:tcPr>
            <w:tcW w:w="360" w:type="dxa"/>
            <w:vAlign w:val="bottom"/>
            <w:gridSpan w:val="1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240" w:type="dxa"/>
            <w:vAlign w:val="bottom"/>
            <w:vMerge w:val="continue"/>
          </w:tcPr>
          <w:p>
            <w:pPr>
              <w:spacing w:after="0"/>
              <w:rPr>
                <w:sz w:val="18"/>
                <w:szCs w:val="18"/>
                <w:color w:val="auto"/>
              </w:rPr>
            </w:pPr>
          </w:p>
        </w:tc>
        <w:tc>
          <w:tcPr>
            <w:tcW w:w="8180" w:type="dxa"/>
            <w:vAlign w:val="bottom"/>
            <w:gridSpan w:val="45"/>
          </w:tcPr>
          <w:p>
            <w:pPr>
              <w:spacing w:after="0" w:line="213" w:lineRule="exact"/>
              <w:rPr>
                <w:sz w:val="20"/>
                <w:szCs w:val="20"/>
                <w:color w:val="auto"/>
              </w:rPr>
            </w:pPr>
            <w:r>
              <w:rPr>
                <w:rFonts w:ascii="Arial" w:cs="Arial" w:eastAsia="Arial" w:hAnsi="Arial"/>
                <w:sz w:val="19"/>
                <w:szCs w:val="19"/>
                <w:color w:val="0000FF"/>
              </w:rPr>
              <w:t>List of Subsidiary (incorporated by reference to Exhibit 21.1 to the Registrant's Annual Report on</w:t>
            </w:r>
          </w:p>
        </w:tc>
        <w:tc>
          <w:tcPr>
            <w:tcW w:w="0" w:type="dxa"/>
            <w:vAlign w:val="bottom"/>
          </w:tcPr>
          <w:p>
            <w:pPr>
              <w:spacing w:after="0"/>
              <w:rPr>
                <w:sz w:val="1"/>
                <w:szCs w:val="1"/>
                <w:color w:val="auto"/>
              </w:rPr>
            </w:pPr>
          </w:p>
        </w:tc>
      </w:tr>
      <w:tr>
        <w:trPr>
          <w:trHeight w:val="198"/>
        </w:trPr>
        <w:tc>
          <w:tcPr>
            <w:tcW w:w="1240" w:type="dxa"/>
            <w:vAlign w:val="bottom"/>
            <w:vMerge w:val="restart"/>
          </w:tcPr>
          <w:p>
            <w:pPr>
              <w:spacing w:after="0"/>
              <w:rPr>
                <w:sz w:val="20"/>
                <w:szCs w:val="20"/>
                <w:color w:val="auto"/>
              </w:rPr>
            </w:pPr>
            <w:r>
              <w:rPr>
                <w:rFonts w:ascii="Arial" w:cs="Arial" w:eastAsia="Arial" w:hAnsi="Arial"/>
                <w:sz w:val="19"/>
                <w:szCs w:val="19"/>
                <w:color w:val="auto"/>
              </w:rPr>
              <w:t>23.1</w:t>
            </w:r>
          </w:p>
        </w:tc>
        <w:tc>
          <w:tcPr>
            <w:tcW w:w="8140" w:type="dxa"/>
            <w:vAlign w:val="bottom"/>
            <w:tcBorders>
              <w:top w:val="single" w:sz="8" w:color="0000FF"/>
            </w:tcBorders>
            <w:gridSpan w:val="43"/>
          </w:tcPr>
          <w:p>
            <w:pPr>
              <w:spacing w:after="0" w:line="198" w:lineRule="exact"/>
              <w:rPr>
                <w:sz w:val="20"/>
                <w:szCs w:val="20"/>
                <w:color w:val="auto"/>
              </w:rPr>
            </w:pPr>
            <w:r>
              <w:rPr>
                <w:rFonts w:ascii="Arial" w:cs="Arial" w:eastAsia="Arial" w:hAnsi="Arial"/>
                <w:sz w:val="19"/>
                <w:szCs w:val="19"/>
                <w:color w:val="0000FF"/>
              </w:rPr>
              <w:t>Form 10-K filed with the SEC on March 29, 2022)</w:t>
            </w: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2760" w:type="dxa"/>
            <w:vAlign w:val="bottom"/>
            <w:gridSpan w:val="4"/>
            <w:shd w:val="clear" w:color="auto" w:fill="0000FF"/>
          </w:tcPr>
          <w:p>
            <w:pPr>
              <w:spacing w:after="0" w:line="20" w:lineRule="exact"/>
              <w:rPr>
                <w:sz w:val="1"/>
                <w:szCs w:val="1"/>
                <w:color w:val="auto"/>
              </w:rPr>
            </w:pPr>
          </w:p>
        </w:tc>
        <w:tc>
          <w:tcPr>
            <w:tcW w:w="3340" w:type="dxa"/>
            <w:vAlign w:val="bottom"/>
            <w:gridSpan w:val="9"/>
          </w:tcPr>
          <w:p>
            <w:pPr>
              <w:spacing w:after="0" w:line="20" w:lineRule="exact"/>
              <w:rPr>
                <w:sz w:val="1"/>
                <w:szCs w:val="1"/>
                <w:color w:val="auto"/>
              </w:rPr>
            </w:pPr>
          </w:p>
        </w:tc>
        <w:tc>
          <w:tcPr>
            <w:tcW w:w="360" w:type="dxa"/>
            <w:vAlign w:val="bottom"/>
            <w:gridSpan w:val="1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240" w:type="dxa"/>
            <w:vAlign w:val="bottom"/>
            <w:vMerge w:val="continue"/>
          </w:tcPr>
          <w:p>
            <w:pPr>
              <w:spacing w:after="0"/>
              <w:rPr>
                <w:sz w:val="18"/>
                <w:szCs w:val="18"/>
                <w:color w:val="auto"/>
              </w:rPr>
            </w:pPr>
          </w:p>
        </w:tc>
        <w:tc>
          <w:tcPr>
            <w:tcW w:w="7480" w:type="dxa"/>
            <w:vAlign w:val="bottom"/>
            <w:tcBorders>
              <w:bottom w:val="single" w:sz="8" w:color="0000FF"/>
            </w:tcBorders>
            <w:gridSpan w:val="16"/>
          </w:tcPr>
          <w:p>
            <w:pPr>
              <w:spacing w:after="0" w:line="215" w:lineRule="exact"/>
              <w:rPr>
                <w:sz w:val="20"/>
                <w:szCs w:val="20"/>
                <w:color w:val="auto"/>
              </w:rPr>
            </w:pPr>
            <w:r>
              <w:rPr>
                <w:rFonts w:ascii="Arial" w:cs="Arial" w:eastAsia="Arial" w:hAnsi="Arial"/>
                <w:sz w:val="19"/>
                <w:szCs w:val="19"/>
                <w:color w:val="0000FF"/>
                <w:w w:val="99"/>
              </w:rPr>
              <w:t>Consent of KPMG LLP, Independent Registered Public Accounting Firm (incorporated by</w:t>
            </w:r>
          </w:p>
        </w:tc>
        <w:tc>
          <w:tcPr>
            <w:tcW w:w="700" w:type="dxa"/>
            <w:vAlign w:val="bottom"/>
            <w:gridSpan w:val="29"/>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240" w:type="dxa"/>
            <w:vAlign w:val="bottom"/>
          </w:tcPr>
          <w:p>
            <w:pPr>
              <w:spacing w:after="0"/>
              <w:rPr>
                <w:sz w:val="17"/>
                <w:szCs w:val="17"/>
                <w:color w:val="auto"/>
              </w:rPr>
            </w:pPr>
          </w:p>
        </w:tc>
        <w:tc>
          <w:tcPr>
            <w:tcW w:w="8180" w:type="dxa"/>
            <w:vAlign w:val="bottom"/>
            <w:gridSpan w:val="45"/>
          </w:tcPr>
          <w:p>
            <w:pPr>
              <w:spacing w:after="0" w:line="198" w:lineRule="exact"/>
              <w:rPr>
                <w:sz w:val="20"/>
                <w:szCs w:val="20"/>
                <w:color w:val="auto"/>
              </w:rPr>
            </w:pPr>
            <w:r>
              <w:rPr>
                <w:rFonts w:ascii="Arial" w:cs="Arial" w:eastAsia="Arial" w:hAnsi="Arial"/>
                <w:sz w:val="19"/>
                <w:szCs w:val="19"/>
                <w:color w:val="0000FF"/>
              </w:rPr>
              <w:t>reference to Exhibit 23.1 to the Registrant’s Annual Report on Form 10-K filed with the SEC on</w:t>
            </w:r>
          </w:p>
        </w:tc>
        <w:tc>
          <w:tcPr>
            <w:tcW w:w="0" w:type="dxa"/>
            <w:vAlign w:val="bottom"/>
          </w:tcPr>
          <w:p>
            <w:pPr>
              <w:spacing w:after="0"/>
              <w:rPr>
                <w:sz w:val="1"/>
                <w:szCs w:val="1"/>
                <w:color w:val="auto"/>
              </w:rPr>
            </w:pPr>
          </w:p>
        </w:tc>
      </w:tr>
      <w:tr>
        <w:trPr>
          <w:trHeight w:val="198"/>
        </w:trPr>
        <w:tc>
          <w:tcPr>
            <w:tcW w:w="1240" w:type="dxa"/>
            <w:vAlign w:val="bottom"/>
            <w:vMerge w:val="restart"/>
          </w:tcPr>
          <w:p>
            <w:pPr>
              <w:spacing w:after="0"/>
              <w:rPr>
                <w:sz w:val="20"/>
                <w:szCs w:val="20"/>
                <w:color w:val="auto"/>
              </w:rPr>
            </w:pPr>
            <w:r>
              <w:rPr>
                <w:rFonts w:ascii="Arial" w:cs="Arial" w:eastAsia="Arial" w:hAnsi="Arial"/>
                <w:sz w:val="19"/>
                <w:szCs w:val="19"/>
                <w:color w:val="auto"/>
              </w:rPr>
              <w:t>24.1</w:t>
            </w:r>
          </w:p>
        </w:tc>
        <w:tc>
          <w:tcPr>
            <w:tcW w:w="1380" w:type="dxa"/>
            <w:vAlign w:val="bottom"/>
            <w:tcBorders>
              <w:top w:val="single" w:sz="8" w:color="0000FF"/>
              <w:bottom w:val="single" w:sz="8" w:color="0000FF"/>
            </w:tcBorders>
            <w:gridSpan w:val="3"/>
          </w:tcPr>
          <w:p>
            <w:pPr>
              <w:spacing w:after="0" w:line="198" w:lineRule="exact"/>
              <w:rPr>
                <w:sz w:val="20"/>
                <w:szCs w:val="20"/>
                <w:color w:val="auto"/>
              </w:rPr>
            </w:pPr>
            <w:r>
              <w:rPr>
                <w:rFonts w:ascii="Arial" w:cs="Arial" w:eastAsia="Arial" w:hAnsi="Arial"/>
                <w:sz w:val="19"/>
                <w:szCs w:val="19"/>
                <w:color w:val="0000FF"/>
                <w:w w:val="98"/>
              </w:rPr>
              <w:t>March 28, 2024)</w:t>
            </w:r>
          </w:p>
        </w:tc>
        <w:tc>
          <w:tcPr>
            <w:tcW w:w="6580" w:type="dxa"/>
            <w:vAlign w:val="bottom"/>
            <w:tcBorders>
              <w:top w:val="single" w:sz="8" w:color="0000FF"/>
            </w:tcBorders>
            <w:gridSpan w:val="31"/>
          </w:tcPr>
          <w:p>
            <w:pPr>
              <w:spacing w:after="0"/>
              <w:rPr>
                <w:sz w:val="17"/>
                <w:szCs w:val="17"/>
                <w:color w:val="auto"/>
              </w:rPr>
            </w:pPr>
          </w:p>
        </w:tc>
        <w:tc>
          <w:tcPr>
            <w:tcW w:w="40" w:type="dxa"/>
            <w:vAlign w:val="bottom"/>
            <w:gridSpan w:val="2"/>
          </w:tcPr>
          <w:p>
            <w:pPr>
              <w:spacing w:after="0"/>
              <w:rPr>
                <w:sz w:val="17"/>
                <w:szCs w:val="17"/>
                <w:color w:val="auto"/>
              </w:rPr>
            </w:pPr>
          </w:p>
        </w:tc>
        <w:tc>
          <w:tcPr>
            <w:tcW w:w="60" w:type="dxa"/>
            <w:vAlign w:val="bottom"/>
            <w:gridSpan w:val="3"/>
          </w:tcPr>
          <w:p>
            <w:pPr>
              <w:spacing w:after="0"/>
              <w:rPr>
                <w:sz w:val="17"/>
                <w:szCs w:val="17"/>
                <w:color w:val="auto"/>
              </w:rPr>
            </w:pPr>
          </w:p>
        </w:tc>
        <w:tc>
          <w:tcPr>
            <w:tcW w:w="1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240" w:type="dxa"/>
            <w:vAlign w:val="bottom"/>
            <w:vMerge w:val="continue"/>
          </w:tcPr>
          <w:p>
            <w:pPr>
              <w:spacing w:after="0"/>
              <w:rPr>
                <w:sz w:val="18"/>
                <w:szCs w:val="18"/>
                <w:color w:val="auto"/>
              </w:rPr>
            </w:pPr>
          </w:p>
        </w:tc>
        <w:tc>
          <w:tcPr>
            <w:tcW w:w="8180" w:type="dxa"/>
            <w:vAlign w:val="bottom"/>
            <w:gridSpan w:val="45"/>
          </w:tcPr>
          <w:p>
            <w:pPr>
              <w:spacing w:after="0" w:line="213" w:lineRule="exact"/>
              <w:rPr>
                <w:sz w:val="20"/>
                <w:szCs w:val="20"/>
                <w:color w:val="auto"/>
              </w:rPr>
            </w:pPr>
            <w:r>
              <w:rPr>
                <w:rFonts w:ascii="Arial" w:cs="Arial" w:eastAsia="Arial" w:hAnsi="Arial"/>
                <w:sz w:val="19"/>
                <w:szCs w:val="19"/>
                <w:color w:val="0000FF"/>
              </w:rPr>
              <w:t>Power of Attorney (incorporated by reference to Exhibit 24.1 to the Registrant’s Annual Report</w:t>
            </w:r>
          </w:p>
        </w:tc>
        <w:tc>
          <w:tcPr>
            <w:tcW w:w="0" w:type="dxa"/>
            <w:vAlign w:val="bottom"/>
          </w:tcPr>
          <w:p>
            <w:pPr>
              <w:spacing w:after="0"/>
              <w:rPr>
                <w:sz w:val="1"/>
                <w:szCs w:val="1"/>
                <w:color w:val="auto"/>
              </w:rPr>
            </w:pPr>
          </w:p>
        </w:tc>
      </w:tr>
      <w:tr>
        <w:trPr>
          <w:trHeight w:val="198"/>
        </w:trPr>
        <w:tc>
          <w:tcPr>
            <w:tcW w:w="1240" w:type="dxa"/>
            <w:vAlign w:val="bottom"/>
            <w:vMerge w:val="restart"/>
          </w:tcPr>
          <w:p>
            <w:pPr>
              <w:spacing w:after="0"/>
              <w:rPr>
                <w:sz w:val="20"/>
                <w:szCs w:val="20"/>
                <w:color w:val="auto"/>
              </w:rPr>
            </w:pPr>
            <w:r>
              <w:rPr>
                <w:rFonts w:ascii="Arial" w:cs="Arial" w:eastAsia="Arial" w:hAnsi="Arial"/>
                <w:sz w:val="19"/>
                <w:szCs w:val="19"/>
                <w:color w:val="auto"/>
              </w:rPr>
              <w:t>31.1</w:t>
            </w:r>
          </w:p>
        </w:tc>
        <w:tc>
          <w:tcPr>
            <w:tcW w:w="7900" w:type="dxa"/>
            <w:vAlign w:val="bottom"/>
            <w:tcBorders>
              <w:top w:val="single" w:sz="8" w:color="0000FF"/>
            </w:tcBorders>
            <w:gridSpan w:val="31"/>
          </w:tcPr>
          <w:p>
            <w:pPr>
              <w:spacing w:after="0" w:line="198" w:lineRule="exact"/>
              <w:rPr>
                <w:sz w:val="20"/>
                <w:szCs w:val="20"/>
                <w:color w:val="auto"/>
              </w:rPr>
            </w:pPr>
            <w:r>
              <w:rPr>
                <w:rFonts w:ascii="Arial" w:cs="Arial" w:eastAsia="Arial" w:hAnsi="Arial"/>
                <w:sz w:val="19"/>
                <w:szCs w:val="19"/>
                <w:color w:val="0000FF"/>
              </w:rPr>
              <w:t>on Form 10-K filed with the SEC on March 28, 2024)</w:t>
            </w:r>
          </w:p>
        </w:tc>
        <w:tc>
          <w:tcPr>
            <w:tcW w:w="100" w:type="dxa"/>
            <w:vAlign w:val="bottom"/>
            <w:gridSpan w:val="5"/>
          </w:tcPr>
          <w:p>
            <w:pPr>
              <w:spacing w:after="0"/>
              <w:rPr>
                <w:sz w:val="17"/>
                <w:szCs w:val="17"/>
                <w:color w:val="auto"/>
              </w:rPr>
            </w:pPr>
          </w:p>
        </w:tc>
        <w:tc>
          <w:tcPr>
            <w:tcW w:w="60" w:type="dxa"/>
            <w:vAlign w:val="bottom"/>
            <w:gridSpan w:val="3"/>
          </w:tcPr>
          <w:p>
            <w:pPr>
              <w:spacing w:after="0"/>
              <w:rPr>
                <w:sz w:val="17"/>
                <w:szCs w:val="17"/>
                <w:color w:val="auto"/>
              </w:rPr>
            </w:pPr>
          </w:p>
        </w:tc>
        <w:tc>
          <w:tcPr>
            <w:tcW w:w="1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4400" w:type="dxa"/>
            <w:vAlign w:val="bottom"/>
            <w:gridSpan w:val="8"/>
            <w:shd w:val="clear" w:color="auto" w:fill="0000FF"/>
          </w:tcPr>
          <w:p>
            <w:pPr>
              <w:spacing w:after="0" w:line="20" w:lineRule="exact"/>
              <w:rPr>
                <w:sz w:val="1"/>
                <w:szCs w:val="1"/>
                <w:color w:val="auto"/>
              </w:rPr>
            </w:pPr>
          </w:p>
        </w:tc>
        <w:tc>
          <w:tcPr>
            <w:tcW w:w="3440" w:type="dxa"/>
            <w:vAlign w:val="bottom"/>
            <w:gridSpan w:val="20"/>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240" w:type="dxa"/>
            <w:vAlign w:val="bottom"/>
            <w:vMerge w:val="continue"/>
          </w:tcPr>
          <w:p>
            <w:pPr>
              <w:spacing w:after="0"/>
              <w:rPr>
                <w:sz w:val="18"/>
                <w:szCs w:val="18"/>
                <w:color w:val="auto"/>
              </w:rPr>
            </w:pPr>
          </w:p>
        </w:tc>
        <w:tc>
          <w:tcPr>
            <w:tcW w:w="8180" w:type="dxa"/>
            <w:vAlign w:val="bottom"/>
            <w:gridSpan w:val="45"/>
          </w:tcPr>
          <w:p>
            <w:pPr>
              <w:spacing w:after="0" w:line="213" w:lineRule="exact"/>
              <w:rPr>
                <w:sz w:val="20"/>
                <w:szCs w:val="20"/>
                <w:color w:val="auto"/>
              </w:rPr>
            </w:pPr>
            <w:r>
              <w:rPr>
                <w:rFonts w:ascii="Arial" w:cs="Arial" w:eastAsia="Arial" w:hAnsi="Arial"/>
                <w:sz w:val="19"/>
                <w:szCs w:val="19"/>
                <w:color w:val="0000FF"/>
              </w:rPr>
              <w:t>Certification of Principal Executive Officer Pursuant to Rules 13a-14(a) and 15d-14(a) under the</w:t>
            </w:r>
          </w:p>
        </w:tc>
        <w:tc>
          <w:tcPr>
            <w:tcW w:w="0" w:type="dxa"/>
            <w:vAlign w:val="bottom"/>
          </w:tcPr>
          <w:p>
            <w:pPr>
              <w:spacing w:after="0"/>
              <w:rPr>
                <w:sz w:val="1"/>
                <w:szCs w:val="1"/>
                <w:color w:val="auto"/>
              </w:rPr>
            </w:pPr>
          </w:p>
        </w:tc>
      </w:tr>
      <w:tr>
        <w:trPr>
          <w:trHeight w:val="198"/>
        </w:trPr>
        <w:tc>
          <w:tcPr>
            <w:tcW w:w="1240" w:type="dxa"/>
            <w:vAlign w:val="bottom"/>
          </w:tcPr>
          <w:p>
            <w:pPr>
              <w:spacing w:after="0"/>
              <w:rPr>
                <w:sz w:val="17"/>
                <w:szCs w:val="17"/>
                <w:color w:val="auto"/>
              </w:rPr>
            </w:pPr>
          </w:p>
        </w:tc>
        <w:tc>
          <w:tcPr>
            <w:tcW w:w="7840" w:type="dxa"/>
            <w:vAlign w:val="bottom"/>
            <w:tcBorders>
              <w:top w:val="single" w:sz="8" w:color="0000FF"/>
              <w:bottom w:val="single" w:sz="8" w:color="0000FF"/>
            </w:tcBorders>
            <w:gridSpan w:val="28"/>
          </w:tcPr>
          <w:p>
            <w:pPr>
              <w:spacing w:after="0" w:line="198" w:lineRule="exact"/>
              <w:rPr>
                <w:sz w:val="20"/>
                <w:szCs w:val="20"/>
                <w:color w:val="auto"/>
              </w:rPr>
            </w:pPr>
            <w:r>
              <w:rPr>
                <w:rFonts w:ascii="Arial" w:cs="Arial" w:eastAsia="Arial" w:hAnsi="Arial"/>
                <w:sz w:val="19"/>
                <w:szCs w:val="19"/>
                <w:color w:val="0000FF"/>
                <w:w w:val="99"/>
              </w:rPr>
              <w:t>Securities Exchange Act of 1934, as Adopted Pursuant to Section 302 of the Sarbanes-Oxley</w:t>
            </w:r>
          </w:p>
        </w:tc>
        <w:tc>
          <w:tcPr>
            <w:tcW w:w="220" w:type="dxa"/>
            <w:vAlign w:val="bottom"/>
            <w:tcBorders>
              <w:top w:val="single" w:sz="8" w:color="0000FF"/>
            </w:tcBorders>
            <w:gridSpan w:val="11"/>
          </w:tcPr>
          <w:p>
            <w:pPr>
              <w:spacing w:after="0"/>
              <w:rPr>
                <w:sz w:val="17"/>
                <w:szCs w:val="17"/>
                <w:color w:val="auto"/>
              </w:rPr>
            </w:pPr>
          </w:p>
        </w:tc>
        <w:tc>
          <w:tcPr>
            <w:tcW w:w="1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240" w:type="dxa"/>
            <w:vAlign w:val="bottom"/>
          </w:tcPr>
          <w:p>
            <w:pPr>
              <w:spacing w:after="0"/>
              <w:rPr>
                <w:sz w:val="17"/>
                <w:szCs w:val="17"/>
                <w:color w:val="auto"/>
              </w:rPr>
            </w:pPr>
          </w:p>
        </w:tc>
        <w:tc>
          <w:tcPr>
            <w:tcW w:w="8180" w:type="dxa"/>
            <w:vAlign w:val="bottom"/>
            <w:tcBorders>
              <w:bottom w:val="single" w:sz="8" w:color="0000FF"/>
            </w:tcBorders>
            <w:gridSpan w:val="45"/>
          </w:tcPr>
          <w:p>
            <w:pPr>
              <w:spacing w:after="0" w:line="198" w:lineRule="exact"/>
              <w:rPr>
                <w:sz w:val="20"/>
                <w:szCs w:val="20"/>
                <w:color w:val="auto"/>
              </w:rPr>
            </w:pPr>
            <w:r>
              <w:rPr>
                <w:rFonts w:ascii="Arial" w:cs="Arial" w:eastAsia="Arial" w:hAnsi="Arial"/>
                <w:sz w:val="19"/>
                <w:szCs w:val="19"/>
                <w:color w:val="0000FF"/>
              </w:rPr>
              <w:t>Act of 2002 (incorporated by reference to Exhibit 31.1 to the Registrant’s Annual Report on Form</w:t>
            </w:r>
          </w:p>
        </w:tc>
        <w:tc>
          <w:tcPr>
            <w:tcW w:w="0" w:type="dxa"/>
            <w:vAlign w:val="bottom"/>
          </w:tcPr>
          <w:p>
            <w:pPr>
              <w:spacing w:after="0"/>
              <w:rPr>
                <w:sz w:val="1"/>
                <w:szCs w:val="1"/>
                <w:color w:val="auto"/>
              </w:rPr>
            </w:pPr>
          </w:p>
        </w:tc>
      </w:tr>
      <w:tr>
        <w:trPr>
          <w:trHeight w:val="198"/>
        </w:trPr>
        <w:tc>
          <w:tcPr>
            <w:tcW w:w="1240" w:type="dxa"/>
            <w:vAlign w:val="bottom"/>
            <w:vMerge w:val="restart"/>
          </w:tcPr>
          <w:p>
            <w:pPr>
              <w:spacing w:after="0"/>
              <w:rPr>
                <w:sz w:val="20"/>
                <w:szCs w:val="20"/>
                <w:color w:val="auto"/>
              </w:rPr>
            </w:pPr>
            <w:r>
              <w:rPr>
                <w:rFonts w:ascii="Arial" w:cs="Arial" w:eastAsia="Arial" w:hAnsi="Arial"/>
                <w:sz w:val="19"/>
                <w:szCs w:val="19"/>
                <w:color w:val="auto"/>
              </w:rPr>
              <w:t>31.2</w:t>
            </w:r>
          </w:p>
        </w:tc>
        <w:tc>
          <w:tcPr>
            <w:tcW w:w="8180" w:type="dxa"/>
            <w:vAlign w:val="bottom"/>
            <w:gridSpan w:val="45"/>
          </w:tcPr>
          <w:p>
            <w:pPr>
              <w:spacing w:after="0" w:line="198" w:lineRule="exact"/>
              <w:rPr>
                <w:sz w:val="20"/>
                <w:szCs w:val="20"/>
                <w:color w:val="auto"/>
              </w:rPr>
            </w:pPr>
            <w:r>
              <w:rPr>
                <w:rFonts w:ascii="Arial" w:cs="Arial" w:eastAsia="Arial" w:hAnsi="Arial"/>
                <w:sz w:val="19"/>
                <w:szCs w:val="19"/>
                <w:color w:val="0000FF"/>
              </w:rPr>
              <w:t>10-K filed with the SEC on March 28, 2024)</w:t>
            </w:r>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3640" w:type="dxa"/>
            <w:vAlign w:val="bottom"/>
            <w:gridSpan w:val="5"/>
            <w:shd w:val="clear" w:color="auto" w:fill="0000FF"/>
          </w:tcPr>
          <w:p>
            <w:pPr>
              <w:spacing w:after="0" w:line="20" w:lineRule="exact"/>
              <w:rPr>
                <w:sz w:val="1"/>
                <w:szCs w:val="1"/>
                <w:color w:val="auto"/>
              </w:rPr>
            </w:pPr>
          </w:p>
        </w:tc>
        <w:tc>
          <w:tcPr>
            <w:tcW w:w="4360" w:type="dxa"/>
            <w:vAlign w:val="bottom"/>
            <w:gridSpan w:val="31"/>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240" w:type="dxa"/>
            <w:vAlign w:val="bottom"/>
            <w:vMerge w:val="continue"/>
          </w:tcPr>
          <w:p>
            <w:pPr>
              <w:spacing w:after="0"/>
              <w:rPr>
                <w:sz w:val="18"/>
                <w:szCs w:val="18"/>
                <w:color w:val="auto"/>
              </w:rPr>
            </w:pPr>
          </w:p>
        </w:tc>
        <w:tc>
          <w:tcPr>
            <w:tcW w:w="8180" w:type="dxa"/>
            <w:vAlign w:val="bottom"/>
            <w:gridSpan w:val="45"/>
          </w:tcPr>
          <w:p>
            <w:pPr>
              <w:spacing w:after="0" w:line="215" w:lineRule="exact"/>
              <w:rPr>
                <w:sz w:val="20"/>
                <w:szCs w:val="20"/>
                <w:color w:val="auto"/>
              </w:rPr>
            </w:pPr>
            <w:r>
              <w:rPr>
                <w:rFonts w:ascii="Arial" w:cs="Arial" w:eastAsia="Arial" w:hAnsi="Arial"/>
                <w:sz w:val="19"/>
                <w:szCs w:val="19"/>
                <w:color w:val="0000FF"/>
              </w:rPr>
              <w:t>Certification of Principal Financial Officer Pursuant to Rules 13a-14(a) and 15d-14(a) under the</w:t>
            </w:r>
          </w:p>
        </w:tc>
        <w:tc>
          <w:tcPr>
            <w:tcW w:w="0" w:type="dxa"/>
            <w:vAlign w:val="bottom"/>
          </w:tcPr>
          <w:p>
            <w:pPr>
              <w:spacing w:after="0"/>
              <w:rPr>
                <w:sz w:val="1"/>
                <w:szCs w:val="1"/>
                <w:color w:val="auto"/>
              </w:rPr>
            </w:pPr>
          </w:p>
        </w:tc>
      </w:tr>
      <w:tr>
        <w:trPr>
          <w:trHeight w:val="198"/>
        </w:trPr>
        <w:tc>
          <w:tcPr>
            <w:tcW w:w="1240" w:type="dxa"/>
            <w:vAlign w:val="bottom"/>
          </w:tcPr>
          <w:p>
            <w:pPr>
              <w:spacing w:after="0"/>
              <w:rPr>
                <w:sz w:val="17"/>
                <w:szCs w:val="17"/>
                <w:color w:val="auto"/>
              </w:rPr>
            </w:pPr>
          </w:p>
        </w:tc>
        <w:tc>
          <w:tcPr>
            <w:tcW w:w="7840" w:type="dxa"/>
            <w:vAlign w:val="bottom"/>
            <w:tcBorders>
              <w:top w:val="single" w:sz="8" w:color="0000FF"/>
              <w:bottom w:val="single" w:sz="8" w:color="0000FF"/>
            </w:tcBorders>
            <w:gridSpan w:val="28"/>
          </w:tcPr>
          <w:p>
            <w:pPr>
              <w:spacing w:after="0" w:line="198" w:lineRule="exact"/>
              <w:rPr>
                <w:sz w:val="20"/>
                <w:szCs w:val="20"/>
                <w:color w:val="auto"/>
              </w:rPr>
            </w:pPr>
            <w:r>
              <w:rPr>
                <w:rFonts w:ascii="Arial" w:cs="Arial" w:eastAsia="Arial" w:hAnsi="Arial"/>
                <w:sz w:val="19"/>
                <w:szCs w:val="19"/>
                <w:color w:val="0000FF"/>
                <w:w w:val="99"/>
              </w:rPr>
              <w:t>Securities Exchange Act of 1934, as Adopted Pursuant to Section 302 of the Sarbanes-Oxley</w:t>
            </w:r>
          </w:p>
        </w:tc>
        <w:tc>
          <w:tcPr>
            <w:tcW w:w="160" w:type="dxa"/>
            <w:vAlign w:val="bottom"/>
            <w:tcBorders>
              <w:top w:val="single" w:sz="8" w:color="0000FF"/>
            </w:tcBorders>
            <w:gridSpan w:val="8"/>
          </w:tcPr>
          <w:p>
            <w:pPr>
              <w:spacing w:after="0"/>
              <w:rPr>
                <w:sz w:val="17"/>
                <w:szCs w:val="17"/>
                <w:color w:val="auto"/>
              </w:rPr>
            </w:pPr>
          </w:p>
        </w:tc>
        <w:tc>
          <w:tcPr>
            <w:tcW w:w="1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bl>
    <w:p>
      <w:pPr>
        <w:sectPr>
          <w:pgSz w:w="12240" w:h="15840" w:orient="portrait"/>
          <w:cols w:equalWidth="0" w:num="1">
            <w:col w:w="9360"/>
          </w:cols>
          <w:pgMar w:left="1440" w:top="1432" w:right="1440" w:bottom="885" w:gutter="0" w:footer="0" w:header="0"/>
        </w:sectPr>
      </w:pPr>
    </w:p>
    <w:bookmarkStart w:id="172" w:name="page173"/>
    <w:bookmarkEnd w:id="1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240" w:type="dxa"/>
            <w:vAlign w:val="bottom"/>
          </w:tcPr>
          <w:p>
            <w:pPr>
              <w:spacing w:after="0"/>
              <w:rPr>
                <w:sz w:val="18"/>
                <w:szCs w:val="18"/>
                <w:color w:val="auto"/>
              </w:rPr>
            </w:pPr>
          </w:p>
        </w:tc>
        <w:tc>
          <w:tcPr>
            <w:tcW w:w="8100" w:type="dxa"/>
            <w:vAlign w:val="bottom"/>
            <w:tcBorders>
              <w:bottom w:val="single" w:sz="8" w:color="0000FF"/>
            </w:tcBorders>
            <w:gridSpan w:val="11"/>
          </w:tcPr>
          <w:p>
            <w:pPr>
              <w:spacing w:after="0"/>
              <w:rPr>
                <w:sz w:val="20"/>
                <w:szCs w:val="20"/>
                <w:color w:val="auto"/>
              </w:rPr>
            </w:pPr>
            <w:r>
              <w:rPr>
                <w:rFonts w:ascii="Arial" w:cs="Arial" w:eastAsia="Arial" w:hAnsi="Arial"/>
                <w:sz w:val="19"/>
                <w:szCs w:val="19"/>
                <w:color w:val="0000FF"/>
                <w:w w:val="99"/>
              </w:rPr>
              <w:t>Act of 2002 (incorporated by reference to Exhibit 31.2 to the Registrant’s Annual Report on Form</w:t>
            </w:r>
          </w:p>
        </w:tc>
        <w:tc>
          <w:tcPr>
            <w:tcW w:w="0" w:type="dxa"/>
            <w:vAlign w:val="bottom"/>
          </w:tcPr>
          <w:p>
            <w:pPr>
              <w:spacing w:after="0"/>
              <w:rPr>
                <w:sz w:val="1"/>
                <w:szCs w:val="1"/>
                <w:color w:val="auto"/>
              </w:rPr>
            </w:pPr>
          </w:p>
        </w:tc>
      </w:tr>
      <w:tr>
        <w:trPr>
          <w:trHeight w:val="198"/>
        </w:trPr>
        <w:tc>
          <w:tcPr>
            <w:tcW w:w="1240" w:type="dxa"/>
            <w:vAlign w:val="bottom"/>
            <w:vMerge w:val="restart"/>
          </w:tcPr>
          <w:p>
            <w:pPr>
              <w:spacing w:after="0"/>
              <w:rPr>
                <w:sz w:val="20"/>
                <w:szCs w:val="20"/>
                <w:color w:val="auto"/>
              </w:rPr>
            </w:pPr>
            <w:r>
              <w:rPr>
                <w:rFonts w:ascii="Arial" w:cs="Arial" w:eastAsia="Arial" w:hAnsi="Arial"/>
                <w:sz w:val="19"/>
                <w:szCs w:val="19"/>
                <w:color w:val="auto"/>
              </w:rPr>
              <w:t>31.3*</w:t>
            </w:r>
          </w:p>
        </w:tc>
        <w:tc>
          <w:tcPr>
            <w:tcW w:w="8100" w:type="dxa"/>
            <w:vAlign w:val="bottom"/>
            <w:gridSpan w:val="11"/>
          </w:tcPr>
          <w:p>
            <w:pPr>
              <w:spacing w:after="0" w:line="198" w:lineRule="exact"/>
              <w:rPr>
                <w:sz w:val="20"/>
                <w:szCs w:val="20"/>
                <w:color w:val="auto"/>
              </w:rPr>
            </w:pPr>
            <w:r>
              <w:rPr>
                <w:rFonts w:ascii="Arial" w:cs="Arial" w:eastAsia="Arial" w:hAnsi="Arial"/>
                <w:sz w:val="19"/>
                <w:szCs w:val="19"/>
                <w:color w:val="0000FF"/>
              </w:rPr>
              <w:t>10-K filed with the SEC on March 28, 2024)</w:t>
            </w:r>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240" w:type="dxa"/>
            <w:vAlign w:val="bottom"/>
            <w:vMerge w:val="continue"/>
          </w:tcPr>
          <w:p>
            <w:pPr>
              <w:spacing w:after="0"/>
              <w:rPr>
                <w:sz w:val="18"/>
                <w:szCs w:val="18"/>
                <w:color w:val="auto"/>
              </w:rPr>
            </w:pPr>
          </w:p>
        </w:tc>
        <w:tc>
          <w:tcPr>
            <w:tcW w:w="8100" w:type="dxa"/>
            <w:vAlign w:val="bottom"/>
            <w:gridSpan w:val="11"/>
          </w:tcPr>
          <w:p>
            <w:pPr>
              <w:spacing w:after="0" w:line="215" w:lineRule="exact"/>
              <w:rPr>
                <w:sz w:val="20"/>
                <w:szCs w:val="20"/>
                <w:color w:val="auto"/>
              </w:rPr>
            </w:pPr>
            <w:r>
              <w:rPr>
                <w:rFonts w:ascii="Arial" w:cs="Arial" w:eastAsia="Arial" w:hAnsi="Arial"/>
                <w:sz w:val="19"/>
                <w:szCs w:val="19"/>
                <w:color w:val="0000FF"/>
              </w:rPr>
              <w:t>Certification of Principal Executive Officer Pursuant to Rules 13a-14(a) and 15d-14(a) under the</w:t>
            </w:r>
          </w:p>
        </w:tc>
        <w:tc>
          <w:tcPr>
            <w:tcW w:w="0" w:type="dxa"/>
            <w:vAlign w:val="bottom"/>
          </w:tcPr>
          <w:p>
            <w:pPr>
              <w:spacing w:after="0"/>
              <w:rPr>
                <w:sz w:val="1"/>
                <w:szCs w:val="1"/>
                <w:color w:val="auto"/>
              </w:rPr>
            </w:pPr>
          </w:p>
        </w:tc>
      </w:tr>
      <w:tr>
        <w:trPr>
          <w:trHeight w:val="198"/>
        </w:trPr>
        <w:tc>
          <w:tcPr>
            <w:tcW w:w="1240" w:type="dxa"/>
            <w:vAlign w:val="bottom"/>
          </w:tcPr>
          <w:p>
            <w:pPr>
              <w:spacing w:after="0"/>
              <w:rPr>
                <w:sz w:val="17"/>
                <w:szCs w:val="17"/>
                <w:color w:val="auto"/>
              </w:rPr>
            </w:pPr>
          </w:p>
        </w:tc>
        <w:tc>
          <w:tcPr>
            <w:tcW w:w="8020" w:type="dxa"/>
            <w:vAlign w:val="bottom"/>
            <w:tcBorders>
              <w:top w:val="single" w:sz="8" w:color="0000FF"/>
            </w:tcBorders>
            <w:gridSpan w:val="10"/>
          </w:tcPr>
          <w:p>
            <w:pPr>
              <w:spacing w:after="0" w:line="198" w:lineRule="exact"/>
              <w:rPr>
                <w:sz w:val="20"/>
                <w:szCs w:val="20"/>
                <w:color w:val="auto"/>
              </w:rPr>
            </w:pPr>
            <w:r>
              <w:rPr>
                <w:rFonts w:ascii="Arial" w:cs="Arial" w:eastAsia="Arial" w:hAnsi="Arial"/>
                <w:sz w:val="19"/>
                <w:szCs w:val="19"/>
                <w:color w:val="0000FF"/>
              </w:rPr>
              <w:t>Securities Exchange Act of 1934, as Adopted Pursuant to Section 302 of the Sarbanes-Oxley</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240" w:type="dxa"/>
            <w:vAlign w:val="bottom"/>
            <w:vMerge w:val="restart"/>
          </w:tcPr>
          <w:p>
            <w:pPr>
              <w:spacing w:after="0"/>
              <w:rPr>
                <w:sz w:val="20"/>
                <w:szCs w:val="20"/>
                <w:color w:val="auto"/>
              </w:rPr>
            </w:pPr>
            <w:r>
              <w:rPr>
                <w:rFonts w:ascii="Arial" w:cs="Arial" w:eastAsia="Arial" w:hAnsi="Arial"/>
                <w:sz w:val="19"/>
                <w:szCs w:val="19"/>
                <w:color w:val="auto"/>
              </w:rPr>
              <w:t>31.4*</w:t>
            </w:r>
          </w:p>
        </w:tc>
        <w:tc>
          <w:tcPr>
            <w:tcW w:w="960" w:type="dxa"/>
            <w:vAlign w:val="bottom"/>
            <w:tcBorders>
              <w:top w:val="single" w:sz="8" w:color="0000FF"/>
              <w:bottom w:val="single" w:sz="8" w:color="0000FF"/>
            </w:tcBorders>
          </w:tcPr>
          <w:p>
            <w:pPr>
              <w:spacing w:after="0" w:line="198" w:lineRule="exact"/>
              <w:rPr>
                <w:sz w:val="20"/>
                <w:szCs w:val="20"/>
                <w:color w:val="auto"/>
              </w:rPr>
            </w:pPr>
            <w:r>
              <w:rPr>
                <w:rFonts w:ascii="Arial" w:cs="Arial" w:eastAsia="Arial" w:hAnsi="Arial"/>
                <w:sz w:val="19"/>
                <w:szCs w:val="19"/>
                <w:color w:val="0000FF"/>
                <w:w w:val="97"/>
              </w:rPr>
              <w:t>Act of 2002</w:t>
            </w:r>
          </w:p>
        </w:tc>
        <w:tc>
          <w:tcPr>
            <w:tcW w:w="6860" w:type="dxa"/>
            <w:vAlign w:val="bottom"/>
            <w:tcBorders>
              <w:top w:val="single" w:sz="8" w:color="0000FF"/>
            </w:tcBorders>
            <w:gridSpan w:val="6"/>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240" w:type="dxa"/>
            <w:vAlign w:val="bottom"/>
            <w:vMerge w:val="continue"/>
          </w:tcPr>
          <w:p>
            <w:pPr>
              <w:spacing w:after="0"/>
              <w:rPr>
                <w:sz w:val="18"/>
                <w:szCs w:val="18"/>
                <w:color w:val="auto"/>
              </w:rPr>
            </w:pPr>
          </w:p>
        </w:tc>
        <w:tc>
          <w:tcPr>
            <w:tcW w:w="8100" w:type="dxa"/>
            <w:vAlign w:val="bottom"/>
            <w:gridSpan w:val="11"/>
          </w:tcPr>
          <w:p>
            <w:pPr>
              <w:spacing w:after="0" w:line="213" w:lineRule="exact"/>
              <w:rPr>
                <w:sz w:val="20"/>
                <w:szCs w:val="20"/>
                <w:color w:val="auto"/>
              </w:rPr>
            </w:pPr>
            <w:r>
              <w:rPr>
                <w:rFonts w:ascii="Arial" w:cs="Arial" w:eastAsia="Arial" w:hAnsi="Arial"/>
                <w:sz w:val="19"/>
                <w:szCs w:val="19"/>
                <w:color w:val="0000FF"/>
              </w:rPr>
              <w:t>Certification of Principal Financial Officer Pursuant to Rules 13a-14(a) and 15d-14(a) under the</w:t>
            </w:r>
          </w:p>
        </w:tc>
        <w:tc>
          <w:tcPr>
            <w:tcW w:w="0" w:type="dxa"/>
            <w:vAlign w:val="bottom"/>
          </w:tcPr>
          <w:p>
            <w:pPr>
              <w:spacing w:after="0"/>
              <w:rPr>
                <w:sz w:val="1"/>
                <w:szCs w:val="1"/>
                <w:color w:val="auto"/>
              </w:rPr>
            </w:pPr>
          </w:p>
        </w:tc>
      </w:tr>
      <w:tr>
        <w:trPr>
          <w:trHeight w:val="198"/>
        </w:trPr>
        <w:tc>
          <w:tcPr>
            <w:tcW w:w="1240" w:type="dxa"/>
            <w:vAlign w:val="bottom"/>
          </w:tcPr>
          <w:p>
            <w:pPr>
              <w:spacing w:after="0"/>
              <w:rPr>
                <w:sz w:val="17"/>
                <w:szCs w:val="17"/>
                <w:color w:val="auto"/>
              </w:rPr>
            </w:pPr>
          </w:p>
        </w:tc>
        <w:tc>
          <w:tcPr>
            <w:tcW w:w="7960" w:type="dxa"/>
            <w:vAlign w:val="bottom"/>
            <w:tcBorders>
              <w:top w:val="single" w:sz="8" w:color="0000FF"/>
            </w:tcBorders>
            <w:gridSpan w:val="9"/>
          </w:tcPr>
          <w:p>
            <w:pPr>
              <w:spacing w:after="0" w:line="198" w:lineRule="exact"/>
              <w:rPr>
                <w:sz w:val="20"/>
                <w:szCs w:val="20"/>
                <w:color w:val="auto"/>
              </w:rPr>
            </w:pPr>
            <w:r>
              <w:rPr>
                <w:rFonts w:ascii="Arial" w:cs="Arial" w:eastAsia="Arial" w:hAnsi="Arial"/>
                <w:sz w:val="19"/>
                <w:szCs w:val="19"/>
                <w:color w:val="0000FF"/>
              </w:rPr>
              <w:t>Securities Exchange Act of 1934, as Adopted Pursuant to Section 302 of the Sarbanes-Oxley</w:t>
            </w:r>
          </w:p>
        </w:tc>
        <w:tc>
          <w:tcPr>
            <w:tcW w:w="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240" w:type="dxa"/>
            <w:vAlign w:val="bottom"/>
            <w:vMerge w:val="restart"/>
          </w:tcPr>
          <w:p>
            <w:pPr>
              <w:spacing w:after="0"/>
              <w:rPr>
                <w:sz w:val="20"/>
                <w:szCs w:val="20"/>
                <w:color w:val="auto"/>
              </w:rPr>
            </w:pPr>
            <w:r>
              <w:rPr>
                <w:rFonts w:ascii="Arial" w:cs="Arial" w:eastAsia="Arial" w:hAnsi="Arial"/>
                <w:sz w:val="19"/>
                <w:szCs w:val="19"/>
                <w:color w:val="auto"/>
              </w:rPr>
              <w:t>32.1</w:t>
            </w:r>
          </w:p>
        </w:tc>
        <w:tc>
          <w:tcPr>
            <w:tcW w:w="960" w:type="dxa"/>
            <w:vAlign w:val="bottom"/>
            <w:tcBorders>
              <w:top w:val="single" w:sz="8" w:color="0000FF"/>
              <w:bottom w:val="single" w:sz="8" w:color="0000FF"/>
            </w:tcBorders>
          </w:tcPr>
          <w:p>
            <w:pPr>
              <w:spacing w:after="0" w:line="198" w:lineRule="exact"/>
              <w:rPr>
                <w:sz w:val="20"/>
                <w:szCs w:val="20"/>
                <w:color w:val="auto"/>
              </w:rPr>
            </w:pPr>
            <w:r>
              <w:rPr>
                <w:rFonts w:ascii="Arial" w:cs="Arial" w:eastAsia="Arial" w:hAnsi="Arial"/>
                <w:sz w:val="19"/>
                <w:szCs w:val="19"/>
                <w:color w:val="0000FF"/>
                <w:w w:val="97"/>
              </w:rPr>
              <w:t>Act of 2002</w:t>
            </w:r>
          </w:p>
        </w:tc>
        <w:tc>
          <w:tcPr>
            <w:tcW w:w="6860" w:type="dxa"/>
            <w:vAlign w:val="bottom"/>
            <w:tcBorders>
              <w:top w:val="single" w:sz="8" w:color="0000FF"/>
            </w:tcBorders>
            <w:gridSpan w:val="6"/>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240" w:type="dxa"/>
            <w:vAlign w:val="bottom"/>
            <w:vMerge w:val="continue"/>
          </w:tcPr>
          <w:p>
            <w:pPr>
              <w:spacing w:after="0"/>
              <w:rPr>
                <w:sz w:val="18"/>
                <w:szCs w:val="18"/>
                <w:color w:val="auto"/>
              </w:rPr>
            </w:pPr>
          </w:p>
        </w:tc>
        <w:tc>
          <w:tcPr>
            <w:tcW w:w="8100" w:type="dxa"/>
            <w:vAlign w:val="bottom"/>
            <w:gridSpan w:val="11"/>
          </w:tcPr>
          <w:p>
            <w:pPr>
              <w:spacing w:after="0" w:line="213" w:lineRule="exact"/>
              <w:rPr>
                <w:sz w:val="20"/>
                <w:szCs w:val="20"/>
                <w:color w:val="auto"/>
              </w:rPr>
            </w:pPr>
            <w:r>
              <w:rPr>
                <w:rFonts w:ascii="Arial" w:cs="Arial" w:eastAsia="Arial" w:hAnsi="Arial"/>
                <w:sz w:val="19"/>
                <w:szCs w:val="19"/>
                <w:color w:val="0000FF"/>
              </w:rPr>
              <w:t>Certification of Principal Executive Officer and Principal Financial Officer Pursuant to 18 U.S.C.</w:t>
            </w:r>
          </w:p>
        </w:tc>
        <w:tc>
          <w:tcPr>
            <w:tcW w:w="0" w:type="dxa"/>
            <w:vAlign w:val="bottom"/>
          </w:tcPr>
          <w:p>
            <w:pPr>
              <w:spacing w:after="0"/>
              <w:rPr>
                <w:sz w:val="1"/>
                <w:szCs w:val="1"/>
                <w:color w:val="auto"/>
              </w:rPr>
            </w:pPr>
          </w:p>
        </w:tc>
      </w:tr>
      <w:tr>
        <w:trPr>
          <w:trHeight w:val="198"/>
        </w:trPr>
        <w:tc>
          <w:tcPr>
            <w:tcW w:w="1240" w:type="dxa"/>
            <w:vAlign w:val="bottom"/>
          </w:tcPr>
          <w:p>
            <w:pPr>
              <w:spacing w:after="0"/>
              <w:rPr>
                <w:sz w:val="17"/>
                <w:szCs w:val="17"/>
                <w:color w:val="auto"/>
              </w:rPr>
            </w:pPr>
          </w:p>
        </w:tc>
        <w:tc>
          <w:tcPr>
            <w:tcW w:w="7960" w:type="dxa"/>
            <w:vAlign w:val="bottom"/>
            <w:tcBorders>
              <w:top w:val="single" w:sz="8" w:color="0000FF"/>
            </w:tcBorders>
            <w:gridSpan w:val="9"/>
          </w:tcPr>
          <w:p>
            <w:pPr>
              <w:spacing w:after="0" w:line="198" w:lineRule="exact"/>
              <w:rPr>
                <w:sz w:val="20"/>
                <w:szCs w:val="20"/>
                <w:color w:val="auto"/>
              </w:rPr>
            </w:pPr>
            <w:r>
              <w:rPr>
                <w:rFonts w:ascii="Arial" w:cs="Arial" w:eastAsia="Arial" w:hAnsi="Arial"/>
                <w:sz w:val="19"/>
                <w:szCs w:val="19"/>
                <w:color w:val="0000FF"/>
              </w:rPr>
              <w:t>Section 1350, as Adopted Pursuant to Section 906 of the Sarbanes-Oxley Act of 2002</w:t>
            </w:r>
          </w:p>
        </w:tc>
        <w:tc>
          <w:tcPr>
            <w:tcW w:w="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800" w:type="dxa"/>
            <w:vAlign w:val="bottom"/>
            <w:gridSpan w:val="2"/>
            <w:shd w:val="clear" w:color="auto" w:fill="0000FF"/>
          </w:tcPr>
          <w:p>
            <w:pPr>
              <w:spacing w:after="0" w:line="20" w:lineRule="exact"/>
              <w:rPr>
                <w:sz w:val="1"/>
                <w:szCs w:val="1"/>
                <w:color w:val="auto"/>
              </w:rPr>
            </w:pPr>
          </w:p>
        </w:tc>
        <w:tc>
          <w:tcPr>
            <w:tcW w:w="2880" w:type="dxa"/>
            <w:vAlign w:val="bottom"/>
            <w:gridSpan w:val="2"/>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240" w:type="dxa"/>
            <w:vAlign w:val="bottom"/>
          </w:tcPr>
          <w:p>
            <w:pPr>
              <w:spacing w:after="0"/>
              <w:rPr>
                <w:sz w:val="17"/>
                <w:szCs w:val="17"/>
                <w:color w:val="auto"/>
              </w:rPr>
            </w:pPr>
          </w:p>
        </w:tc>
        <w:tc>
          <w:tcPr>
            <w:tcW w:w="8100" w:type="dxa"/>
            <w:vAlign w:val="bottom"/>
            <w:gridSpan w:val="11"/>
          </w:tcPr>
          <w:p>
            <w:pPr>
              <w:spacing w:after="0" w:line="198" w:lineRule="exact"/>
              <w:rPr>
                <w:sz w:val="20"/>
                <w:szCs w:val="20"/>
                <w:color w:val="auto"/>
              </w:rPr>
            </w:pPr>
            <w:r>
              <w:rPr>
                <w:rFonts w:ascii="Arial" w:cs="Arial" w:eastAsia="Arial" w:hAnsi="Arial"/>
                <w:sz w:val="19"/>
                <w:szCs w:val="19"/>
                <w:color w:val="0000FF"/>
              </w:rPr>
              <w:t>(incorporated by reference to Exhibit 32.1 to the Registrant’s Annual Report on Form 10-K filed</w:t>
            </w:r>
          </w:p>
        </w:tc>
        <w:tc>
          <w:tcPr>
            <w:tcW w:w="0" w:type="dxa"/>
            <w:vAlign w:val="bottom"/>
          </w:tcPr>
          <w:p>
            <w:pPr>
              <w:spacing w:after="0"/>
              <w:rPr>
                <w:sz w:val="1"/>
                <w:szCs w:val="1"/>
                <w:color w:val="auto"/>
              </w:rPr>
            </w:pPr>
          </w:p>
        </w:tc>
      </w:tr>
      <w:tr>
        <w:trPr>
          <w:trHeight w:val="198"/>
        </w:trPr>
        <w:tc>
          <w:tcPr>
            <w:tcW w:w="1240" w:type="dxa"/>
            <w:vAlign w:val="bottom"/>
            <w:vMerge w:val="restart"/>
          </w:tcPr>
          <w:p>
            <w:pPr>
              <w:spacing w:after="0"/>
              <w:rPr>
                <w:sz w:val="20"/>
                <w:szCs w:val="20"/>
                <w:color w:val="auto"/>
              </w:rPr>
            </w:pPr>
            <w:r>
              <w:rPr>
                <w:rFonts w:ascii="Arial" w:cs="Arial" w:eastAsia="Arial" w:hAnsi="Arial"/>
                <w:sz w:val="19"/>
                <w:szCs w:val="19"/>
                <w:color w:val="auto"/>
              </w:rPr>
              <w:t>97.1</w:t>
            </w:r>
          </w:p>
        </w:tc>
        <w:tc>
          <w:tcPr>
            <w:tcW w:w="2800" w:type="dxa"/>
            <w:vAlign w:val="bottom"/>
            <w:tcBorders>
              <w:top w:val="single" w:sz="8" w:color="0000FF"/>
              <w:bottom w:val="single" w:sz="8" w:color="0000FF"/>
            </w:tcBorders>
            <w:gridSpan w:val="2"/>
          </w:tcPr>
          <w:p>
            <w:pPr>
              <w:spacing w:after="0" w:line="198" w:lineRule="exact"/>
              <w:rPr>
                <w:sz w:val="20"/>
                <w:szCs w:val="20"/>
                <w:color w:val="auto"/>
              </w:rPr>
            </w:pPr>
            <w:r>
              <w:rPr>
                <w:rFonts w:ascii="Arial" w:cs="Arial" w:eastAsia="Arial" w:hAnsi="Arial"/>
                <w:sz w:val="19"/>
                <w:szCs w:val="19"/>
                <w:color w:val="0000FF"/>
                <w:w w:val="99"/>
              </w:rPr>
              <w:t>with the SEC on March 28, 2024)</w:t>
            </w:r>
          </w:p>
        </w:tc>
        <w:tc>
          <w:tcPr>
            <w:tcW w:w="5140" w:type="dxa"/>
            <w:vAlign w:val="bottom"/>
            <w:tcBorders>
              <w:top w:val="single" w:sz="8" w:color="0000FF"/>
            </w:tcBorders>
            <w:gridSpan w:val="6"/>
          </w:tcPr>
          <w:p>
            <w:pPr>
              <w:spacing w:after="0"/>
              <w:rPr>
                <w:sz w:val="17"/>
                <w:szCs w:val="17"/>
                <w:color w:val="auto"/>
              </w:rPr>
            </w:pPr>
          </w:p>
        </w:tc>
        <w:tc>
          <w:tcPr>
            <w:tcW w:w="1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240" w:type="dxa"/>
            <w:vAlign w:val="bottom"/>
            <w:vMerge w:val="continue"/>
          </w:tcPr>
          <w:p>
            <w:pPr>
              <w:spacing w:after="0"/>
              <w:rPr>
                <w:sz w:val="18"/>
                <w:szCs w:val="18"/>
                <w:color w:val="auto"/>
              </w:rPr>
            </w:pPr>
          </w:p>
        </w:tc>
        <w:tc>
          <w:tcPr>
            <w:tcW w:w="8100" w:type="dxa"/>
            <w:vAlign w:val="bottom"/>
            <w:gridSpan w:val="11"/>
          </w:tcPr>
          <w:p>
            <w:pPr>
              <w:spacing w:after="0" w:line="215" w:lineRule="exact"/>
              <w:rPr>
                <w:sz w:val="20"/>
                <w:szCs w:val="20"/>
                <w:color w:val="auto"/>
              </w:rPr>
            </w:pPr>
            <w:r>
              <w:rPr>
                <w:rFonts w:ascii="Arial" w:cs="Arial" w:eastAsia="Arial" w:hAnsi="Arial"/>
                <w:sz w:val="19"/>
                <w:szCs w:val="19"/>
                <w:color w:val="0000FF"/>
              </w:rPr>
              <w:t>Compensation Recovery Policy (incorporated by reference to Exhibit 97.1 to the Registrant’s</w:t>
            </w:r>
          </w:p>
        </w:tc>
        <w:tc>
          <w:tcPr>
            <w:tcW w:w="0" w:type="dxa"/>
            <w:vAlign w:val="bottom"/>
          </w:tcPr>
          <w:p>
            <w:pPr>
              <w:spacing w:after="0"/>
              <w:rPr>
                <w:sz w:val="1"/>
                <w:szCs w:val="1"/>
                <w:color w:val="auto"/>
              </w:rPr>
            </w:pPr>
          </w:p>
        </w:tc>
      </w:tr>
      <w:tr>
        <w:trPr>
          <w:trHeight w:val="198"/>
        </w:trPr>
        <w:tc>
          <w:tcPr>
            <w:tcW w:w="1240" w:type="dxa"/>
            <w:vAlign w:val="bottom"/>
            <w:vMerge w:val="restart"/>
          </w:tcPr>
          <w:p>
            <w:pPr>
              <w:spacing w:after="0"/>
              <w:rPr>
                <w:sz w:val="20"/>
                <w:szCs w:val="20"/>
                <w:color w:val="auto"/>
              </w:rPr>
            </w:pPr>
            <w:r>
              <w:rPr>
                <w:rFonts w:ascii="Arial" w:cs="Arial" w:eastAsia="Arial" w:hAnsi="Arial"/>
                <w:sz w:val="19"/>
                <w:szCs w:val="19"/>
                <w:color w:val="auto"/>
              </w:rPr>
              <w:t>101.INS</w:t>
            </w:r>
          </w:p>
        </w:tc>
        <w:tc>
          <w:tcPr>
            <w:tcW w:w="5680" w:type="dxa"/>
            <w:vAlign w:val="bottom"/>
            <w:tcBorders>
              <w:top w:val="single" w:sz="8" w:color="0000FF"/>
              <w:bottom w:val="single" w:sz="8" w:color="0000FF"/>
            </w:tcBorders>
            <w:gridSpan w:val="4"/>
          </w:tcPr>
          <w:p>
            <w:pPr>
              <w:spacing w:after="0" w:line="198" w:lineRule="exact"/>
              <w:rPr>
                <w:sz w:val="20"/>
                <w:szCs w:val="20"/>
                <w:color w:val="auto"/>
              </w:rPr>
            </w:pPr>
            <w:r>
              <w:rPr>
                <w:rFonts w:ascii="Arial" w:cs="Arial" w:eastAsia="Arial" w:hAnsi="Arial"/>
                <w:sz w:val="19"/>
                <w:szCs w:val="19"/>
                <w:color w:val="0000FF"/>
                <w:w w:val="99"/>
              </w:rPr>
              <w:t>Annual Report on Form 10-K filed with the SEC on March 28, 2024)</w:t>
            </w:r>
          </w:p>
        </w:tc>
        <w:tc>
          <w:tcPr>
            <w:tcW w:w="2080" w:type="dxa"/>
            <w:vAlign w:val="bottom"/>
            <w:tcBorders>
              <w:top w:val="single" w:sz="8" w:color="0000FF"/>
            </w:tcBorders>
            <w:gridSpan w:val="2"/>
          </w:tcPr>
          <w:p>
            <w:pPr>
              <w:spacing w:after="0"/>
              <w:rPr>
                <w:sz w:val="17"/>
                <w:szCs w:val="17"/>
                <w:color w:val="auto"/>
              </w:rPr>
            </w:pPr>
          </w:p>
        </w:tc>
        <w:tc>
          <w:tcPr>
            <w:tcW w:w="3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240" w:type="dxa"/>
            <w:vAlign w:val="bottom"/>
            <w:vMerge w:val="continue"/>
          </w:tcPr>
          <w:p>
            <w:pPr>
              <w:spacing w:after="0"/>
              <w:rPr>
                <w:sz w:val="18"/>
                <w:szCs w:val="18"/>
                <w:color w:val="auto"/>
              </w:rPr>
            </w:pPr>
          </w:p>
        </w:tc>
        <w:tc>
          <w:tcPr>
            <w:tcW w:w="8100" w:type="dxa"/>
            <w:vAlign w:val="bottom"/>
            <w:gridSpan w:val="11"/>
          </w:tcPr>
          <w:p>
            <w:pPr>
              <w:spacing w:after="0" w:line="214" w:lineRule="exact"/>
              <w:rPr>
                <w:sz w:val="20"/>
                <w:szCs w:val="20"/>
                <w:color w:val="auto"/>
              </w:rPr>
            </w:pPr>
            <w:r>
              <w:rPr>
                <w:rFonts w:ascii="Arial" w:cs="Arial" w:eastAsia="Arial" w:hAnsi="Arial"/>
                <w:sz w:val="19"/>
                <w:szCs w:val="19"/>
                <w:color w:val="auto"/>
              </w:rPr>
              <w:t>Inline XBRL Instance Document – the instance document does not appear in the Interactive</w:t>
            </w: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8100" w:type="dxa"/>
            <w:vAlign w:val="bottom"/>
            <w:gridSpan w:val="11"/>
          </w:tcPr>
          <w:p>
            <w:pPr>
              <w:spacing w:after="0"/>
              <w:rPr>
                <w:sz w:val="20"/>
                <w:szCs w:val="20"/>
                <w:color w:val="auto"/>
              </w:rPr>
            </w:pPr>
            <w:r>
              <w:rPr>
                <w:rFonts w:ascii="Arial" w:cs="Arial" w:eastAsia="Arial" w:hAnsi="Arial"/>
                <w:sz w:val="19"/>
                <w:szCs w:val="19"/>
                <w:color w:val="auto"/>
              </w:rPr>
              <w:t>Data File because XBRL tags are embedded within the Inline XBRL document.</w:t>
            </w:r>
          </w:p>
        </w:tc>
        <w:tc>
          <w:tcPr>
            <w:tcW w:w="0" w:type="dxa"/>
            <w:vAlign w:val="bottom"/>
          </w:tcPr>
          <w:p>
            <w:pPr>
              <w:spacing w:after="0"/>
              <w:rPr>
                <w:sz w:val="1"/>
                <w:szCs w:val="1"/>
                <w:color w:val="auto"/>
              </w:rPr>
            </w:pPr>
          </w:p>
        </w:tc>
      </w:tr>
      <w:tr>
        <w:trPr>
          <w:trHeight w:val="235"/>
        </w:trPr>
        <w:tc>
          <w:tcPr>
            <w:tcW w:w="1240" w:type="dxa"/>
            <w:vAlign w:val="bottom"/>
          </w:tcPr>
          <w:p>
            <w:pPr>
              <w:spacing w:after="0"/>
              <w:rPr>
                <w:sz w:val="20"/>
                <w:szCs w:val="20"/>
                <w:color w:val="auto"/>
              </w:rPr>
            </w:pPr>
            <w:r>
              <w:rPr>
                <w:rFonts w:ascii="Arial" w:cs="Arial" w:eastAsia="Arial" w:hAnsi="Arial"/>
                <w:sz w:val="19"/>
                <w:szCs w:val="19"/>
                <w:color w:val="auto"/>
              </w:rPr>
              <w:t>101.SCH</w:t>
            </w:r>
          </w:p>
        </w:tc>
        <w:tc>
          <w:tcPr>
            <w:tcW w:w="8100" w:type="dxa"/>
            <w:vAlign w:val="bottom"/>
            <w:gridSpan w:val="11"/>
          </w:tcPr>
          <w:p>
            <w:pPr>
              <w:spacing w:after="0"/>
              <w:rPr>
                <w:sz w:val="20"/>
                <w:szCs w:val="20"/>
                <w:color w:val="auto"/>
              </w:rPr>
            </w:pPr>
            <w:r>
              <w:rPr>
                <w:rFonts w:ascii="Arial" w:cs="Arial" w:eastAsia="Arial" w:hAnsi="Arial"/>
                <w:sz w:val="19"/>
                <w:szCs w:val="19"/>
                <w:color w:val="auto"/>
              </w:rPr>
              <w:t>Inline XBRL Taxonomy Extension Schema Document</w:t>
            </w:r>
          </w:p>
        </w:tc>
        <w:tc>
          <w:tcPr>
            <w:tcW w:w="0" w:type="dxa"/>
            <w:vAlign w:val="bottom"/>
          </w:tcPr>
          <w:p>
            <w:pPr>
              <w:spacing w:after="0"/>
              <w:rPr>
                <w:sz w:val="1"/>
                <w:szCs w:val="1"/>
                <w:color w:val="auto"/>
              </w:rPr>
            </w:pPr>
          </w:p>
        </w:tc>
      </w:tr>
      <w:tr>
        <w:trPr>
          <w:trHeight w:val="233"/>
        </w:trPr>
        <w:tc>
          <w:tcPr>
            <w:tcW w:w="1240" w:type="dxa"/>
            <w:vAlign w:val="bottom"/>
          </w:tcPr>
          <w:p>
            <w:pPr>
              <w:spacing w:after="0"/>
              <w:rPr>
                <w:sz w:val="20"/>
                <w:szCs w:val="20"/>
                <w:color w:val="auto"/>
              </w:rPr>
            </w:pPr>
            <w:r>
              <w:rPr>
                <w:rFonts w:ascii="Arial" w:cs="Arial" w:eastAsia="Arial" w:hAnsi="Arial"/>
                <w:sz w:val="19"/>
                <w:szCs w:val="19"/>
                <w:color w:val="auto"/>
              </w:rPr>
              <w:t>101.CAL</w:t>
            </w:r>
          </w:p>
        </w:tc>
        <w:tc>
          <w:tcPr>
            <w:tcW w:w="8100" w:type="dxa"/>
            <w:vAlign w:val="bottom"/>
            <w:gridSpan w:val="11"/>
          </w:tcPr>
          <w:p>
            <w:pPr>
              <w:spacing w:after="0"/>
              <w:rPr>
                <w:sz w:val="20"/>
                <w:szCs w:val="20"/>
                <w:color w:val="auto"/>
              </w:rPr>
            </w:pPr>
            <w:r>
              <w:rPr>
                <w:rFonts w:ascii="Arial" w:cs="Arial" w:eastAsia="Arial" w:hAnsi="Arial"/>
                <w:sz w:val="19"/>
                <w:szCs w:val="19"/>
                <w:color w:val="auto"/>
              </w:rPr>
              <w:t>Inline XBRL Taxonomy Extension Calculation Linkbase Document</w:t>
            </w:r>
          </w:p>
        </w:tc>
        <w:tc>
          <w:tcPr>
            <w:tcW w:w="0" w:type="dxa"/>
            <w:vAlign w:val="bottom"/>
          </w:tcPr>
          <w:p>
            <w:pPr>
              <w:spacing w:after="0"/>
              <w:rPr>
                <w:sz w:val="1"/>
                <w:szCs w:val="1"/>
                <w:color w:val="auto"/>
              </w:rPr>
            </w:pPr>
          </w:p>
        </w:tc>
      </w:tr>
      <w:tr>
        <w:trPr>
          <w:trHeight w:val="233"/>
        </w:trPr>
        <w:tc>
          <w:tcPr>
            <w:tcW w:w="1240" w:type="dxa"/>
            <w:vAlign w:val="bottom"/>
          </w:tcPr>
          <w:p>
            <w:pPr>
              <w:spacing w:after="0"/>
              <w:rPr>
                <w:sz w:val="20"/>
                <w:szCs w:val="20"/>
                <w:color w:val="auto"/>
              </w:rPr>
            </w:pPr>
            <w:r>
              <w:rPr>
                <w:rFonts w:ascii="Arial" w:cs="Arial" w:eastAsia="Arial" w:hAnsi="Arial"/>
                <w:sz w:val="19"/>
                <w:szCs w:val="19"/>
                <w:color w:val="auto"/>
              </w:rPr>
              <w:t>101.DEF</w:t>
            </w:r>
          </w:p>
        </w:tc>
        <w:tc>
          <w:tcPr>
            <w:tcW w:w="8100" w:type="dxa"/>
            <w:vAlign w:val="bottom"/>
            <w:gridSpan w:val="11"/>
          </w:tcPr>
          <w:p>
            <w:pPr>
              <w:spacing w:after="0"/>
              <w:rPr>
                <w:sz w:val="20"/>
                <w:szCs w:val="20"/>
                <w:color w:val="auto"/>
              </w:rPr>
            </w:pPr>
            <w:r>
              <w:rPr>
                <w:rFonts w:ascii="Arial" w:cs="Arial" w:eastAsia="Arial" w:hAnsi="Arial"/>
                <w:sz w:val="19"/>
                <w:szCs w:val="19"/>
                <w:color w:val="auto"/>
              </w:rPr>
              <w:t>Inline XBRL Taxonomy Extension Definition Linkbase Document</w:t>
            </w:r>
          </w:p>
        </w:tc>
        <w:tc>
          <w:tcPr>
            <w:tcW w:w="0" w:type="dxa"/>
            <w:vAlign w:val="bottom"/>
          </w:tcPr>
          <w:p>
            <w:pPr>
              <w:spacing w:after="0"/>
              <w:rPr>
                <w:sz w:val="1"/>
                <w:szCs w:val="1"/>
                <w:color w:val="auto"/>
              </w:rPr>
            </w:pPr>
          </w:p>
        </w:tc>
      </w:tr>
      <w:tr>
        <w:trPr>
          <w:trHeight w:val="233"/>
        </w:trPr>
        <w:tc>
          <w:tcPr>
            <w:tcW w:w="1240" w:type="dxa"/>
            <w:vAlign w:val="bottom"/>
          </w:tcPr>
          <w:p>
            <w:pPr>
              <w:spacing w:after="0"/>
              <w:rPr>
                <w:sz w:val="20"/>
                <w:szCs w:val="20"/>
                <w:color w:val="auto"/>
              </w:rPr>
            </w:pPr>
            <w:r>
              <w:rPr>
                <w:rFonts w:ascii="Arial" w:cs="Arial" w:eastAsia="Arial" w:hAnsi="Arial"/>
                <w:sz w:val="19"/>
                <w:szCs w:val="19"/>
                <w:color w:val="auto"/>
              </w:rPr>
              <w:t>101.LAB</w:t>
            </w:r>
          </w:p>
        </w:tc>
        <w:tc>
          <w:tcPr>
            <w:tcW w:w="8100" w:type="dxa"/>
            <w:vAlign w:val="bottom"/>
            <w:gridSpan w:val="11"/>
          </w:tcPr>
          <w:p>
            <w:pPr>
              <w:spacing w:after="0"/>
              <w:rPr>
                <w:sz w:val="20"/>
                <w:szCs w:val="20"/>
                <w:color w:val="auto"/>
              </w:rPr>
            </w:pPr>
            <w:r>
              <w:rPr>
                <w:rFonts w:ascii="Arial" w:cs="Arial" w:eastAsia="Arial" w:hAnsi="Arial"/>
                <w:sz w:val="19"/>
                <w:szCs w:val="19"/>
                <w:color w:val="auto"/>
              </w:rPr>
              <w:t>Inline XBRL Taxonomy Extension Label Linkbase Document</w:t>
            </w:r>
          </w:p>
        </w:tc>
        <w:tc>
          <w:tcPr>
            <w:tcW w:w="0" w:type="dxa"/>
            <w:vAlign w:val="bottom"/>
          </w:tcPr>
          <w:p>
            <w:pPr>
              <w:spacing w:after="0"/>
              <w:rPr>
                <w:sz w:val="1"/>
                <w:szCs w:val="1"/>
                <w:color w:val="auto"/>
              </w:rPr>
            </w:pPr>
          </w:p>
        </w:tc>
      </w:tr>
      <w:tr>
        <w:trPr>
          <w:trHeight w:val="235"/>
        </w:trPr>
        <w:tc>
          <w:tcPr>
            <w:tcW w:w="1240" w:type="dxa"/>
            <w:vAlign w:val="bottom"/>
          </w:tcPr>
          <w:p>
            <w:pPr>
              <w:spacing w:after="0"/>
              <w:rPr>
                <w:sz w:val="20"/>
                <w:szCs w:val="20"/>
                <w:color w:val="auto"/>
              </w:rPr>
            </w:pPr>
            <w:r>
              <w:rPr>
                <w:rFonts w:ascii="Arial" w:cs="Arial" w:eastAsia="Arial" w:hAnsi="Arial"/>
                <w:sz w:val="19"/>
                <w:szCs w:val="19"/>
                <w:color w:val="auto"/>
              </w:rPr>
              <w:t>101.PRE</w:t>
            </w:r>
          </w:p>
        </w:tc>
        <w:tc>
          <w:tcPr>
            <w:tcW w:w="8100" w:type="dxa"/>
            <w:vAlign w:val="bottom"/>
            <w:gridSpan w:val="11"/>
          </w:tcPr>
          <w:p>
            <w:pPr>
              <w:spacing w:after="0"/>
              <w:rPr>
                <w:sz w:val="20"/>
                <w:szCs w:val="20"/>
                <w:color w:val="auto"/>
              </w:rPr>
            </w:pPr>
            <w:r>
              <w:rPr>
                <w:rFonts w:ascii="Arial" w:cs="Arial" w:eastAsia="Arial" w:hAnsi="Arial"/>
                <w:sz w:val="19"/>
                <w:szCs w:val="19"/>
                <w:color w:val="auto"/>
              </w:rPr>
              <w:t>Inline XBRL Taxonomy Extension Presentation Linkbase Document</w:t>
            </w:r>
          </w:p>
        </w:tc>
        <w:tc>
          <w:tcPr>
            <w:tcW w:w="0" w:type="dxa"/>
            <w:vAlign w:val="bottom"/>
          </w:tcPr>
          <w:p>
            <w:pPr>
              <w:spacing w:after="0"/>
              <w:rPr>
                <w:sz w:val="1"/>
                <w:szCs w:val="1"/>
                <w:color w:val="auto"/>
              </w:rPr>
            </w:pPr>
          </w:p>
        </w:tc>
      </w:tr>
      <w:tr>
        <w:trPr>
          <w:trHeight w:val="256"/>
        </w:trPr>
        <w:tc>
          <w:tcPr>
            <w:tcW w:w="1240" w:type="dxa"/>
            <w:vAlign w:val="bottom"/>
          </w:tcPr>
          <w:p>
            <w:pPr>
              <w:spacing w:after="0"/>
              <w:rPr>
                <w:sz w:val="20"/>
                <w:szCs w:val="20"/>
                <w:color w:val="auto"/>
              </w:rPr>
            </w:pPr>
            <w:r>
              <w:rPr>
                <w:rFonts w:ascii="Arial" w:cs="Arial" w:eastAsia="Arial" w:hAnsi="Arial"/>
                <w:sz w:val="19"/>
                <w:szCs w:val="19"/>
                <w:color w:val="auto"/>
              </w:rPr>
              <w:t>104</w:t>
            </w:r>
          </w:p>
        </w:tc>
        <w:tc>
          <w:tcPr>
            <w:tcW w:w="8100" w:type="dxa"/>
            <w:vAlign w:val="bottom"/>
            <w:gridSpan w:val="11"/>
          </w:tcPr>
          <w:p>
            <w:pPr>
              <w:spacing w:after="0"/>
              <w:rPr>
                <w:sz w:val="20"/>
                <w:szCs w:val="20"/>
                <w:color w:val="auto"/>
              </w:rPr>
            </w:pPr>
            <w:r>
              <w:rPr>
                <w:rFonts w:ascii="Arial" w:cs="Arial" w:eastAsia="Arial" w:hAnsi="Arial"/>
                <w:sz w:val="19"/>
                <w:szCs w:val="19"/>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139700</wp:posOffset>
                </wp:positionV>
                <wp:extent cx="492760"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2760"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11pt" to="37.4pt,11pt" o:allowincell="f" strokecolor="#000000" strokeweight="0.4809pt"/>
            </w:pict>
          </mc:Fallback>
        </mc:AlternateContent>
      </w:r>
    </w:p>
    <w:p>
      <w:pPr>
        <w:spacing w:after="0" w:line="308" w:lineRule="exact"/>
        <w:rPr>
          <w:sz w:val="20"/>
          <w:szCs w:val="20"/>
          <w:color w:val="auto"/>
        </w:rPr>
      </w:pPr>
    </w:p>
    <w:p>
      <w:pPr>
        <w:spacing w:after="0"/>
        <w:rPr>
          <w:sz w:val="20"/>
          <w:szCs w:val="20"/>
          <w:color w:val="auto"/>
        </w:rPr>
      </w:pPr>
      <w:r>
        <w:rPr>
          <w:rFonts w:ascii="Arial" w:cs="Arial" w:eastAsia="Arial" w:hAnsi="Arial"/>
          <w:sz w:val="19"/>
          <w:szCs w:val="19"/>
          <w:color w:val="auto"/>
        </w:rPr>
        <w:t>* Filed herewith.</w:t>
      </w:r>
    </w:p>
    <w:p>
      <w:pPr>
        <w:spacing w:after="0" w:line="120" w:lineRule="exact"/>
        <w:rPr>
          <w:sz w:val="20"/>
          <w:szCs w:val="20"/>
          <w:color w:val="auto"/>
        </w:rPr>
      </w:pPr>
    </w:p>
    <w:p>
      <w:pPr>
        <w:spacing w:after="0"/>
        <w:rPr>
          <w:sz w:val="20"/>
          <w:szCs w:val="20"/>
          <w:color w:val="auto"/>
        </w:rPr>
      </w:pPr>
      <w:r>
        <w:rPr>
          <w:rFonts w:ascii="Arial" w:cs="Arial" w:eastAsia="Arial" w:hAnsi="Arial"/>
          <w:sz w:val="19"/>
          <w:szCs w:val="19"/>
          <w:color w:val="auto"/>
        </w:rPr>
        <w:t># Indicates a management contract or any compensatory plan, contract or arrangement</w:t>
      </w:r>
    </w:p>
    <w:p>
      <w:pPr>
        <w:spacing w:after="0" w:line="120" w:lineRule="exact"/>
        <w:rPr>
          <w:sz w:val="20"/>
          <w:szCs w:val="20"/>
          <w:color w:val="auto"/>
        </w:rPr>
      </w:pPr>
    </w:p>
    <w:p>
      <w:pPr>
        <w:ind w:left="360" w:right="340" w:hanging="360"/>
        <w:spacing w:after="0" w:line="261" w:lineRule="auto"/>
        <w:tabs>
          <w:tab w:leader="none" w:pos="202" w:val="left"/>
        </w:tabs>
        <w:numPr>
          <w:ilvl w:val="0"/>
          <w:numId w:val="111"/>
        </w:numPr>
        <w:rPr>
          <w:rFonts w:ascii="Arial" w:cs="Arial" w:eastAsia="Arial" w:hAnsi="Arial"/>
          <w:sz w:val="19"/>
          <w:szCs w:val="19"/>
          <w:color w:val="auto"/>
        </w:rPr>
      </w:pPr>
      <w:r>
        <w:rPr>
          <w:rFonts w:ascii="Arial" w:cs="Arial" w:eastAsia="Arial" w:hAnsi="Arial"/>
          <w:sz w:val="19"/>
          <w:szCs w:val="19"/>
          <w:color w:val="auto"/>
        </w:rPr>
        <w:t>Portions of this exhibit have been omitted by means of redacting a portion of the text and replacing it with “[***]” because they are both (i) not material and (ii) the type of information that the Registrant treats as private or confidential.</w:t>
      </w:r>
    </w:p>
    <w:p>
      <w:pPr>
        <w:sectPr>
          <w:pgSz w:w="12240" w:h="15840" w:orient="portrait"/>
          <w:cols w:equalWidth="0" w:num="1">
            <w:col w:w="9360"/>
          </w:cols>
          <w:pgMar w:left="1440" w:top="1432" w:right="1440" w:bottom="1440" w:gutter="0" w:footer="0" w:header="0"/>
        </w:sectPr>
      </w:pPr>
    </w:p>
    <w:bookmarkStart w:id="173" w:name="page174"/>
    <w:bookmarkEnd w:id="173"/>
    <w:p>
      <w:pPr>
        <w:jc w:val="center"/>
        <w:spacing w:after="0"/>
        <w:rPr>
          <w:sz w:val="20"/>
          <w:szCs w:val="20"/>
          <w:color w:val="auto"/>
        </w:rPr>
      </w:pPr>
      <w:r>
        <w:rPr>
          <w:rFonts w:ascii="Arial" w:cs="Arial" w:eastAsia="Arial" w:hAnsi="Arial"/>
          <w:sz w:val="20"/>
          <w:szCs w:val="20"/>
          <w:b w:val="1"/>
          <w:bCs w:val="1"/>
          <w:color w:val="auto"/>
        </w:rPr>
        <w:t>SIGNATURES</w:t>
      </w:r>
    </w:p>
    <w:p>
      <w:pPr>
        <w:spacing w:after="0" w:line="364" w:lineRule="exact"/>
        <w:rPr>
          <w:sz w:val="20"/>
          <w:szCs w:val="20"/>
          <w:color w:val="auto"/>
        </w:rPr>
      </w:pPr>
    </w:p>
    <w:p>
      <w:pPr>
        <w:ind w:right="180"/>
        <w:spacing w:after="0" w:line="266" w:lineRule="auto"/>
        <w:rPr>
          <w:sz w:val="20"/>
          <w:szCs w:val="20"/>
          <w:color w:val="auto"/>
        </w:rPr>
      </w:pPr>
      <w:r>
        <w:rPr>
          <w:rFonts w:ascii="Arial" w:cs="Arial" w:eastAsia="Arial" w:hAnsi="Arial"/>
          <w:sz w:val="19"/>
          <w:szCs w:val="19"/>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9"/>
          <w:szCs w:val="19"/>
          <w:b w:val="1"/>
          <w:bCs w:val="1"/>
          <w:color w:val="auto"/>
        </w:rPr>
        <w:t>.</w:t>
      </w:r>
    </w:p>
    <w:p>
      <w:pPr>
        <w:spacing w:after="0" w:line="163" w:lineRule="exact"/>
        <w:rPr>
          <w:sz w:val="20"/>
          <w:szCs w:val="20"/>
          <w:color w:val="auto"/>
        </w:rPr>
      </w:pPr>
    </w:p>
    <w:p>
      <w:pPr>
        <w:ind w:left="4480"/>
        <w:spacing w:after="0"/>
        <w:rPr>
          <w:sz w:val="20"/>
          <w:szCs w:val="20"/>
          <w:color w:val="auto"/>
        </w:rPr>
      </w:pPr>
      <w:r>
        <w:rPr>
          <w:rFonts w:ascii="Arial" w:cs="Arial" w:eastAsia="Arial" w:hAnsi="Arial"/>
          <w:sz w:val="19"/>
          <w:szCs w:val="19"/>
          <w:color w:val="auto"/>
        </w:rPr>
        <w:t>Candel Therapeutics, Inc.</w:t>
      </w:r>
    </w:p>
    <w:p>
      <w:pPr>
        <w:spacing w:after="0" w:line="250" w:lineRule="exact"/>
        <w:rPr>
          <w:sz w:val="20"/>
          <w:szCs w:val="20"/>
          <w:color w:val="auto"/>
        </w:rPr>
      </w:pPr>
    </w:p>
    <w:p>
      <w:pPr>
        <w:spacing w:after="0"/>
        <w:tabs>
          <w:tab w:leader="none" w:pos="4460" w:val="left"/>
          <w:tab w:leader="none" w:pos="5400" w:val="left"/>
        </w:tabs>
        <w:rPr>
          <w:sz w:val="20"/>
          <w:szCs w:val="20"/>
          <w:color w:val="auto"/>
        </w:rPr>
      </w:pPr>
      <w:r>
        <w:rPr>
          <w:rFonts w:ascii="Arial" w:cs="Arial" w:eastAsia="Arial" w:hAnsi="Arial"/>
          <w:sz w:val="19"/>
          <w:szCs w:val="19"/>
          <w:color w:val="auto"/>
        </w:rPr>
        <w:t>Date: April 25, 2024</w:t>
      </w:r>
      <w:r>
        <w:rPr>
          <w:sz w:val="20"/>
          <w:szCs w:val="20"/>
          <w:color w:val="auto"/>
        </w:rPr>
        <w:tab/>
      </w: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/s/ Paul Peter Tak, M.D., Ph.D., FMedSci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3152775</wp:posOffset>
                </wp:positionH>
                <wp:positionV relativeFrom="paragraph">
                  <wp:posOffset>12700</wp:posOffset>
                </wp:positionV>
                <wp:extent cx="2790825" cy="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825" cy="4763"/>
                        </a:xfrm>
                        <a:prstGeom prst="line">
                          <a:avLst/>
                        </a:prstGeom>
                        <a:solidFill>
                          <a:srgbClr val="FFFFFF"/>
                        </a:solidFill>
                        <a:ln w="3034">
                          <a:solidFill>
                            <a:srgbClr val="000000"/>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8.25pt,1pt" to="468pt,1pt" o:allowincell="f" strokecolor="#000000" strokeweight="0.2389pt"/>
            </w:pict>
          </mc:Fallback>
        </mc:AlternateContent>
      </w:r>
    </w:p>
    <w:p>
      <w:pPr>
        <w:spacing w:after="0" w:line="17" w:lineRule="exact"/>
        <w:rPr>
          <w:sz w:val="20"/>
          <w:szCs w:val="20"/>
          <w:color w:val="auto"/>
        </w:rPr>
      </w:pPr>
    </w:p>
    <w:p>
      <w:pPr>
        <w:ind w:left="5560"/>
        <w:spacing w:after="0"/>
        <w:rPr>
          <w:sz w:val="20"/>
          <w:szCs w:val="20"/>
          <w:color w:val="auto"/>
        </w:rPr>
      </w:pPr>
      <w:r>
        <w:rPr>
          <w:rFonts w:ascii="Arial" w:cs="Arial" w:eastAsia="Arial" w:hAnsi="Arial"/>
          <w:sz w:val="19"/>
          <w:szCs w:val="19"/>
          <w:color w:val="auto"/>
        </w:rPr>
        <w:t>Paul Peter Tak, M.D., Ph.D., FMedSci</w:t>
      </w:r>
    </w:p>
    <w:p>
      <w:pPr>
        <w:spacing w:after="0" w:line="14" w:lineRule="exact"/>
        <w:rPr>
          <w:sz w:val="20"/>
          <w:szCs w:val="20"/>
          <w:color w:val="auto"/>
        </w:rPr>
      </w:pPr>
    </w:p>
    <w:p>
      <w:pPr>
        <w:ind w:left="5580"/>
        <w:spacing w:after="0"/>
        <w:rPr>
          <w:sz w:val="20"/>
          <w:szCs w:val="20"/>
          <w:color w:val="auto"/>
        </w:rPr>
      </w:pPr>
      <w:r>
        <w:rPr>
          <w:rFonts w:ascii="Arial" w:cs="Arial" w:eastAsia="Arial" w:hAnsi="Arial"/>
          <w:sz w:val="19"/>
          <w:szCs w:val="19"/>
          <w:color w:val="auto"/>
        </w:rPr>
        <w:t>President and Chief Executive Officer</w:t>
      </w:r>
    </w:p>
    <w:p>
      <w:pPr>
        <w:sectPr>
          <w:pgSz w:w="12240" w:h="15840" w:orient="portrait"/>
          <w:cols w:equalWidth="0" w:num="1">
            <w:col w:w="9360"/>
          </w:cols>
          <w:pgMar w:left="1440" w:top="1416" w:right="1440" w:bottom="1440" w:gutter="0" w:footer="0" w:header="0"/>
        </w:sectPr>
      </w:pPr>
    </w:p>
    <w:bookmarkStart w:id="174" w:name="page175"/>
    <w:bookmarkEnd w:id="174"/>
    <w:p>
      <w:pPr>
        <w:spacing w:after="0" w:line="5"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2B2B2C"/>
        </w:rPr>
        <w:t>EXECUTIVE OFFICERS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44450</wp:posOffset>
                </wp:positionV>
                <wp:extent cx="6012815" cy="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12815" cy="4763"/>
                        </a:xfrm>
                        <a:prstGeom prst="line">
                          <a:avLst/>
                        </a:prstGeom>
                        <a:solidFill>
                          <a:srgbClr val="FFFFFF"/>
                        </a:solidFill>
                        <a:ln w="18288">
                          <a:solidFill>
                            <a:srgbClr val="000000"/>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3.5pt" to="473pt,3.5pt" o:allowincell="f" strokecolor="#000000" strokeweight="1.44pt"/>
            </w:pict>
          </mc:Fallback>
        </mc:AlternateContent>
      </w:r>
    </w:p>
    <w:p>
      <w:pPr>
        <w:sectPr>
          <w:pgSz w:w="12240" w:h="15840" w:orient="portrait"/>
          <w:cols w:equalWidth="0" w:num="1">
            <w:col w:w="9440"/>
          </w:cols>
          <w:pgMar w:left="1440" w:top="1440" w:right="1360" w:bottom="866" w:gutter="0" w:footer="0" w:header="0"/>
        </w:sectPr>
      </w:pPr>
    </w:p>
    <w:p>
      <w:pPr>
        <w:spacing w:after="0" w:line="325" w:lineRule="exact"/>
        <w:rPr>
          <w:sz w:val="20"/>
          <w:szCs w:val="20"/>
          <w:color w:val="auto"/>
        </w:rPr>
      </w:pPr>
    </w:p>
    <w:p>
      <w:pPr>
        <w:ind w:left="940"/>
        <w:spacing w:after="0"/>
        <w:tabs>
          <w:tab w:leader="none" w:pos="4000" w:val="left"/>
          <w:tab w:leader="none" w:pos="6860" w:val="left"/>
        </w:tabs>
        <w:rPr>
          <w:sz w:val="20"/>
          <w:szCs w:val="20"/>
          <w:color w:val="auto"/>
        </w:rPr>
      </w:pPr>
      <w:r>
        <w:rPr>
          <w:rFonts w:ascii="Arial" w:cs="Arial" w:eastAsia="Arial" w:hAnsi="Arial"/>
          <w:sz w:val="21"/>
          <w:szCs w:val="21"/>
          <w:b w:val="1"/>
          <w:bCs w:val="1"/>
          <w:color w:val="2B2B2C"/>
        </w:rPr>
        <w:t>Paul Peter Tak</w:t>
      </w:r>
      <w:r>
        <w:rPr>
          <w:sz w:val="20"/>
          <w:szCs w:val="20"/>
          <w:color w:val="auto"/>
        </w:rPr>
        <w:tab/>
      </w:r>
      <w:r>
        <w:rPr>
          <w:rFonts w:ascii="Calibri" w:cs="Calibri" w:eastAsia="Calibri" w:hAnsi="Calibri"/>
          <w:sz w:val="21"/>
          <w:szCs w:val="21"/>
          <w:b w:val="1"/>
          <w:bCs w:val="1"/>
          <w:color w:val="2B2B2C"/>
        </w:rPr>
        <w:t>Charles Schoch</w:t>
      </w:r>
      <w:r>
        <w:rPr>
          <w:sz w:val="20"/>
          <w:szCs w:val="20"/>
          <w:color w:val="auto"/>
        </w:rPr>
        <w:tab/>
      </w:r>
      <w:r>
        <w:rPr>
          <w:rFonts w:ascii="Arial" w:cs="Arial" w:eastAsia="Arial" w:hAnsi="Arial"/>
          <w:sz w:val="17"/>
          <w:szCs w:val="17"/>
          <w:b w:val="1"/>
          <w:bCs w:val="1"/>
          <w:color w:val="2B2B2C"/>
        </w:rPr>
        <w:t>Francesca Barone</w:t>
      </w:r>
    </w:p>
    <w:p>
      <w:pPr>
        <w:spacing w:after="0" w:line="3" w:lineRule="exact"/>
        <w:rPr>
          <w:sz w:val="20"/>
          <w:szCs w:val="20"/>
          <w:color w:val="auto"/>
        </w:rPr>
      </w:pPr>
    </w:p>
    <w:p>
      <w:pPr>
        <w:ind w:left="700"/>
        <w:spacing w:after="0"/>
        <w:tabs>
          <w:tab w:leader="none" w:pos="3380" w:val="left"/>
          <w:tab w:leader="none" w:pos="6740" w:val="left"/>
        </w:tabs>
        <w:rPr>
          <w:sz w:val="20"/>
          <w:szCs w:val="20"/>
          <w:color w:val="auto"/>
        </w:rPr>
      </w:pPr>
      <w:r>
        <w:rPr>
          <w:rFonts w:ascii="Arial" w:cs="Arial" w:eastAsia="Arial" w:hAnsi="Arial"/>
          <w:sz w:val="21"/>
          <w:szCs w:val="21"/>
          <w:b w:val="1"/>
          <w:bCs w:val="1"/>
          <w:color w:val="2B2B2C"/>
        </w:rPr>
        <w:t>Chief Executive Officer</w:t>
      </w:r>
      <w:r>
        <w:rPr>
          <w:sz w:val="20"/>
          <w:szCs w:val="20"/>
          <w:color w:val="auto"/>
        </w:rPr>
        <w:tab/>
      </w:r>
      <w:r>
        <w:rPr>
          <w:rFonts w:ascii="Calibri" w:cs="Calibri" w:eastAsia="Calibri" w:hAnsi="Calibri"/>
          <w:sz w:val="21"/>
          <w:szCs w:val="21"/>
          <w:color w:val="2B2B2C"/>
        </w:rPr>
        <w:t xml:space="preserve">Interim </w:t>
      </w:r>
      <w:r>
        <w:rPr>
          <w:rFonts w:ascii="Arial" w:cs="Arial" w:eastAsia="Arial" w:hAnsi="Arial"/>
          <w:sz w:val="21"/>
          <w:szCs w:val="21"/>
          <w:b w:val="1"/>
          <w:bCs w:val="1"/>
          <w:color w:val="2B2B2C"/>
        </w:rPr>
        <w:t>Chief Financial Officer</w:t>
      </w:r>
      <w:r>
        <w:rPr>
          <w:sz w:val="20"/>
          <w:szCs w:val="20"/>
          <w:color w:val="auto"/>
        </w:rPr>
        <w:tab/>
      </w:r>
      <w:r>
        <w:rPr>
          <w:rFonts w:ascii="Arial" w:cs="Arial" w:eastAsia="Arial" w:hAnsi="Arial"/>
          <w:sz w:val="17"/>
          <w:szCs w:val="17"/>
          <w:b w:val="1"/>
          <w:bCs w:val="1"/>
          <w:color w:val="2B2B2C"/>
        </w:rPr>
        <w:t>Chief Scientific Officer</w:t>
      </w:r>
    </w:p>
    <w:p>
      <w:pPr>
        <w:spacing w:after="0" w:line="276" w:lineRule="exact"/>
        <w:rPr>
          <w:sz w:val="20"/>
          <w:szCs w:val="20"/>
          <w:color w:val="auto"/>
        </w:rPr>
      </w:pPr>
    </w:p>
    <w:p>
      <w:pPr>
        <w:ind w:left="2240"/>
        <w:spacing w:after="0"/>
        <w:tabs>
          <w:tab w:leader="none" w:pos="5480" w:val="left"/>
        </w:tabs>
        <w:rPr>
          <w:sz w:val="20"/>
          <w:szCs w:val="20"/>
          <w:color w:val="auto"/>
        </w:rPr>
      </w:pPr>
      <w:r>
        <w:rPr>
          <w:rFonts w:ascii="Arial" w:cs="Arial" w:eastAsia="Arial" w:hAnsi="Arial"/>
          <w:sz w:val="21"/>
          <w:szCs w:val="21"/>
          <w:b w:val="1"/>
          <w:bCs w:val="1"/>
          <w:color w:val="2B2B2C"/>
        </w:rPr>
        <w:t>Seshu Tyagarajan</w:t>
      </w:r>
      <w:r>
        <w:rPr>
          <w:sz w:val="20"/>
          <w:szCs w:val="20"/>
          <w:color w:val="auto"/>
        </w:rPr>
        <w:tab/>
      </w:r>
      <w:r>
        <w:rPr>
          <w:rFonts w:ascii="Arial" w:cs="Arial" w:eastAsia="Arial" w:hAnsi="Arial"/>
          <w:sz w:val="18"/>
          <w:szCs w:val="18"/>
          <w:b w:val="1"/>
          <w:bCs w:val="1"/>
          <w:color w:val="2B2B2C"/>
        </w:rPr>
        <w:t>W. Garrett Nichols</w:t>
      </w:r>
    </w:p>
    <w:p>
      <w:pPr>
        <w:spacing w:after="0" w:line="15" w:lineRule="exact"/>
        <w:rPr>
          <w:sz w:val="20"/>
          <w:szCs w:val="20"/>
          <w:color w:val="auto"/>
        </w:rPr>
      </w:pPr>
    </w:p>
    <w:p>
      <w:pPr>
        <w:ind w:left="1280"/>
        <w:spacing w:after="0"/>
        <w:tabs>
          <w:tab w:leader="none" w:pos="5380" w:val="left"/>
        </w:tabs>
        <w:rPr>
          <w:sz w:val="20"/>
          <w:szCs w:val="20"/>
          <w:color w:val="auto"/>
        </w:rPr>
      </w:pPr>
      <w:r>
        <w:rPr>
          <w:rFonts w:ascii="Arial" w:cs="Arial" w:eastAsia="Arial" w:hAnsi="Arial"/>
          <w:sz w:val="21"/>
          <w:szCs w:val="21"/>
          <w:b w:val="1"/>
          <w:bCs w:val="1"/>
          <w:color w:val="2B2B2C"/>
        </w:rPr>
        <w:t>Chief Technical &amp; Development Officer</w:t>
      </w:r>
      <w:r>
        <w:rPr>
          <w:sz w:val="20"/>
          <w:szCs w:val="20"/>
          <w:color w:val="auto"/>
        </w:rPr>
        <w:tab/>
      </w:r>
      <w:r>
        <w:rPr>
          <w:rFonts w:ascii="Arial" w:cs="Arial" w:eastAsia="Arial" w:hAnsi="Arial"/>
          <w:sz w:val="17"/>
          <w:szCs w:val="17"/>
          <w:b w:val="1"/>
          <w:bCs w:val="1"/>
          <w:color w:val="2B2B2C"/>
        </w:rPr>
        <w:t>Chief Medical Officer</w:t>
      </w:r>
    </w:p>
    <w:p>
      <w:pPr>
        <w:spacing w:after="0" w:line="200" w:lineRule="exact"/>
        <w:rPr>
          <w:sz w:val="20"/>
          <w:szCs w:val="20"/>
          <w:color w:val="auto"/>
        </w:rPr>
      </w:pPr>
    </w:p>
    <w:p>
      <w:pPr>
        <w:spacing w:after="0" w:line="364" w:lineRule="exact"/>
        <w:rPr>
          <w:sz w:val="20"/>
          <w:szCs w:val="20"/>
          <w:color w:val="auto"/>
        </w:rPr>
      </w:pPr>
    </w:p>
    <w:p>
      <w:pPr>
        <w:jc w:val="center"/>
        <w:ind w:right="80"/>
        <w:spacing w:after="0"/>
        <w:rPr>
          <w:sz w:val="20"/>
          <w:szCs w:val="20"/>
          <w:color w:val="auto"/>
        </w:rPr>
      </w:pPr>
      <w:r>
        <w:rPr>
          <w:rFonts w:ascii="Arial" w:cs="Arial" w:eastAsia="Arial" w:hAnsi="Arial"/>
          <w:sz w:val="24"/>
          <w:szCs w:val="24"/>
          <w:b w:val="1"/>
          <w:bCs w:val="1"/>
          <w:color w:val="2B2B2C"/>
        </w:rPr>
        <w:t>BOARD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25400</wp:posOffset>
                </wp:positionV>
                <wp:extent cx="5995035" cy="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95035" cy="4763"/>
                        </a:xfrm>
                        <a:prstGeom prst="line">
                          <a:avLst/>
                        </a:prstGeom>
                        <a:solidFill>
                          <a:srgbClr val="FFFFFF"/>
                        </a:solidFill>
                        <a:ln w="18288">
                          <a:solidFill>
                            <a:srgbClr val="000000"/>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pt" to="472.05pt,2pt" o:allowincell="f" strokecolor="#000000" strokeweight="1.44pt"/>
            </w:pict>
          </mc:Fallback>
        </mc:AlternateConten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200" w:type="dxa"/>
            <w:vAlign w:val="bottom"/>
          </w:tcPr>
          <w:p>
            <w:pPr>
              <w:jc w:val="center"/>
              <w:ind w:left="15"/>
              <w:spacing w:after="0"/>
              <w:rPr>
                <w:sz w:val="20"/>
                <w:szCs w:val="20"/>
                <w:color w:val="auto"/>
              </w:rPr>
            </w:pPr>
            <w:r>
              <w:rPr>
                <w:rFonts w:ascii="Arial" w:cs="Arial" w:eastAsia="Arial" w:hAnsi="Arial"/>
                <w:sz w:val="21"/>
                <w:szCs w:val="21"/>
                <w:b w:val="1"/>
                <w:bCs w:val="1"/>
                <w:color w:val="auto"/>
                <w:w w:val="87"/>
              </w:rPr>
              <w:t>Paul Manning</w:t>
            </w:r>
          </w:p>
        </w:tc>
        <w:tc>
          <w:tcPr>
            <w:tcW w:w="3180" w:type="dxa"/>
            <w:vAlign w:val="bottom"/>
          </w:tcPr>
          <w:p>
            <w:pPr>
              <w:jc w:val="center"/>
              <w:spacing w:after="0"/>
              <w:rPr>
                <w:sz w:val="20"/>
                <w:szCs w:val="20"/>
                <w:color w:val="auto"/>
              </w:rPr>
            </w:pPr>
            <w:r>
              <w:rPr>
                <w:rFonts w:ascii="Arial" w:cs="Arial" w:eastAsia="Arial" w:hAnsi="Arial"/>
                <w:sz w:val="21"/>
                <w:szCs w:val="21"/>
                <w:b w:val="1"/>
                <w:bCs w:val="1"/>
                <w:color w:val="auto"/>
                <w:w w:val="85"/>
              </w:rPr>
              <w:t>Paul Peter Tak</w:t>
            </w:r>
          </w:p>
        </w:tc>
        <w:tc>
          <w:tcPr>
            <w:tcW w:w="3060" w:type="dxa"/>
            <w:vAlign w:val="bottom"/>
          </w:tcPr>
          <w:p>
            <w:pPr>
              <w:jc w:val="center"/>
              <w:ind w:right="55"/>
              <w:spacing w:after="0"/>
              <w:rPr>
                <w:sz w:val="20"/>
                <w:szCs w:val="20"/>
                <w:color w:val="auto"/>
              </w:rPr>
            </w:pPr>
            <w:r>
              <w:rPr>
                <w:rFonts w:ascii="Arial" w:cs="Arial" w:eastAsia="Arial" w:hAnsi="Arial"/>
                <w:sz w:val="21"/>
                <w:szCs w:val="21"/>
                <w:b w:val="1"/>
                <w:bCs w:val="1"/>
                <w:color w:val="auto"/>
                <w:w w:val="87"/>
              </w:rPr>
              <w:t>Diem Nguyen</w:t>
            </w:r>
          </w:p>
        </w:tc>
        <w:tc>
          <w:tcPr>
            <w:tcW w:w="0" w:type="dxa"/>
            <w:vAlign w:val="bottom"/>
          </w:tcPr>
          <w:p>
            <w:pPr>
              <w:spacing w:after="0"/>
              <w:rPr>
                <w:sz w:val="1"/>
                <w:szCs w:val="1"/>
                <w:color w:val="auto"/>
              </w:rPr>
            </w:pPr>
          </w:p>
        </w:tc>
      </w:tr>
      <w:tr>
        <w:trPr>
          <w:trHeight w:val="240"/>
        </w:trPr>
        <w:tc>
          <w:tcPr>
            <w:tcW w:w="3200" w:type="dxa"/>
            <w:vAlign w:val="bottom"/>
          </w:tcPr>
          <w:p>
            <w:pPr>
              <w:jc w:val="center"/>
              <w:ind w:left="55"/>
              <w:spacing w:after="0" w:line="240" w:lineRule="exact"/>
              <w:rPr>
                <w:sz w:val="20"/>
                <w:szCs w:val="20"/>
                <w:color w:val="auto"/>
              </w:rPr>
            </w:pPr>
            <w:r>
              <w:rPr>
                <w:rFonts w:ascii="Arial" w:cs="Arial" w:eastAsia="Arial" w:hAnsi="Arial"/>
                <w:sz w:val="21"/>
                <w:szCs w:val="21"/>
                <w:b w:val="1"/>
                <w:bCs w:val="1"/>
                <w:color w:val="auto"/>
                <w:w w:val="85"/>
              </w:rPr>
              <w:t>Chairman of the Board of Candel</w:t>
            </w:r>
          </w:p>
        </w:tc>
        <w:tc>
          <w:tcPr>
            <w:tcW w:w="3180" w:type="dxa"/>
            <w:vAlign w:val="bottom"/>
          </w:tcPr>
          <w:p>
            <w:pPr>
              <w:jc w:val="center"/>
              <w:spacing w:after="0" w:line="240" w:lineRule="exact"/>
              <w:rPr>
                <w:sz w:val="20"/>
                <w:szCs w:val="20"/>
                <w:color w:val="auto"/>
              </w:rPr>
            </w:pPr>
            <w:r>
              <w:rPr>
                <w:rFonts w:ascii="Arial" w:cs="Arial" w:eastAsia="Arial" w:hAnsi="Arial"/>
                <w:sz w:val="21"/>
                <w:szCs w:val="21"/>
                <w:b w:val="1"/>
                <w:bCs w:val="1"/>
                <w:color w:val="auto"/>
                <w:w w:val="84"/>
              </w:rPr>
              <w:t>Chief Executive Officer of</w:t>
            </w:r>
          </w:p>
        </w:tc>
        <w:tc>
          <w:tcPr>
            <w:tcW w:w="3060" w:type="dxa"/>
            <w:vAlign w:val="bottom"/>
          </w:tcPr>
          <w:p>
            <w:pPr>
              <w:jc w:val="center"/>
              <w:ind w:right="95"/>
              <w:spacing w:after="0" w:line="240" w:lineRule="exact"/>
              <w:rPr>
                <w:sz w:val="20"/>
                <w:szCs w:val="20"/>
                <w:color w:val="auto"/>
              </w:rPr>
            </w:pPr>
            <w:r>
              <w:rPr>
                <w:rFonts w:ascii="Arial" w:cs="Arial" w:eastAsia="Arial" w:hAnsi="Arial"/>
                <w:sz w:val="21"/>
                <w:szCs w:val="21"/>
                <w:b w:val="1"/>
                <w:bCs w:val="1"/>
                <w:color w:val="auto"/>
                <w:w w:val="84"/>
              </w:rPr>
              <w:t>Chief Executive Officer</w:t>
            </w:r>
          </w:p>
        </w:tc>
        <w:tc>
          <w:tcPr>
            <w:tcW w:w="0" w:type="dxa"/>
            <w:vAlign w:val="bottom"/>
          </w:tcPr>
          <w:p>
            <w:pPr>
              <w:spacing w:after="0"/>
              <w:rPr>
                <w:sz w:val="1"/>
                <w:szCs w:val="1"/>
                <w:color w:val="auto"/>
              </w:rPr>
            </w:pPr>
          </w:p>
        </w:tc>
      </w:tr>
      <w:tr>
        <w:trPr>
          <w:trHeight w:val="276"/>
        </w:trPr>
        <w:tc>
          <w:tcPr>
            <w:tcW w:w="3200" w:type="dxa"/>
            <w:vAlign w:val="bottom"/>
          </w:tcPr>
          <w:p>
            <w:pPr>
              <w:jc w:val="center"/>
              <w:ind w:left="35"/>
              <w:spacing w:after="0"/>
              <w:rPr>
                <w:sz w:val="20"/>
                <w:szCs w:val="20"/>
                <w:color w:val="auto"/>
              </w:rPr>
            </w:pPr>
            <w:r>
              <w:rPr>
                <w:rFonts w:ascii="Arial" w:cs="Arial" w:eastAsia="Arial" w:hAnsi="Arial"/>
                <w:sz w:val="21"/>
                <w:szCs w:val="21"/>
                <w:b w:val="1"/>
                <w:bCs w:val="1"/>
                <w:color w:val="auto"/>
                <w:w w:val="84"/>
              </w:rPr>
              <w:t>Therapeutics, President and Chief</w:t>
            </w:r>
          </w:p>
        </w:tc>
        <w:tc>
          <w:tcPr>
            <w:tcW w:w="3180" w:type="dxa"/>
            <w:vAlign w:val="bottom"/>
          </w:tcPr>
          <w:p>
            <w:pPr>
              <w:ind w:left="760"/>
              <w:spacing w:after="0"/>
              <w:rPr>
                <w:sz w:val="20"/>
                <w:szCs w:val="20"/>
                <w:color w:val="auto"/>
              </w:rPr>
            </w:pPr>
            <w:r>
              <w:rPr>
                <w:rFonts w:ascii="Arial" w:cs="Arial" w:eastAsia="Arial" w:hAnsi="Arial"/>
                <w:sz w:val="21"/>
                <w:szCs w:val="21"/>
                <w:b w:val="1"/>
                <w:bCs w:val="1"/>
                <w:color w:val="auto"/>
              </w:rPr>
              <w:t>Candel Therapeutics</w:t>
            </w:r>
          </w:p>
        </w:tc>
        <w:tc>
          <w:tcPr>
            <w:tcW w:w="3060" w:type="dxa"/>
            <w:vAlign w:val="bottom"/>
          </w:tcPr>
          <w:p>
            <w:pPr>
              <w:ind w:left="500"/>
              <w:spacing w:after="0"/>
              <w:rPr>
                <w:sz w:val="20"/>
                <w:szCs w:val="20"/>
                <w:color w:val="auto"/>
              </w:rPr>
            </w:pPr>
            <w:r>
              <w:rPr>
                <w:rFonts w:ascii="Calibri" w:cs="Calibri" w:eastAsia="Calibri" w:hAnsi="Calibri"/>
                <w:sz w:val="21"/>
                <w:szCs w:val="21"/>
                <w:color w:val="auto"/>
              </w:rPr>
              <w:t>of SIGA Technologies</w:t>
            </w:r>
          </w:p>
        </w:tc>
        <w:tc>
          <w:tcPr>
            <w:tcW w:w="0" w:type="dxa"/>
            <w:vAlign w:val="bottom"/>
          </w:tcPr>
          <w:p>
            <w:pPr>
              <w:spacing w:after="0"/>
              <w:rPr>
                <w:sz w:val="1"/>
                <w:szCs w:val="1"/>
                <w:color w:val="auto"/>
              </w:rPr>
            </w:pPr>
          </w:p>
        </w:tc>
      </w:tr>
      <w:tr>
        <w:trPr>
          <w:trHeight w:val="257"/>
        </w:trPr>
        <w:tc>
          <w:tcPr>
            <w:tcW w:w="3200" w:type="dxa"/>
            <w:vAlign w:val="bottom"/>
          </w:tcPr>
          <w:p>
            <w:pPr>
              <w:ind w:left="340"/>
              <w:spacing w:after="0"/>
              <w:rPr>
                <w:sz w:val="20"/>
                <w:szCs w:val="20"/>
                <w:color w:val="auto"/>
              </w:rPr>
            </w:pPr>
            <w:r>
              <w:rPr>
                <w:rFonts w:ascii="Arial" w:cs="Arial" w:eastAsia="Arial" w:hAnsi="Arial"/>
                <w:sz w:val="21"/>
                <w:szCs w:val="21"/>
                <w:b w:val="1"/>
                <w:bCs w:val="1"/>
                <w:color w:val="auto"/>
                <w:w w:val="87"/>
              </w:rPr>
              <w:t>Executive Officer of PBM Capital</w:t>
            </w:r>
          </w:p>
        </w:tc>
        <w:tc>
          <w:tcPr>
            <w:tcW w:w="3180" w:type="dxa"/>
            <w:vAlign w:val="bottom"/>
            <w:vMerge w:val="restart"/>
          </w:tcPr>
          <w:p>
            <w:pPr>
              <w:jc w:val="center"/>
              <w:spacing w:after="0"/>
              <w:rPr>
                <w:sz w:val="20"/>
                <w:szCs w:val="20"/>
                <w:color w:val="auto"/>
              </w:rPr>
            </w:pPr>
            <w:r>
              <w:rPr>
                <w:rFonts w:ascii="Arial" w:cs="Arial" w:eastAsia="Arial" w:hAnsi="Arial"/>
                <w:sz w:val="21"/>
                <w:szCs w:val="21"/>
                <w:b w:val="1"/>
                <w:bCs w:val="1"/>
                <w:color w:val="auto"/>
                <w:w w:val="89"/>
              </w:rPr>
              <w:t>Chris Martell</w:t>
            </w:r>
          </w:p>
        </w:tc>
        <w:tc>
          <w:tcPr>
            <w:tcW w:w="3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3200" w:type="dxa"/>
            <w:vAlign w:val="bottom"/>
          </w:tcPr>
          <w:p>
            <w:pPr>
              <w:spacing w:after="0"/>
              <w:rPr>
                <w:sz w:val="20"/>
                <w:szCs w:val="20"/>
                <w:color w:val="auto"/>
              </w:rPr>
            </w:pPr>
          </w:p>
        </w:tc>
        <w:tc>
          <w:tcPr>
            <w:tcW w:w="3180" w:type="dxa"/>
            <w:vAlign w:val="bottom"/>
            <w:vMerge w:val="continue"/>
          </w:tcPr>
          <w:p>
            <w:pPr>
              <w:spacing w:after="0"/>
              <w:rPr>
                <w:sz w:val="20"/>
                <w:szCs w:val="20"/>
                <w:color w:val="auto"/>
              </w:rPr>
            </w:pP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3200" w:type="dxa"/>
            <w:vAlign w:val="bottom"/>
          </w:tcPr>
          <w:p>
            <w:pPr>
              <w:jc w:val="center"/>
              <w:spacing w:after="0"/>
              <w:rPr>
                <w:sz w:val="20"/>
                <w:szCs w:val="20"/>
                <w:color w:val="auto"/>
              </w:rPr>
            </w:pPr>
            <w:r>
              <w:rPr>
                <w:rFonts w:ascii="Arial" w:cs="Arial" w:eastAsia="Arial" w:hAnsi="Arial"/>
                <w:sz w:val="21"/>
                <w:szCs w:val="21"/>
                <w:b w:val="1"/>
                <w:bCs w:val="1"/>
                <w:color w:val="auto"/>
                <w:w w:val="87"/>
              </w:rPr>
              <w:t>Renee Gaeta</w:t>
            </w:r>
          </w:p>
        </w:tc>
        <w:tc>
          <w:tcPr>
            <w:tcW w:w="3180" w:type="dxa"/>
            <w:vAlign w:val="bottom"/>
          </w:tcPr>
          <w:p>
            <w:pPr>
              <w:jc w:val="center"/>
              <w:spacing w:after="0"/>
              <w:rPr>
                <w:sz w:val="20"/>
                <w:szCs w:val="20"/>
                <w:color w:val="auto"/>
              </w:rPr>
            </w:pPr>
            <w:r>
              <w:rPr>
                <w:rFonts w:ascii="Arial" w:cs="Arial" w:eastAsia="Arial" w:hAnsi="Arial"/>
                <w:sz w:val="21"/>
                <w:szCs w:val="21"/>
                <w:b w:val="1"/>
                <w:bCs w:val="1"/>
                <w:color w:val="auto"/>
                <w:w w:val="83"/>
              </w:rPr>
              <w:t>Biotech Advisor</w:t>
            </w:r>
          </w:p>
        </w:tc>
        <w:tc>
          <w:tcPr>
            <w:tcW w:w="3060" w:type="dxa"/>
            <w:vAlign w:val="bottom"/>
          </w:tcPr>
          <w:p>
            <w:pPr>
              <w:jc w:val="center"/>
              <w:ind w:right="95"/>
              <w:spacing w:after="0"/>
              <w:rPr>
                <w:sz w:val="20"/>
                <w:szCs w:val="20"/>
                <w:color w:val="auto"/>
              </w:rPr>
            </w:pPr>
            <w:r>
              <w:rPr>
                <w:rFonts w:ascii="Arial" w:cs="Arial" w:eastAsia="Arial" w:hAnsi="Arial"/>
                <w:sz w:val="21"/>
                <w:szCs w:val="21"/>
                <w:b w:val="1"/>
                <w:bCs w:val="1"/>
                <w:color w:val="auto"/>
                <w:w w:val="84"/>
              </w:rPr>
              <w:t>Estuardo Aguilar-Cordova</w:t>
            </w:r>
          </w:p>
        </w:tc>
        <w:tc>
          <w:tcPr>
            <w:tcW w:w="0" w:type="dxa"/>
            <w:vAlign w:val="bottom"/>
          </w:tcPr>
          <w:p>
            <w:pPr>
              <w:spacing w:after="0"/>
              <w:rPr>
                <w:sz w:val="1"/>
                <w:szCs w:val="1"/>
                <w:color w:val="auto"/>
              </w:rPr>
            </w:pPr>
          </w:p>
        </w:tc>
      </w:tr>
      <w:tr>
        <w:trPr>
          <w:trHeight w:val="238"/>
        </w:trPr>
        <w:tc>
          <w:tcPr>
            <w:tcW w:w="3200" w:type="dxa"/>
            <w:vAlign w:val="bottom"/>
          </w:tcPr>
          <w:p>
            <w:pPr>
              <w:ind w:left="660"/>
              <w:spacing w:after="0" w:line="238" w:lineRule="exact"/>
              <w:rPr>
                <w:sz w:val="20"/>
                <w:szCs w:val="20"/>
                <w:color w:val="auto"/>
              </w:rPr>
            </w:pPr>
            <w:r>
              <w:rPr>
                <w:rFonts w:ascii="Arial" w:cs="Arial" w:eastAsia="Arial" w:hAnsi="Arial"/>
                <w:sz w:val="21"/>
                <w:szCs w:val="21"/>
                <w:b w:val="1"/>
                <w:bCs w:val="1"/>
                <w:color w:val="auto"/>
              </w:rPr>
              <w:t>Chief Financial Officer</w:t>
            </w:r>
          </w:p>
        </w:tc>
        <w:tc>
          <w:tcPr>
            <w:tcW w:w="3180" w:type="dxa"/>
            <w:vAlign w:val="bottom"/>
            <w:vMerge w:val="restart"/>
          </w:tcPr>
          <w:p>
            <w:pPr>
              <w:jc w:val="center"/>
              <w:spacing w:after="0"/>
              <w:rPr>
                <w:sz w:val="20"/>
                <w:szCs w:val="20"/>
                <w:color w:val="auto"/>
              </w:rPr>
            </w:pPr>
            <w:r>
              <w:rPr>
                <w:rFonts w:ascii="Calibri" w:cs="Calibri" w:eastAsia="Calibri" w:hAnsi="Calibri"/>
                <w:sz w:val="21"/>
                <w:szCs w:val="21"/>
                <w:b w:val="1"/>
                <w:bCs w:val="1"/>
                <w:color w:val="auto"/>
              </w:rPr>
              <w:t>Nicoletta Loggia</w:t>
            </w:r>
          </w:p>
        </w:tc>
        <w:tc>
          <w:tcPr>
            <w:tcW w:w="3060" w:type="dxa"/>
            <w:vAlign w:val="bottom"/>
          </w:tcPr>
          <w:p>
            <w:pPr>
              <w:jc w:val="center"/>
              <w:ind w:right="55"/>
              <w:spacing w:after="0" w:line="238" w:lineRule="exact"/>
              <w:rPr>
                <w:sz w:val="20"/>
                <w:szCs w:val="20"/>
                <w:color w:val="auto"/>
              </w:rPr>
            </w:pPr>
            <w:r>
              <w:rPr>
                <w:rFonts w:ascii="Arial" w:cs="Arial" w:eastAsia="Arial" w:hAnsi="Arial"/>
                <w:sz w:val="21"/>
                <w:szCs w:val="21"/>
                <w:b w:val="1"/>
                <w:bCs w:val="1"/>
                <w:color w:val="auto"/>
                <w:w w:val="84"/>
              </w:rPr>
              <w:t>Founder and Former</w:t>
            </w:r>
          </w:p>
        </w:tc>
        <w:tc>
          <w:tcPr>
            <w:tcW w:w="0" w:type="dxa"/>
            <w:vAlign w:val="bottom"/>
          </w:tcPr>
          <w:p>
            <w:pPr>
              <w:spacing w:after="0"/>
              <w:rPr>
                <w:sz w:val="1"/>
                <w:szCs w:val="1"/>
                <w:color w:val="auto"/>
              </w:rPr>
            </w:pPr>
          </w:p>
        </w:tc>
      </w:tr>
      <w:tr>
        <w:trPr>
          <w:trHeight w:val="241"/>
        </w:trPr>
        <w:tc>
          <w:tcPr>
            <w:tcW w:w="3200" w:type="dxa"/>
            <w:vAlign w:val="bottom"/>
          </w:tcPr>
          <w:p>
            <w:pPr>
              <w:jc w:val="center"/>
              <w:spacing w:after="0" w:line="241" w:lineRule="exact"/>
              <w:rPr>
                <w:sz w:val="20"/>
                <w:szCs w:val="20"/>
                <w:color w:val="auto"/>
              </w:rPr>
            </w:pPr>
            <w:r>
              <w:rPr>
                <w:rFonts w:ascii="Arial" w:cs="Arial" w:eastAsia="Arial" w:hAnsi="Arial"/>
                <w:sz w:val="21"/>
                <w:szCs w:val="21"/>
                <w:b w:val="1"/>
                <w:bCs w:val="1"/>
                <w:color w:val="auto"/>
                <w:w w:val="98"/>
              </w:rPr>
              <w:t xml:space="preserve">of </w:t>
            </w:r>
            <w:r>
              <w:rPr>
                <w:rFonts w:ascii="Calibri" w:cs="Calibri" w:eastAsia="Calibri" w:hAnsi="Calibri"/>
                <w:sz w:val="21"/>
                <w:szCs w:val="21"/>
                <w:color w:val="auto"/>
                <w:w w:val="98"/>
              </w:rPr>
              <w:t>Shockwave Medical</w:t>
            </w:r>
          </w:p>
        </w:tc>
        <w:tc>
          <w:tcPr>
            <w:tcW w:w="3180" w:type="dxa"/>
            <w:vAlign w:val="bottom"/>
            <w:vMerge w:val="continue"/>
          </w:tcPr>
          <w:p>
            <w:pPr>
              <w:spacing w:after="0"/>
              <w:rPr>
                <w:sz w:val="20"/>
                <w:szCs w:val="20"/>
                <w:color w:val="auto"/>
              </w:rPr>
            </w:pPr>
          </w:p>
        </w:tc>
        <w:tc>
          <w:tcPr>
            <w:tcW w:w="3060" w:type="dxa"/>
            <w:vAlign w:val="bottom"/>
          </w:tcPr>
          <w:p>
            <w:pPr>
              <w:jc w:val="center"/>
              <w:ind w:right="35"/>
              <w:spacing w:after="0"/>
              <w:rPr>
                <w:sz w:val="20"/>
                <w:szCs w:val="20"/>
                <w:color w:val="auto"/>
              </w:rPr>
            </w:pPr>
            <w:r>
              <w:rPr>
                <w:rFonts w:ascii="Arial" w:cs="Arial" w:eastAsia="Arial" w:hAnsi="Arial"/>
                <w:sz w:val="21"/>
                <w:szCs w:val="21"/>
                <w:b w:val="1"/>
                <w:bCs w:val="1"/>
                <w:color w:val="auto"/>
                <w:w w:val="83"/>
              </w:rPr>
              <w:t>Chief Executive Officer</w:t>
            </w:r>
          </w:p>
        </w:tc>
        <w:tc>
          <w:tcPr>
            <w:tcW w:w="0" w:type="dxa"/>
            <w:vAlign w:val="bottom"/>
          </w:tcPr>
          <w:p>
            <w:pPr>
              <w:spacing w:after="0"/>
              <w:rPr>
                <w:sz w:val="1"/>
                <w:szCs w:val="1"/>
                <w:color w:val="auto"/>
              </w:rPr>
            </w:pPr>
          </w:p>
        </w:tc>
      </w:tr>
      <w:tr>
        <w:trPr>
          <w:trHeight w:val="254"/>
        </w:trPr>
        <w:tc>
          <w:tcPr>
            <w:tcW w:w="3200" w:type="dxa"/>
            <w:vAlign w:val="bottom"/>
          </w:tcPr>
          <w:p>
            <w:pPr>
              <w:spacing w:after="0"/>
              <w:rPr>
                <w:sz w:val="22"/>
                <w:szCs w:val="22"/>
                <w:color w:val="auto"/>
              </w:rPr>
            </w:pPr>
          </w:p>
        </w:tc>
        <w:tc>
          <w:tcPr>
            <w:tcW w:w="3180" w:type="dxa"/>
            <w:vAlign w:val="bottom"/>
          </w:tcPr>
          <w:p>
            <w:pPr>
              <w:jc w:val="center"/>
              <w:spacing w:after="0" w:line="255" w:lineRule="exact"/>
              <w:rPr>
                <w:sz w:val="20"/>
                <w:szCs w:val="20"/>
                <w:color w:val="auto"/>
              </w:rPr>
            </w:pPr>
            <w:r>
              <w:rPr>
                <w:rFonts w:ascii="Calibri" w:cs="Calibri" w:eastAsia="Calibri" w:hAnsi="Calibri"/>
                <w:sz w:val="21"/>
                <w:szCs w:val="21"/>
                <w:color w:val="auto"/>
              </w:rPr>
              <w:t>Chief Technical Officer</w:t>
            </w:r>
          </w:p>
        </w:tc>
        <w:tc>
          <w:tcPr>
            <w:tcW w:w="3060" w:type="dxa"/>
            <w:vAlign w:val="bottom"/>
          </w:tcPr>
          <w:p>
            <w:pPr>
              <w:jc w:val="center"/>
              <w:spacing w:after="0"/>
              <w:rPr>
                <w:sz w:val="20"/>
                <w:szCs w:val="20"/>
                <w:color w:val="auto"/>
              </w:rPr>
            </w:pPr>
            <w:r>
              <w:rPr>
                <w:rFonts w:ascii="Arial" w:cs="Arial" w:eastAsia="Arial" w:hAnsi="Arial"/>
                <w:sz w:val="21"/>
                <w:szCs w:val="21"/>
                <w:b w:val="1"/>
                <w:bCs w:val="1"/>
                <w:color w:val="auto"/>
                <w:w w:val="84"/>
              </w:rPr>
              <w:t>of Candel Therapeutics</w:t>
            </w:r>
          </w:p>
        </w:tc>
        <w:tc>
          <w:tcPr>
            <w:tcW w:w="0" w:type="dxa"/>
            <w:vAlign w:val="bottom"/>
          </w:tcPr>
          <w:p>
            <w:pPr>
              <w:spacing w:after="0"/>
              <w:rPr>
                <w:sz w:val="1"/>
                <w:szCs w:val="1"/>
                <w:color w:val="auto"/>
              </w:rPr>
            </w:pPr>
          </w:p>
        </w:tc>
      </w:tr>
      <w:tr>
        <w:trPr>
          <w:trHeight w:val="280"/>
        </w:trPr>
        <w:tc>
          <w:tcPr>
            <w:tcW w:w="3200" w:type="dxa"/>
            <w:vAlign w:val="bottom"/>
          </w:tcPr>
          <w:p>
            <w:pPr>
              <w:spacing w:after="0"/>
              <w:rPr>
                <w:sz w:val="24"/>
                <w:szCs w:val="24"/>
                <w:color w:val="auto"/>
              </w:rPr>
            </w:pPr>
          </w:p>
        </w:tc>
        <w:tc>
          <w:tcPr>
            <w:tcW w:w="3180" w:type="dxa"/>
            <w:vAlign w:val="bottom"/>
          </w:tcPr>
          <w:p>
            <w:pPr>
              <w:jc w:val="center"/>
              <w:ind w:right="34"/>
              <w:spacing w:after="0"/>
              <w:rPr>
                <w:sz w:val="20"/>
                <w:szCs w:val="20"/>
                <w:color w:val="auto"/>
              </w:rPr>
            </w:pPr>
            <w:r>
              <w:rPr>
                <w:rFonts w:ascii="Calibri" w:cs="Calibri" w:eastAsia="Calibri" w:hAnsi="Calibri"/>
                <w:sz w:val="21"/>
                <w:szCs w:val="21"/>
                <w:color w:val="auto"/>
              </w:rPr>
              <w:t>of Orchard Therapeutics</w:t>
            </w: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3200" w:type="dxa"/>
            <w:vAlign w:val="bottom"/>
          </w:tcPr>
          <w:p>
            <w:pPr>
              <w:ind w:left="1080"/>
              <w:spacing w:after="0"/>
              <w:rPr>
                <w:sz w:val="20"/>
                <w:szCs w:val="20"/>
                <w:color w:val="auto"/>
              </w:rPr>
            </w:pPr>
            <w:r>
              <w:rPr>
                <w:rFonts w:ascii="Arial" w:cs="Arial" w:eastAsia="Arial" w:hAnsi="Arial"/>
                <w:sz w:val="21"/>
                <w:szCs w:val="21"/>
                <w:b w:val="1"/>
                <w:bCs w:val="1"/>
                <w:color w:val="auto"/>
              </w:rPr>
              <w:t>Joseph Papa</w:t>
            </w:r>
          </w:p>
        </w:tc>
        <w:tc>
          <w:tcPr>
            <w:tcW w:w="3180" w:type="dxa"/>
            <w:vAlign w:val="bottom"/>
          </w:tcPr>
          <w:p>
            <w:pPr>
              <w:spacing w:after="0"/>
              <w:rPr>
                <w:sz w:val="21"/>
                <w:szCs w:val="21"/>
                <w:color w:val="auto"/>
              </w:rPr>
            </w:pPr>
          </w:p>
        </w:tc>
        <w:tc>
          <w:tcPr>
            <w:tcW w:w="3060" w:type="dxa"/>
            <w:vAlign w:val="bottom"/>
          </w:tcPr>
          <w:p>
            <w:pPr>
              <w:ind w:left="880"/>
              <w:spacing w:after="0"/>
              <w:rPr>
                <w:sz w:val="20"/>
                <w:szCs w:val="20"/>
                <w:color w:val="auto"/>
              </w:rPr>
            </w:pPr>
            <w:r>
              <w:rPr>
                <w:rFonts w:ascii="Arial" w:cs="Arial" w:eastAsia="Arial" w:hAnsi="Arial"/>
                <w:sz w:val="21"/>
                <w:szCs w:val="21"/>
                <w:b w:val="1"/>
                <w:bCs w:val="1"/>
                <w:color w:val="auto"/>
              </w:rPr>
              <w:t>Gary Nabel</w:t>
            </w:r>
          </w:p>
        </w:tc>
        <w:tc>
          <w:tcPr>
            <w:tcW w:w="0" w:type="dxa"/>
            <w:vAlign w:val="bottom"/>
          </w:tcPr>
          <w:p>
            <w:pPr>
              <w:spacing w:after="0"/>
              <w:rPr>
                <w:sz w:val="1"/>
                <w:szCs w:val="1"/>
                <w:color w:val="auto"/>
              </w:rPr>
            </w:pPr>
          </w:p>
        </w:tc>
      </w:tr>
      <w:tr>
        <w:trPr>
          <w:trHeight w:val="256"/>
        </w:trPr>
        <w:tc>
          <w:tcPr>
            <w:tcW w:w="3200" w:type="dxa"/>
            <w:vAlign w:val="bottom"/>
          </w:tcPr>
          <w:p>
            <w:pPr>
              <w:ind w:left="660"/>
              <w:spacing w:after="0"/>
              <w:rPr>
                <w:sz w:val="20"/>
                <w:szCs w:val="20"/>
                <w:color w:val="auto"/>
              </w:rPr>
            </w:pPr>
            <w:r>
              <w:rPr>
                <w:rFonts w:ascii="Calibri" w:cs="Calibri" w:eastAsia="Calibri" w:hAnsi="Calibri"/>
                <w:sz w:val="21"/>
                <w:szCs w:val="21"/>
                <w:color w:val="auto"/>
              </w:rPr>
              <w:t>C</w:t>
            </w:r>
            <w:r>
              <w:rPr>
                <w:rFonts w:ascii="Arial" w:cs="Arial" w:eastAsia="Arial" w:hAnsi="Arial"/>
                <w:sz w:val="21"/>
                <w:szCs w:val="21"/>
                <w:b w:val="1"/>
                <w:bCs w:val="1"/>
                <w:color w:val="auto"/>
              </w:rPr>
              <w:t>hief Executive Officer</w:t>
            </w:r>
          </w:p>
        </w:tc>
        <w:tc>
          <w:tcPr>
            <w:tcW w:w="3180" w:type="dxa"/>
            <w:vAlign w:val="bottom"/>
          </w:tcPr>
          <w:p>
            <w:pPr>
              <w:jc w:val="center"/>
              <w:ind w:right="14"/>
              <w:spacing w:after="0"/>
              <w:rPr>
                <w:sz w:val="20"/>
                <w:szCs w:val="20"/>
                <w:color w:val="auto"/>
              </w:rPr>
            </w:pPr>
            <w:r>
              <w:rPr>
                <w:rFonts w:ascii="Arial" w:cs="Arial" w:eastAsia="Arial" w:hAnsi="Arial"/>
                <w:sz w:val="21"/>
                <w:szCs w:val="21"/>
                <w:b w:val="1"/>
                <w:bCs w:val="1"/>
                <w:color w:val="auto"/>
                <w:w w:val="86"/>
              </w:rPr>
              <w:t>Edward Benz</w:t>
            </w:r>
          </w:p>
        </w:tc>
        <w:tc>
          <w:tcPr>
            <w:tcW w:w="3060" w:type="dxa"/>
            <w:vAlign w:val="bottom"/>
          </w:tcPr>
          <w:p>
            <w:pPr>
              <w:jc w:val="center"/>
              <w:ind w:right="55"/>
              <w:spacing w:after="0"/>
              <w:rPr>
                <w:sz w:val="20"/>
                <w:szCs w:val="20"/>
                <w:color w:val="auto"/>
              </w:rPr>
            </w:pPr>
            <w:r>
              <w:rPr>
                <w:rFonts w:ascii="Arial" w:cs="Arial" w:eastAsia="Arial" w:hAnsi="Arial"/>
                <w:sz w:val="21"/>
                <w:szCs w:val="21"/>
                <w:b w:val="1"/>
                <w:bCs w:val="1"/>
                <w:color w:val="auto"/>
                <w:w w:val="85"/>
              </w:rPr>
              <w:t>Chief Innovation Officer of</w:t>
            </w:r>
          </w:p>
        </w:tc>
        <w:tc>
          <w:tcPr>
            <w:tcW w:w="0" w:type="dxa"/>
            <w:vAlign w:val="bottom"/>
          </w:tcPr>
          <w:p>
            <w:pPr>
              <w:spacing w:after="0"/>
              <w:rPr>
                <w:sz w:val="1"/>
                <w:szCs w:val="1"/>
                <w:color w:val="auto"/>
              </w:rPr>
            </w:pPr>
          </w:p>
        </w:tc>
      </w:tr>
      <w:tr>
        <w:trPr>
          <w:trHeight w:val="267"/>
        </w:trPr>
        <w:tc>
          <w:tcPr>
            <w:tcW w:w="3200" w:type="dxa"/>
            <w:vAlign w:val="bottom"/>
          </w:tcPr>
          <w:p>
            <w:pPr>
              <w:jc w:val="center"/>
              <w:spacing w:after="0"/>
              <w:rPr>
                <w:sz w:val="20"/>
                <w:szCs w:val="20"/>
                <w:color w:val="auto"/>
              </w:rPr>
            </w:pPr>
            <w:r>
              <w:rPr>
                <w:rFonts w:ascii="Arial" w:cs="Arial" w:eastAsia="Arial" w:hAnsi="Arial"/>
                <w:sz w:val="21"/>
                <w:szCs w:val="21"/>
                <w:b w:val="1"/>
                <w:bCs w:val="1"/>
                <w:color w:val="auto"/>
                <w:w w:val="99"/>
              </w:rPr>
              <w:t xml:space="preserve">of </w:t>
            </w:r>
            <w:r>
              <w:rPr>
                <w:rFonts w:ascii="Calibri" w:cs="Calibri" w:eastAsia="Calibri" w:hAnsi="Calibri"/>
                <w:sz w:val="21"/>
                <w:szCs w:val="21"/>
                <w:color w:val="auto"/>
                <w:w w:val="99"/>
              </w:rPr>
              <w:t>Emergent BioSolutions</w:t>
            </w:r>
          </w:p>
        </w:tc>
        <w:tc>
          <w:tcPr>
            <w:tcW w:w="3180" w:type="dxa"/>
            <w:vAlign w:val="bottom"/>
          </w:tcPr>
          <w:p>
            <w:pPr>
              <w:jc w:val="center"/>
              <w:ind w:right="14"/>
              <w:spacing w:after="0"/>
              <w:rPr>
                <w:sz w:val="20"/>
                <w:szCs w:val="20"/>
                <w:color w:val="auto"/>
              </w:rPr>
            </w:pPr>
            <w:r>
              <w:rPr>
                <w:rFonts w:ascii="Arial" w:cs="Arial" w:eastAsia="Arial" w:hAnsi="Arial"/>
                <w:sz w:val="21"/>
                <w:szCs w:val="21"/>
                <w:b w:val="1"/>
                <w:bCs w:val="1"/>
                <w:color w:val="auto"/>
                <w:w w:val="84"/>
              </w:rPr>
              <w:t>President and Chief</w:t>
            </w:r>
          </w:p>
        </w:tc>
        <w:tc>
          <w:tcPr>
            <w:tcW w:w="3060" w:type="dxa"/>
            <w:vAlign w:val="bottom"/>
          </w:tcPr>
          <w:p>
            <w:pPr>
              <w:ind w:left="340"/>
              <w:spacing w:after="0"/>
              <w:rPr>
                <w:sz w:val="20"/>
                <w:szCs w:val="20"/>
                <w:color w:val="auto"/>
              </w:rPr>
            </w:pPr>
            <w:r>
              <w:rPr>
                <w:rFonts w:ascii="Arial" w:cs="Arial" w:eastAsia="Arial" w:hAnsi="Arial"/>
                <w:sz w:val="21"/>
                <w:szCs w:val="21"/>
                <w:b w:val="1"/>
                <w:bCs w:val="1"/>
                <w:color w:val="auto"/>
                <w:w w:val="97"/>
              </w:rPr>
              <w:t>OPKO and President / Chief</w:t>
            </w:r>
          </w:p>
        </w:tc>
        <w:tc>
          <w:tcPr>
            <w:tcW w:w="0" w:type="dxa"/>
            <w:vAlign w:val="bottom"/>
          </w:tcPr>
          <w:p>
            <w:pPr>
              <w:spacing w:after="0"/>
              <w:rPr>
                <w:sz w:val="1"/>
                <w:szCs w:val="1"/>
                <w:color w:val="auto"/>
              </w:rPr>
            </w:pPr>
          </w:p>
        </w:tc>
      </w:tr>
      <w:tr>
        <w:trPr>
          <w:trHeight w:val="256"/>
        </w:trPr>
        <w:tc>
          <w:tcPr>
            <w:tcW w:w="3200" w:type="dxa"/>
            <w:vAlign w:val="bottom"/>
          </w:tcPr>
          <w:p>
            <w:pPr>
              <w:spacing w:after="0"/>
              <w:rPr>
                <w:sz w:val="22"/>
                <w:szCs w:val="22"/>
                <w:color w:val="auto"/>
              </w:rPr>
            </w:pPr>
          </w:p>
        </w:tc>
        <w:tc>
          <w:tcPr>
            <w:tcW w:w="3180" w:type="dxa"/>
            <w:vAlign w:val="bottom"/>
          </w:tcPr>
          <w:p>
            <w:pPr>
              <w:ind w:left="400"/>
              <w:spacing w:after="0"/>
              <w:rPr>
                <w:sz w:val="20"/>
                <w:szCs w:val="20"/>
                <w:color w:val="auto"/>
              </w:rPr>
            </w:pPr>
            <w:r>
              <w:rPr>
                <w:rFonts w:ascii="Arial" w:cs="Arial" w:eastAsia="Arial" w:hAnsi="Arial"/>
                <w:sz w:val="21"/>
                <w:szCs w:val="21"/>
                <w:b w:val="1"/>
                <w:bCs w:val="1"/>
                <w:color w:val="auto"/>
                <w:w w:val="94"/>
              </w:rPr>
              <w:t>Executive Officer Emeritus of</w:t>
            </w:r>
          </w:p>
        </w:tc>
        <w:tc>
          <w:tcPr>
            <w:tcW w:w="3060" w:type="dxa"/>
            <w:vAlign w:val="bottom"/>
          </w:tcPr>
          <w:p>
            <w:pPr>
              <w:ind w:left="420"/>
              <w:spacing w:after="0"/>
              <w:rPr>
                <w:sz w:val="20"/>
                <w:szCs w:val="20"/>
                <w:color w:val="auto"/>
              </w:rPr>
            </w:pPr>
            <w:r>
              <w:rPr>
                <w:rFonts w:ascii="Arial" w:cs="Arial" w:eastAsia="Arial" w:hAnsi="Arial"/>
                <w:sz w:val="21"/>
                <w:szCs w:val="21"/>
                <w:b w:val="1"/>
                <w:bCs w:val="1"/>
                <w:color w:val="auto"/>
                <w:w w:val="96"/>
              </w:rPr>
              <w:t>Executive Officer of ModeX</w:t>
            </w:r>
          </w:p>
        </w:tc>
        <w:tc>
          <w:tcPr>
            <w:tcW w:w="0" w:type="dxa"/>
            <w:vAlign w:val="bottom"/>
          </w:tcPr>
          <w:p>
            <w:pPr>
              <w:spacing w:after="0"/>
              <w:rPr>
                <w:sz w:val="1"/>
                <w:szCs w:val="1"/>
                <w:color w:val="auto"/>
              </w:rPr>
            </w:pPr>
          </w:p>
        </w:tc>
      </w:tr>
      <w:tr>
        <w:trPr>
          <w:trHeight w:val="265"/>
        </w:trPr>
        <w:tc>
          <w:tcPr>
            <w:tcW w:w="3200" w:type="dxa"/>
            <w:vAlign w:val="bottom"/>
          </w:tcPr>
          <w:p>
            <w:pPr>
              <w:spacing w:after="0"/>
              <w:rPr>
                <w:sz w:val="23"/>
                <w:szCs w:val="23"/>
                <w:color w:val="auto"/>
              </w:rPr>
            </w:pPr>
          </w:p>
        </w:tc>
        <w:tc>
          <w:tcPr>
            <w:tcW w:w="3180" w:type="dxa"/>
            <w:vAlign w:val="bottom"/>
          </w:tcPr>
          <w:p>
            <w:pPr>
              <w:ind w:left="380"/>
              <w:spacing w:after="0"/>
              <w:rPr>
                <w:sz w:val="20"/>
                <w:szCs w:val="20"/>
                <w:color w:val="auto"/>
              </w:rPr>
            </w:pPr>
            <w:r>
              <w:rPr>
                <w:rFonts w:ascii="Arial" w:cs="Arial" w:eastAsia="Arial" w:hAnsi="Arial"/>
                <w:sz w:val="21"/>
                <w:szCs w:val="21"/>
                <w:b w:val="1"/>
                <w:bCs w:val="1"/>
                <w:color w:val="auto"/>
                <w:w w:val="96"/>
              </w:rPr>
              <w:t>Dana Farber Cancer Institute</w:t>
            </w:r>
          </w:p>
        </w:tc>
        <w:tc>
          <w:tcPr>
            <w:tcW w:w="3060" w:type="dxa"/>
            <w:vAlign w:val="bottom"/>
          </w:tcPr>
          <w:p>
            <w:pPr>
              <w:ind w:left="740"/>
              <w:spacing w:after="0"/>
              <w:rPr>
                <w:sz w:val="20"/>
                <w:szCs w:val="20"/>
                <w:color w:val="auto"/>
              </w:rPr>
            </w:pPr>
            <w:r>
              <w:rPr>
                <w:rFonts w:ascii="Arial" w:cs="Arial" w:eastAsia="Arial" w:hAnsi="Arial"/>
                <w:sz w:val="21"/>
                <w:szCs w:val="21"/>
                <w:b w:val="1"/>
                <w:bCs w:val="1"/>
                <w:color w:val="auto"/>
              </w:rPr>
              <w:t>Therapeutics</w:t>
            </w:r>
          </w:p>
        </w:tc>
        <w:tc>
          <w:tcPr>
            <w:tcW w:w="0" w:type="dxa"/>
            <w:vAlign w:val="bottom"/>
          </w:tcPr>
          <w:p>
            <w:pPr>
              <w:spacing w:after="0"/>
              <w:rPr>
                <w:sz w:val="1"/>
                <w:szCs w:val="1"/>
                <w:color w:val="auto"/>
              </w:rPr>
            </w:pPr>
          </w:p>
        </w:tc>
      </w:tr>
      <w:tr>
        <w:trPr>
          <w:trHeight w:val="824"/>
        </w:trPr>
        <w:tc>
          <w:tcPr>
            <w:tcW w:w="32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ind w:left="100"/>
              <w:spacing w:after="0"/>
              <w:rPr>
                <w:sz w:val="20"/>
                <w:szCs w:val="20"/>
                <w:color w:val="auto"/>
              </w:rPr>
            </w:pPr>
            <w:r>
              <w:rPr>
                <w:rFonts w:ascii="Arial" w:cs="Arial" w:eastAsia="Arial" w:hAnsi="Arial"/>
                <w:sz w:val="24"/>
                <w:szCs w:val="24"/>
                <w:b w:val="1"/>
                <w:bCs w:val="1"/>
                <w:color w:val="2B2B2C"/>
                <w:w w:val="92"/>
              </w:rPr>
              <w:t>CORPORATE INFORMATION</w:t>
            </w:r>
          </w:p>
        </w:tc>
        <w:tc>
          <w:tcPr>
            <w:tcW w:w="3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35"/>
        </w:trPr>
        <w:tc>
          <w:tcPr>
            <w:tcW w:w="3200" w:type="dxa"/>
            <w:vAlign w:val="bottom"/>
          </w:tcPr>
          <w:p>
            <w:pPr>
              <w:spacing w:after="0"/>
              <w:rPr>
                <w:sz w:val="24"/>
                <w:szCs w:val="24"/>
                <w:color w:val="auto"/>
              </w:rPr>
            </w:pPr>
          </w:p>
        </w:tc>
        <w:tc>
          <w:tcPr>
            <w:tcW w:w="3180" w:type="dxa"/>
            <w:vAlign w:val="bottom"/>
          </w:tcPr>
          <w:p>
            <w:pPr>
              <w:ind w:left="380"/>
              <w:spacing w:after="0"/>
              <w:rPr>
                <w:sz w:val="20"/>
                <w:szCs w:val="20"/>
                <w:color w:val="auto"/>
              </w:rPr>
            </w:pPr>
            <w:r>
              <w:rPr>
                <w:rFonts w:ascii="Arial" w:cs="Arial" w:eastAsia="Arial" w:hAnsi="Arial"/>
                <w:sz w:val="21"/>
                <w:szCs w:val="21"/>
                <w:b w:val="1"/>
                <w:bCs w:val="1"/>
                <w:color w:val="auto"/>
              </w:rPr>
              <w:t>Corporate Headquarters</w:t>
            </w: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200" w:type="dxa"/>
            <w:vAlign w:val="bottom"/>
          </w:tcPr>
          <w:p>
            <w:pPr>
              <w:spacing w:after="0"/>
              <w:rPr>
                <w:sz w:val="22"/>
                <w:szCs w:val="22"/>
                <w:color w:val="auto"/>
              </w:rPr>
            </w:pPr>
          </w:p>
        </w:tc>
        <w:tc>
          <w:tcPr>
            <w:tcW w:w="3180" w:type="dxa"/>
            <w:vAlign w:val="bottom"/>
          </w:tcPr>
          <w:p>
            <w:pPr>
              <w:jc w:val="center"/>
              <w:ind w:right="174"/>
              <w:spacing w:after="0"/>
              <w:rPr>
                <w:sz w:val="20"/>
                <w:szCs w:val="20"/>
                <w:color w:val="auto"/>
              </w:rPr>
            </w:pPr>
            <w:r>
              <w:rPr>
                <w:rFonts w:ascii="Arial" w:cs="Arial" w:eastAsia="Arial" w:hAnsi="Arial"/>
                <w:sz w:val="21"/>
                <w:szCs w:val="21"/>
                <w:b w:val="1"/>
                <w:bCs w:val="1"/>
                <w:color w:val="auto"/>
                <w:w w:val="84"/>
              </w:rPr>
              <w:t>117 Kendrick St, Suite 450</w:t>
            </w:r>
          </w:p>
        </w:tc>
        <w:tc>
          <w:tcPr>
            <w:tcW w:w="3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200" w:type="dxa"/>
            <w:vAlign w:val="bottom"/>
          </w:tcPr>
          <w:p>
            <w:pPr>
              <w:spacing w:after="0"/>
              <w:rPr>
                <w:sz w:val="22"/>
                <w:szCs w:val="22"/>
                <w:color w:val="auto"/>
              </w:rPr>
            </w:pPr>
          </w:p>
        </w:tc>
        <w:tc>
          <w:tcPr>
            <w:tcW w:w="3180" w:type="dxa"/>
            <w:vAlign w:val="bottom"/>
          </w:tcPr>
          <w:p>
            <w:pPr>
              <w:jc w:val="center"/>
              <w:ind w:right="174"/>
              <w:spacing w:after="0"/>
              <w:rPr>
                <w:sz w:val="20"/>
                <w:szCs w:val="20"/>
                <w:color w:val="auto"/>
              </w:rPr>
            </w:pPr>
            <w:r>
              <w:rPr>
                <w:rFonts w:ascii="Arial" w:cs="Arial" w:eastAsia="Arial" w:hAnsi="Arial"/>
                <w:sz w:val="21"/>
                <w:szCs w:val="21"/>
                <w:b w:val="1"/>
                <w:bCs w:val="1"/>
                <w:color w:val="auto"/>
                <w:w w:val="89"/>
              </w:rPr>
              <w:t>Needham, MA 02494</w:t>
            </w:r>
          </w:p>
        </w:tc>
        <w:tc>
          <w:tcPr>
            <w:tcW w:w="30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1" w:lineRule="exact"/>
        <w:rPr>
          <w:sz w:val="20"/>
          <w:szCs w:val="20"/>
          <w:color w:val="auto"/>
        </w:rPr>
      </w:pPr>
    </w:p>
    <w:p>
      <w:pPr>
        <w:jc w:val="center"/>
        <w:ind w:right="140"/>
        <w:spacing w:after="0"/>
        <w:rPr>
          <w:sz w:val="20"/>
          <w:szCs w:val="20"/>
          <w:color w:val="auto"/>
        </w:rPr>
      </w:pPr>
      <w:r>
        <w:rPr>
          <w:rFonts w:ascii="Arial" w:cs="Arial" w:eastAsia="Arial" w:hAnsi="Arial"/>
          <w:sz w:val="21"/>
          <w:szCs w:val="21"/>
          <w:b w:val="1"/>
          <w:bCs w:val="1"/>
          <w:color w:val="auto"/>
        </w:rPr>
        <w:t>Independent Registered Accounting Public Accounting Firm</w:t>
      </w:r>
    </w:p>
    <w:p>
      <w:pPr>
        <w:spacing w:after="0" w:line="15" w:lineRule="exact"/>
        <w:rPr>
          <w:sz w:val="20"/>
          <w:szCs w:val="20"/>
          <w:color w:val="auto"/>
        </w:rPr>
      </w:pPr>
    </w:p>
    <w:p>
      <w:pPr>
        <w:jc w:val="center"/>
        <w:ind w:right="140"/>
        <w:spacing w:after="0"/>
        <w:rPr>
          <w:sz w:val="20"/>
          <w:szCs w:val="20"/>
          <w:color w:val="auto"/>
        </w:rPr>
      </w:pPr>
      <w:r>
        <w:rPr>
          <w:rFonts w:ascii="Arial" w:cs="Arial" w:eastAsia="Arial" w:hAnsi="Arial"/>
          <w:sz w:val="21"/>
          <w:szCs w:val="21"/>
          <w:b w:val="1"/>
          <w:bCs w:val="1"/>
          <w:color w:val="auto"/>
        </w:rPr>
        <w:t>KPMG LLP</w:t>
      </w:r>
    </w:p>
    <w:p>
      <w:pPr>
        <w:spacing w:after="0" w:line="15" w:lineRule="exact"/>
        <w:rPr>
          <w:sz w:val="20"/>
          <w:szCs w:val="20"/>
          <w:color w:val="auto"/>
        </w:rPr>
      </w:pPr>
    </w:p>
    <w:p>
      <w:pPr>
        <w:jc w:val="center"/>
        <w:ind w:right="140"/>
        <w:spacing w:after="0"/>
        <w:rPr>
          <w:sz w:val="20"/>
          <w:szCs w:val="20"/>
          <w:color w:val="auto"/>
        </w:rPr>
      </w:pPr>
      <w:r>
        <w:rPr>
          <w:rFonts w:ascii="Arial" w:cs="Arial" w:eastAsia="Arial" w:hAnsi="Arial"/>
          <w:sz w:val="21"/>
          <w:szCs w:val="21"/>
          <w:b w:val="1"/>
          <w:bCs w:val="1"/>
          <w:color w:val="auto"/>
        </w:rPr>
        <w:t>Two Financial Center, 60 South St</w:t>
      </w:r>
    </w:p>
    <w:p>
      <w:pPr>
        <w:spacing w:after="0" w:line="15" w:lineRule="exact"/>
        <w:rPr>
          <w:sz w:val="20"/>
          <w:szCs w:val="20"/>
          <w:color w:val="auto"/>
        </w:rPr>
      </w:pPr>
    </w:p>
    <w:p>
      <w:pPr>
        <w:jc w:val="center"/>
        <w:ind w:right="140"/>
        <w:spacing w:after="0"/>
        <w:rPr>
          <w:sz w:val="20"/>
          <w:szCs w:val="20"/>
          <w:color w:val="auto"/>
        </w:rPr>
      </w:pPr>
      <w:r>
        <w:rPr>
          <w:rFonts w:ascii="Arial" w:cs="Arial" w:eastAsia="Arial" w:hAnsi="Arial"/>
          <w:sz w:val="21"/>
          <w:szCs w:val="21"/>
          <w:b w:val="1"/>
          <w:bCs w:val="1"/>
          <w:color w:val="auto"/>
        </w:rPr>
        <w:t>Boston, MA 02111</w:t>
      </w:r>
    </w:p>
    <w:p>
      <w:pPr>
        <w:spacing w:after="0" w:line="200" w:lineRule="exact"/>
        <w:rPr>
          <w:sz w:val="20"/>
          <w:szCs w:val="20"/>
          <w:color w:val="auto"/>
        </w:rPr>
      </w:pPr>
    </w:p>
    <w:p>
      <w:pPr>
        <w:spacing w:after="0" w:line="326" w:lineRule="exact"/>
        <w:rPr>
          <w:sz w:val="20"/>
          <w:szCs w:val="20"/>
          <w:color w:val="auto"/>
        </w:rPr>
      </w:pPr>
    </w:p>
    <w:p>
      <w:pPr>
        <w:jc w:val="center"/>
        <w:ind w:right="140"/>
        <w:spacing w:after="0"/>
        <w:rPr>
          <w:sz w:val="20"/>
          <w:szCs w:val="20"/>
          <w:color w:val="auto"/>
        </w:rPr>
      </w:pPr>
      <w:r>
        <w:rPr>
          <w:rFonts w:ascii="Arial" w:cs="Arial" w:eastAsia="Arial" w:hAnsi="Arial"/>
          <w:sz w:val="21"/>
          <w:szCs w:val="21"/>
          <w:b w:val="1"/>
          <w:bCs w:val="1"/>
          <w:color w:val="auto"/>
        </w:rPr>
        <w:t>Transfer Agent</w:t>
      </w:r>
    </w:p>
    <w:p>
      <w:pPr>
        <w:jc w:val="center"/>
        <w:ind w:right="140"/>
        <w:spacing w:after="0"/>
        <w:rPr>
          <w:sz w:val="20"/>
          <w:szCs w:val="20"/>
          <w:color w:val="auto"/>
        </w:rPr>
      </w:pPr>
      <w:r>
        <w:rPr>
          <w:rFonts w:ascii="Calibri" w:cs="Calibri" w:eastAsia="Calibri" w:hAnsi="Calibri"/>
          <w:sz w:val="21"/>
          <w:szCs w:val="21"/>
          <w:color w:val="auto"/>
        </w:rPr>
        <w:t xml:space="preserve">Equiniti </w:t>
      </w:r>
      <w:r>
        <w:rPr>
          <w:rFonts w:ascii="Arial" w:cs="Arial" w:eastAsia="Arial" w:hAnsi="Arial"/>
          <w:sz w:val="21"/>
          <w:szCs w:val="21"/>
          <w:b w:val="1"/>
          <w:bCs w:val="1"/>
          <w:color w:val="auto"/>
        </w:rPr>
        <w:t>Trust Company</w:t>
      </w:r>
      <w:r>
        <w:rPr>
          <w:rFonts w:ascii="Calibri" w:cs="Calibri" w:eastAsia="Calibri" w:hAnsi="Calibri"/>
          <w:sz w:val="21"/>
          <w:szCs w:val="21"/>
          <w:color w:val="auto"/>
        </w:rPr>
        <w:t>, LLC ("EQ")</w:t>
      </w:r>
    </w:p>
    <w:p>
      <w:pPr>
        <w:jc w:val="center"/>
        <w:ind w:right="140"/>
        <w:spacing w:after="0"/>
        <w:rPr>
          <w:sz w:val="20"/>
          <w:szCs w:val="20"/>
          <w:color w:val="auto"/>
        </w:rPr>
      </w:pPr>
      <w:r>
        <w:rPr>
          <w:rFonts w:ascii="Calibri" w:cs="Calibri" w:eastAsia="Calibri" w:hAnsi="Calibri"/>
          <w:sz w:val="21"/>
          <w:szCs w:val="21"/>
          <w:color w:val="auto"/>
        </w:rPr>
        <w:t>48 Wall Street, Floor 23</w:t>
      </w:r>
    </w:p>
    <w:p>
      <w:pPr>
        <w:jc w:val="center"/>
        <w:ind w:right="140"/>
        <w:spacing w:after="0"/>
        <w:rPr>
          <w:sz w:val="20"/>
          <w:szCs w:val="20"/>
          <w:color w:val="auto"/>
        </w:rPr>
      </w:pPr>
      <w:r>
        <w:rPr>
          <w:rFonts w:ascii="Calibri" w:cs="Calibri" w:eastAsia="Calibri" w:hAnsi="Calibri"/>
          <w:sz w:val="21"/>
          <w:szCs w:val="21"/>
          <w:color w:val="auto"/>
        </w:rPr>
        <w:t>New York, NY 10005</w:t>
      </w:r>
    </w:p>
    <w:p>
      <w:pPr>
        <w:spacing w:after="0" w:line="200" w:lineRule="exact"/>
        <w:rPr>
          <w:sz w:val="20"/>
          <w:szCs w:val="20"/>
          <w:color w:val="auto"/>
        </w:rPr>
      </w:pPr>
    </w:p>
    <w:p>
      <w:pPr>
        <w:spacing w:after="0" w:line="337" w:lineRule="exact"/>
        <w:rPr>
          <w:sz w:val="20"/>
          <w:szCs w:val="20"/>
          <w:color w:val="auto"/>
        </w:rPr>
      </w:pPr>
    </w:p>
    <w:p>
      <w:pPr>
        <w:jc w:val="center"/>
        <w:ind w:right="140"/>
        <w:spacing w:after="0"/>
        <w:rPr>
          <w:sz w:val="20"/>
          <w:szCs w:val="20"/>
          <w:color w:val="auto"/>
        </w:rPr>
      </w:pPr>
      <w:r>
        <w:rPr>
          <w:rFonts w:ascii="Arial" w:cs="Arial" w:eastAsia="Arial" w:hAnsi="Arial"/>
          <w:sz w:val="21"/>
          <w:szCs w:val="21"/>
          <w:b w:val="1"/>
          <w:bCs w:val="1"/>
          <w:color w:val="auto"/>
        </w:rPr>
        <w:t>Candel Investor Relations</w:t>
      </w:r>
    </w:p>
    <w:p>
      <w:pPr>
        <w:spacing w:after="0" w:line="16" w:lineRule="exact"/>
        <w:rPr>
          <w:sz w:val="20"/>
          <w:szCs w:val="20"/>
          <w:color w:val="auto"/>
        </w:rPr>
      </w:pPr>
    </w:p>
    <w:p>
      <w:pPr>
        <w:jc w:val="center"/>
        <w:ind w:right="140"/>
        <w:spacing w:after="0"/>
        <w:rPr>
          <w:sz w:val="20"/>
          <w:szCs w:val="20"/>
          <w:color w:val="auto"/>
        </w:rPr>
      </w:pPr>
      <w:r>
        <w:rPr>
          <w:rFonts w:ascii="Arial" w:cs="Arial" w:eastAsia="Arial" w:hAnsi="Arial"/>
          <w:sz w:val="21"/>
          <w:szCs w:val="21"/>
          <w:b w:val="1"/>
          <w:bCs w:val="1"/>
          <w:u w:val="single" w:color="auto"/>
          <w:color w:val="0563C1"/>
        </w:rPr>
        <w:t>investors@candeltx.com</w:t>
      </w:r>
    </w:p>
    <w:p>
      <w:pPr>
        <w:sectPr>
          <w:pgSz w:w="12240" w:h="15840" w:orient="portrait"/>
          <w:cols w:equalWidth="0" w:num="1">
            <w:col w:w="9440"/>
          </w:cols>
          <w:pgMar w:left="1440" w:top="1440" w:right="1360" w:bottom="866" w:gutter="0" w:footer="0" w:header="0"/>
          <w:type w:val="continuous"/>
        </w:sectPr>
      </w:pPr>
    </w:p>
    <w:bookmarkStart w:id="175" w:name="page176"/>
    <w:bookmarkEnd w:id="1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1560830</wp:posOffset>
            </wp:positionH>
            <wp:positionV relativeFrom="page">
              <wp:posOffset>2861945</wp:posOffset>
            </wp:positionV>
            <wp:extent cx="4651375" cy="20694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4651375" cy="2069465"/>
                    </a:xfrm>
                    <a:prstGeom prst="rect">
                      <a:avLst/>
                    </a:prstGeom>
                    <a:noFill/>
                  </pic:spPr>
                </pic:pic>
              </a:graphicData>
            </a:graphic>
          </wp:anchor>
        </w:drawing>
      </w:r>
    </w:p>
    <w:sectPr>
      <w:pgSz w:w="12240" w:h="15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Segoe UI Symbol">
    <w:panose1 w:val="020B0502040204020203"/>
    <w:charset w:val="00"/>
    <w:family w:val="swiss"/>
    <w:pitch w:val="variable"/>
    <w:sig w:usb0="800001E3" w:usb1="1200FFEF" w:usb2="00040000" w:usb3="04000000" w:csb0="00000001" w:csb1="4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75AC794"/>
    <w:multiLevelType w:val="hybridMultilevel"/>
    <w:lvl w:ilvl="0">
      <w:lvlJc w:val="left"/>
      <w:lvlText w:val="☒"/>
      <w:numFmt w:val="bullet"/>
      <w:start w:val="1"/>
    </w:lvl>
  </w:abstractNum>
  <w:abstractNum w:abstractNumId="1">
    <w:nsid w:val="39386575"/>
    <w:multiLevelType w:val="hybridMultilevel"/>
    <w:lvl w:ilvl="0">
      <w:lvlJc w:val="left"/>
      <w:lvlText w:val="☐"/>
      <w:numFmt w:val="bullet"/>
      <w:start w:val="1"/>
    </w:lvl>
  </w:abstractNum>
  <w:abstractNum w:abstractNumId="2">
    <w:nsid w:val="1CF10FD8"/>
    <w:multiLevelType w:val="hybridMultilevel"/>
    <w:lvl w:ilvl="0">
      <w:lvlJc w:val="left"/>
      <w:lvlText w:val="▪"/>
      <w:numFmt w:val="bullet"/>
      <w:start w:val="1"/>
    </w:lvl>
  </w:abstractNum>
  <w:abstractNum w:abstractNumId="3">
    <w:nsid w:val="180115BE"/>
    <w:multiLevelType w:val="hybridMultilevel"/>
    <w:lvl w:ilvl="0">
      <w:lvlJc w:val="left"/>
      <w:lvlText w:val="•"/>
      <w:numFmt w:val="bullet"/>
      <w:start w:val="1"/>
    </w:lvl>
  </w:abstractNum>
  <w:abstractNum w:abstractNumId="4">
    <w:nsid w:val="235BA861"/>
    <w:multiLevelType w:val="hybridMultilevel"/>
    <w:lvl w:ilvl="0">
      <w:lvlJc w:val="left"/>
      <w:lvlText w:val="•"/>
      <w:numFmt w:val="bullet"/>
      <w:start w:val="1"/>
    </w:lvl>
  </w:abstractNum>
  <w:abstractNum w:abstractNumId="5">
    <w:nsid w:val="47398C89"/>
    <w:multiLevelType w:val="hybridMultilevel"/>
    <w:lvl w:ilvl="0">
      <w:lvlJc w:val="left"/>
      <w:lvlText w:val="•"/>
      <w:numFmt w:val="bullet"/>
      <w:start w:val="1"/>
    </w:lvl>
  </w:abstractNum>
  <w:abstractNum w:abstractNumId="6">
    <w:nsid w:val="354FE9F9"/>
    <w:multiLevelType w:val="hybridMultilevel"/>
    <w:lvl w:ilvl="0">
      <w:lvlJc w:val="left"/>
      <w:lvlText w:val="%1"/>
      <w:numFmt w:val="lowerLetter"/>
      <w:start w:val="15"/>
    </w:lvl>
  </w:abstractNum>
  <w:abstractNum w:abstractNumId="7">
    <w:nsid w:val="15B5AF5C"/>
    <w:multiLevelType w:val="hybridMultilevel"/>
    <w:lvl w:ilvl="0">
      <w:lvlJc w:val="left"/>
      <w:lvlText w:val="•"/>
      <w:numFmt w:val="bullet"/>
      <w:start w:val="1"/>
    </w:lvl>
    <w:lvl w:ilvl="1">
      <w:lvlJc w:val="left"/>
      <w:lvlText w:val="%2"/>
      <w:numFmt w:val="lowerLetter"/>
      <w:start w:val="15"/>
    </w:lvl>
  </w:abstractNum>
  <w:abstractNum w:abstractNumId="8">
    <w:nsid w:val="741226BB"/>
    <w:multiLevelType w:val="hybridMultilevel"/>
    <w:lvl w:ilvl="0">
      <w:lvlJc w:val="left"/>
      <w:lvlText w:val="%1"/>
      <w:numFmt w:val="lowerLetter"/>
      <w:start w:val="15"/>
    </w:lvl>
  </w:abstractNum>
  <w:abstractNum w:abstractNumId="9">
    <w:nsid w:val="D34B6A8"/>
    <w:multiLevelType w:val="hybridMultilevel"/>
    <w:lvl w:ilvl="0">
      <w:lvlJc w:val="left"/>
      <w:lvlText w:val="▪"/>
      <w:numFmt w:val="bullet"/>
      <w:start w:val="1"/>
    </w:lvl>
    <w:lvl w:ilvl="1">
      <w:lvlJc w:val="left"/>
      <w:lvlText w:val="•"/>
      <w:numFmt w:val="bullet"/>
      <w:start w:val="1"/>
    </w:lvl>
  </w:abstractNum>
  <w:abstractNum w:abstractNumId="10">
    <w:nsid w:val="10233C99"/>
    <w:multiLevelType w:val="hybridMultilevel"/>
    <w:lvl w:ilvl="0">
      <w:lvlJc w:val="left"/>
      <w:lvlText w:val="•"/>
      <w:numFmt w:val="bullet"/>
      <w:start w:val="1"/>
    </w:lvl>
    <w:lvl w:ilvl="1">
      <w:lvlJc w:val="left"/>
      <w:lvlText w:val="%2"/>
      <w:numFmt w:val="lowerLetter"/>
      <w:start w:val="15"/>
    </w:lvl>
  </w:abstractNum>
  <w:abstractNum w:abstractNumId="11">
    <w:nsid w:val="3F6AB60F"/>
    <w:multiLevelType w:val="hybridMultilevel"/>
    <w:lvl w:ilvl="0">
      <w:lvlJc w:val="left"/>
      <w:lvlText w:val="%1"/>
      <w:numFmt w:val="lowerLetter"/>
      <w:start w:val="15"/>
    </w:lvl>
    <w:lvl w:ilvl="1">
      <w:lvlJc w:val="left"/>
      <w:lvlText w:val="▪"/>
      <w:numFmt w:val="bullet"/>
      <w:start w:val="1"/>
    </w:lvl>
    <w:lvl w:ilvl="2">
      <w:lvlJc w:val="left"/>
      <w:lvlText w:val="•"/>
      <w:numFmt w:val="bullet"/>
      <w:start w:val="1"/>
    </w:lvl>
  </w:abstractNum>
  <w:abstractNum w:abstractNumId="12">
    <w:nsid w:val="61574095"/>
    <w:multiLevelType w:val="hybridMultilevel"/>
    <w:lvl w:ilvl="0">
      <w:lvlJc w:val="left"/>
      <w:lvlText w:val="▪"/>
      <w:numFmt w:val="bullet"/>
      <w:start w:val="1"/>
    </w:lvl>
  </w:abstractNum>
  <w:abstractNum w:abstractNumId="13">
    <w:nsid w:val="7E0C57B1"/>
    <w:multiLevelType w:val="hybridMultilevel"/>
    <w:lvl w:ilvl="0">
      <w:lvlJc w:val="left"/>
      <w:lvlText w:val="•"/>
      <w:numFmt w:val="bullet"/>
      <w:start w:val="1"/>
    </w:lvl>
  </w:abstractNum>
  <w:abstractNum w:abstractNumId="14">
    <w:nsid w:val="77AE35EB"/>
    <w:multiLevelType w:val="hybridMultilevel"/>
    <w:lvl w:ilvl="0">
      <w:lvlJc w:val="left"/>
      <w:lvlText w:val="▪"/>
      <w:numFmt w:val="bullet"/>
      <w:start w:val="1"/>
    </w:lvl>
  </w:abstractNum>
  <w:abstractNum w:abstractNumId="15">
    <w:nsid w:val="579BE4F1"/>
    <w:multiLevelType w:val="hybridMultilevel"/>
    <w:lvl w:ilvl="0">
      <w:lvlJc w:val="left"/>
      <w:lvlText w:val="▪"/>
      <w:numFmt w:val="bullet"/>
      <w:start w:val="1"/>
    </w:lvl>
  </w:abstractNum>
  <w:abstractNum w:abstractNumId="16">
    <w:nsid w:val="310C50B3"/>
    <w:multiLevelType w:val="hybridMultilevel"/>
    <w:lvl w:ilvl="0">
      <w:lvlJc w:val="left"/>
      <w:lvlText w:val="▪"/>
      <w:numFmt w:val="bullet"/>
      <w:start w:val="1"/>
    </w:lvl>
  </w:abstractNum>
  <w:abstractNum w:abstractNumId="17">
    <w:nsid w:val="5FF87E05"/>
    <w:multiLevelType w:val="hybridMultilevel"/>
    <w:lvl w:ilvl="0">
      <w:lvlJc w:val="left"/>
      <w:lvlText w:val="▪"/>
      <w:numFmt w:val="bullet"/>
      <w:start w:val="1"/>
    </w:lvl>
  </w:abstractNum>
  <w:abstractNum w:abstractNumId="18">
    <w:nsid w:val="2F305DEF"/>
    <w:multiLevelType w:val="hybridMultilevel"/>
    <w:lvl w:ilvl="0">
      <w:lvlJc w:val="left"/>
      <w:lvlText w:val="▪"/>
      <w:numFmt w:val="bullet"/>
      <w:start w:val="1"/>
    </w:lvl>
    <w:lvl w:ilvl="1">
      <w:lvlJc w:val="left"/>
      <w:lvlText w:val="▪"/>
      <w:numFmt w:val="bullet"/>
      <w:start w:val="1"/>
    </w:lvl>
  </w:abstractNum>
  <w:abstractNum w:abstractNumId="19">
    <w:nsid w:val="25A70BF7"/>
    <w:multiLevelType w:val="hybridMultilevel"/>
    <w:lvl w:ilvl="0">
      <w:lvlJc w:val="left"/>
      <w:lvlText w:val="▪"/>
      <w:numFmt w:val="bullet"/>
      <w:start w:val="1"/>
    </w:lvl>
  </w:abstractNum>
  <w:abstractNum w:abstractNumId="20">
    <w:nsid w:val="1DBABF00"/>
    <w:multiLevelType w:val="hybridMultilevel"/>
    <w:lvl w:ilvl="0">
      <w:lvlJc w:val="left"/>
      <w:lvlText w:val="▪"/>
      <w:numFmt w:val="bullet"/>
      <w:start w:val="1"/>
    </w:lvl>
  </w:abstractNum>
  <w:abstractNum w:abstractNumId="21">
    <w:nsid w:val="4AD084E9"/>
    <w:multiLevelType w:val="hybridMultilevel"/>
    <w:lvl w:ilvl="0">
      <w:lvlJc w:val="left"/>
      <w:lvlText w:val="•"/>
      <w:numFmt w:val="bullet"/>
      <w:start w:val="1"/>
    </w:lvl>
  </w:abstractNum>
  <w:abstractNum w:abstractNumId="22">
    <w:nsid w:val="1F48EAA1"/>
    <w:multiLevelType w:val="hybridMultilevel"/>
    <w:lvl w:ilvl="0">
      <w:lvlJc w:val="left"/>
      <w:lvlText w:val="(%1)"/>
      <w:numFmt w:val="lowerRoman"/>
      <w:start w:val="2"/>
    </w:lvl>
  </w:abstractNum>
  <w:abstractNum w:abstractNumId="23">
    <w:nsid w:val="1381823A"/>
    <w:multiLevelType w:val="hybridMultilevel"/>
    <w:lvl w:ilvl="0">
      <w:lvlJc w:val="left"/>
      <w:lvlText w:val="•"/>
      <w:numFmt w:val="bullet"/>
      <w:start w:val="1"/>
    </w:lvl>
  </w:abstractNum>
  <w:abstractNum w:abstractNumId="24">
    <w:nsid w:val="5DB70AE5"/>
    <w:multiLevelType w:val="hybridMultilevel"/>
    <w:lvl w:ilvl="0">
      <w:lvlJc w:val="left"/>
      <w:lvlText w:val="•"/>
      <w:numFmt w:val="bullet"/>
      <w:start w:val="1"/>
    </w:lvl>
  </w:abstractNum>
  <w:abstractNum w:abstractNumId="25">
    <w:nsid w:val="100F8FCA"/>
    <w:multiLevelType w:val="hybridMultilevel"/>
    <w:lvl w:ilvl="0">
      <w:lvlJc w:val="left"/>
      <w:lvlText w:val="•"/>
      <w:numFmt w:val="bullet"/>
      <w:start w:val="1"/>
    </w:lvl>
  </w:abstractNum>
  <w:abstractNum w:abstractNumId="26">
    <w:nsid w:val="6590700B"/>
    <w:multiLevelType w:val="hybridMultilevel"/>
    <w:lvl w:ilvl="0">
      <w:lvlJc w:val="left"/>
      <w:lvlText w:val="•"/>
      <w:numFmt w:val="bullet"/>
      <w:start w:val="1"/>
    </w:lvl>
  </w:abstractNum>
  <w:abstractNum w:abstractNumId="27">
    <w:nsid w:val="15014ACB"/>
    <w:multiLevelType w:val="hybridMultilevel"/>
    <w:lvl w:ilvl="0">
      <w:lvlJc w:val="left"/>
      <w:lvlText w:val="•"/>
      <w:numFmt w:val="bullet"/>
      <w:start w:val="1"/>
    </w:lvl>
  </w:abstractNum>
  <w:abstractNum w:abstractNumId="28">
    <w:nsid w:val="5F5E7FD0"/>
    <w:multiLevelType w:val="hybridMultilevel"/>
    <w:lvl w:ilvl="0">
      <w:lvlJc w:val="left"/>
      <w:lvlText w:val="•"/>
      <w:numFmt w:val="bullet"/>
      <w:start w:val="1"/>
    </w:lvl>
  </w:abstractNum>
  <w:abstractNum w:abstractNumId="29">
    <w:nsid w:val="98A3148"/>
    <w:multiLevelType w:val="hybridMultilevel"/>
    <w:lvl w:ilvl="0">
      <w:lvlJc w:val="left"/>
      <w:lvlText w:val="•"/>
      <w:numFmt w:val="bullet"/>
      <w:start w:val="1"/>
    </w:lvl>
  </w:abstractNum>
  <w:abstractNum w:abstractNumId="30">
    <w:nsid w:val="799D0247"/>
    <w:multiLevelType w:val="hybridMultilevel"/>
    <w:lvl w:ilvl="0">
      <w:lvlJc w:val="left"/>
      <w:lvlText w:val="•"/>
      <w:numFmt w:val="bullet"/>
      <w:start w:val="1"/>
    </w:lvl>
  </w:abstractNum>
  <w:abstractNum w:abstractNumId="31">
    <w:nsid w:val="6B94764"/>
    <w:multiLevelType w:val="hybridMultilevel"/>
    <w:lvl w:ilvl="0">
      <w:lvlJc w:val="left"/>
      <w:lvlText w:val="•"/>
      <w:numFmt w:val="bullet"/>
      <w:start w:val="1"/>
    </w:lvl>
  </w:abstractNum>
  <w:abstractNum w:abstractNumId="32">
    <w:nsid w:val="42C296BD"/>
    <w:multiLevelType w:val="hybridMultilevel"/>
    <w:lvl w:ilvl="0">
      <w:lvlJc w:val="left"/>
      <w:lvlText w:val="•"/>
      <w:numFmt w:val="bullet"/>
      <w:start w:val="1"/>
    </w:lvl>
  </w:abstractNum>
  <w:abstractNum w:abstractNumId="33">
    <w:nsid w:val="168E121F"/>
    <w:multiLevelType w:val="hybridMultilevel"/>
    <w:lvl w:ilvl="0">
      <w:lvlJc w:val="left"/>
      <w:lvlText w:val="•"/>
      <w:numFmt w:val="bullet"/>
      <w:start w:val="1"/>
    </w:lvl>
  </w:abstractNum>
  <w:abstractNum w:abstractNumId="34">
    <w:nsid w:val="1EBA5D23"/>
    <w:multiLevelType w:val="hybridMultilevel"/>
    <w:lvl w:ilvl="0">
      <w:lvlJc w:val="left"/>
      <w:lvlText w:val="•"/>
      <w:numFmt w:val="bullet"/>
      <w:start w:val="1"/>
    </w:lvl>
  </w:abstractNum>
  <w:abstractNum w:abstractNumId="35">
    <w:nsid w:val="661E3F1E"/>
    <w:multiLevelType w:val="hybridMultilevel"/>
    <w:lvl w:ilvl="0">
      <w:lvlJc w:val="left"/>
      <w:lvlText w:val="•"/>
      <w:numFmt w:val="bullet"/>
      <w:start w:val="1"/>
    </w:lvl>
  </w:abstractNum>
  <w:abstractNum w:abstractNumId="36">
    <w:nsid w:val="5DC79EA8"/>
    <w:multiLevelType w:val="hybridMultilevel"/>
    <w:lvl w:ilvl="0">
      <w:lvlJc w:val="left"/>
      <w:lvlText w:val="•"/>
      <w:numFmt w:val="bullet"/>
      <w:start w:val="1"/>
    </w:lvl>
  </w:abstractNum>
  <w:abstractNum w:abstractNumId="37">
    <w:nsid w:val="540A471C"/>
    <w:multiLevelType w:val="hybridMultilevel"/>
    <w:lvl w:ilvl="0">
      <w:lvlJc w:val="left"/>
      <w:lvlText w:val="•"/>
      <w:numFmt w:val="bullet"/>
      <w:start w:val="1"/>
    </w:lvl>
  </w:abstractNum>
  <w:abstractNum w:abstractNumId="38">
    <w:nsid w:val="7BD3EE7B"/>
    <w:multiLevelType w:val="hybridMultilevel"/>
    <w:lvl w:ilvl="0">
      <w:lvlJc w:val="left"/>
      <w:lvlText w:val="•"/>
      <w:numFmt w:val="bullet"/>
      <w:start w:val="1"/>
    </w:lvl>
  </w:abstractNum>
  <w:abstractNum w:abstractNumId="39">
    <w:nsid w:val="51D9C564"/>
    <w:multiLevelType w:val="hybridMultilevel"/>
    <w:lvl w:ilvl="0">
      <w:lvlJc w:val="left"/>
      <w:lvlText w:val="•"/>
      <w:numFmt w:val="bullet"/>
      <w:start w:val="1"/>
    </w:lvl>
  </w:abstractNum>
  <w:abstractNum w:abstractNumId="40">
    <w:nsid w:val="613EFDC5"/>
    <w:multiLevelType w:val="hybridMultilevel"/>
    <w:lvl w:ilvl="0">
      <w:lvlJc w:val="left"/>
      <w:lvlText w:val="•"/>
      <w:numFmt w:val="bullet"/>
      <w:start w:val="1"/>
    </w:lvl>
  </w:abstractNum>
  <w:abstractNum w:abstractNumId="41">
    <w:nsid w:val="BF72B14"/>
    <w:multiLevelType w:val="hybridMultilevel"/>
    <w:lvl w:ilvl="0">
      <w:lvlJc w:val="left"/>
      <w:lvlText w:val="•"/>
      <w:numFmt w:val="bullet"/>
      <w:start w:val="1"/>
    </w:lvl>
  </w:abstractNum>
  <w:abstractNum w:abstractNumId="42">
    <w:nsid w:val="11447B73"/>
    <w:multiLevelType w:val="hybridMultilevel"/>
    <w:lvl w:ilvl="0">
      <w:lvlJc w:val="left"/>
      <w:lvlText w:val="•"/>
      <w:numFmt w:val="bullet"/>
      <w:start w:val="1"/>
    </w:lvl>
  </w:abstractNum>
  <w:abstractNum w:abstractNumId="43">
    <w:nsid w:val="42963E5A"/>
    <w:multiLevelType w:val="hybridMultilevel"/>
    <w:lvl w:ilvl="0">
      <w:lvlJc w:val="left"/>
      <w:lvlText w:val="•"/>
      <w:numFmt w:val="bullet"/>
      <w:start w:val="1"/>
    </w:lvl>
  </w:abstractNum>
  <w:abstractNum w:abstractNumId="44">
    <w:nsid w:val="A0382C5"/>
    <w:multiLevelType w:val="hybridMultilevel"/>
    <w:lvl w:ilvl="0">
      <w:lvlJc w:val="left"/>
      <w:lvlText w:val="•"/>
      <w:numFmt w:val="bullet"/>
      <w:start w:val="1"/>
    </w:lvl>
  </w:abstractNum>
  <w:abstractNum w:abstractNumId="45">
    <w:nsid w:val="8F2B15E"/>
    <w:multiLevelType w:val="hybridMultilevel"/>
    <w:lvl w:ilvl="0">
      <w:lvlJc w:val="left"/>
      <w:lvlText w:val="(%1)"/>
      <w:numFmt w:val="decimal"/>
      <w:start w:val="2"/>
    </w:lvl>
  </w:abstractNum>
  <w:abstractNum w:abstractNumId="46">
    <w:nsid w:val="1A32234B"/>
    <w:multiLevelType w:val="hybridMultilevel"/>
    <w:lvl w:ilvl="0">
      <w:lvlJc w:val="left"/>
      <w:lvlText w:val="•"/>
      <w:numFmt w:val="bullet"/>
      <w:start w:val="1"/>
    </w:lvl>
  </w:abstractNum>
  <w:abstractNum w:abstractNumId="47">
    <w:nsid w:val="3B0FD379"/>
    <w:multiLevelType w:val="hybridMultilevel"/>
    <w:lvl w:ilvl="0">
      <w:lvlJc w:val="left"/>
      <w:lvlText w:val="•"/>
      <w:numFmt w:val="bullet"/>
      <w:start w:val="1"/>
    </w:lvl>
  </w:abstractNum>
  <w:abstractNum w:abstractNumId="48">
    <w:nsid w:val="68EB2F63"/>
    <w:multiLevelType w:val="hybridMultilevel"/>
    <w:lvl w:ilvl="0">
      <w:lvlJc w:val="left"/>
      <w:lvlText w:val="•"/>
      <w:numFmt w:val="bullet"/>
      <w:start w:val="1"/>
    </w:lvl>
  </w:abstractNum>
  <w:abstractNum w:abstractNumId="49">
    <w:nsid w:val="4962813B"/>
    <w:multiLevelType w:val="hybridMultilevel"/>
    <w:lvl w:ilvl="0">
      <w:lvlJc w:val="left"/>
      <w:lvlText w:val="•"/>
      <w:numFmt w:val="bullet"/>
      <w:start w:val="1"/>
    </w:lvl>
  </w:abstractNum>
  <w:abstractNum w:abstractNumId="50">
    <w:nsid w:val="60B6DF70"/>
    <w:multiLevelType w:val="hybridMultilevel"/>
    <w:lvl w:ilvl="0">
      <w:lvlJc w:val="left"/>
      <w:lvlText w:val="•"/>
      <w:numFmt w:val="bullet"/>
      <w:start w:val="1"/>
    </w:lvl>
  </w:abstractNum>
  <w:abstractNum w:abstractNumId="51">
    <w:nsid w:val="6A5EE64"/>
    <w:multiLevelType w:val="hybridMultilevel"/>
    <w:lvl w:ilvl="0">
      <w:lvlJc w:val="left"/>
      <w:lvlText w:val="•"/>
      <w:numFmt w:val="bullet"/>
      <w:start w:val="1"/>
    </w:lvl>
  </w:abstractNum>
  <w:abstractNum w:abstractNumId="52">
    <w:nsid w:val="14330624"/>
    <w:multiLevelType w:val="hybridMultilevel"/>
    <w:lvl w:ilvl="0">
      <w:lvlJc w:val="left"/>
      <w:lvlText w:val="•"/>
      <w:numFmt w:val="bullet"/>
      <w:start w:val="1"/>
    </w:lvl>
  </w:abstractNum>
  <w:abstractNum w:abstractNumId="53">
    <w:nsid w:val="7FFFCA11"/>
    <w:multiLevelType w:val="hybridMultilevel"/>
    <w:lvl w:ilvl="0">
      <w:lvlJc w:val="left"/>
      <w:lvlText w:val="•"/>
      <w:numFmt w:val="bullet"/>
      <w:start w:val="1"/>
    </w:lvl>
  </w:abstractNum>
  <w:abstractNum w:abstractNumId="54">
    <w:nsid w:val="1A27709E"/>
    <w:multiLevelType w:val="hybridMultilevel"/>
    <w:lvl w:ilvl="0">
      <w:lvlJc w:val="left"/>
      <w:lvlText w:val="•"/>
      <w:numFmt w:val="bullet"/>
      <w:start w:val="1"/>
    </w:lvl>
  </w:abstractNum>
  <w:abstractNum w:abstractNumId="55">
    <w:nsid w:val="71EA1109"/>
    <w:multiLevelType w:val="hybridMultilevel"/>
    <w:lvl w:ilvl="0">
      <w:lvlJc w:val="left"/>
      <w:lvlText w:val="•"/>
      <w:numFmt w:val="bullet"/>
      <w:start w:val="1"/>
    </w:lvl>
  </w:abstractNum>
  <w:abstractNum w:abstractNumId="56">
    <w:nsid w:val="100F59DC"/>
    <w:multiLevelType w:val="hybridMultilevel"/>
    <w:lvl w:ilvl="0">
      <w:lvlJc w:val="left"/>
      <w:lvlText w:val="•"/>
      <w:numFmt w:val="bullet"/>
      <w:start w:val="1"/>
    </w:lvl>
  </w:abstractNum>
  <w:abstractNum w:abstractNumId="57">
    <w:nsid w:val="7FB7E0AA"/>
    <w:multiLevelType w:val="hybridMultilevel"/>
    <w:lvl w:ilvl="0">
      <w:lvlJc w:val="left"/>
      <w:lvlText w:val="•"/>
      <w:numFmt w:val="bullet"/>
      <w:start w:val="1"/>
    </w:lvl>
  </w:abstractNum>
  <w:abstractNum w:abstractNumId="58">
    <w:nsid w:val="6EB5BD4"/>
    <w:multiLevelType w:val="hybridMultilevel"/>
    <w:lvl w:ilvl="0">
      <w:lvlJc w:val="left"/>
      <w:lvlText w:val="•"/>
      <w:numFmt w:val="bullet"/>
      <w:start w:val="1"/>
    </w:lvl>
  </w:abstractNum>
  <w:abstractNum w:abstractNumId="59">
    <w:nsid w:val="6F6DD9AC"/>
    <w:multiLevelType w:val="hybridMultilevel"/>
    <w:lvl w:ilvl="0">
      <w:lvlJc w:val="left"/>
      <w:lvlText w:val="•"/>
      <w:numFmt w:val="bullet"/>
      <w:start w:val="1"/>
    </w:lvl>
  </w:abstractNum>
  <w:abstractNum w:abstractNumId="60">
    <w:nsid w:val="94211F2"/>
    <w:multiLevelType w:val="hybridMultilevel"/>
    <w:lvl w:ilvl="0">
      <w:lvlJc w:val="left"/>
      <w:lvlText w:val="•"/>
      <w:numFmt w:val="bullet"/>
      <w:start w:val="1"/>
    </w:lvl>
  </w:abstractNum>
  <w:abstractNum w:abstractNumId="61">
    <w:nsid w:val="885E1B"/>
    <w:multiLevelType w:val="hybridMultilevel"/>
    <w:lvl w:ilvl="0">
      <w:lvlJc w:val="left"/>
      <w:lvlText w:val="•"/>
      <w:numFmt w:val="bullet"/>
      <w:start w:val="1"/>
    </w:lvl>
  </w:abstractNum>
  <w:abstractNum w:abstractNumId="62">
    <w:nsid w:val="76272110"/>
    <w:multiLevelType w:val="hybridMultilevel"/>
    <w:lvl w:ilvl="0">
      <w:lvlJc w:val="left"/>
      <w:lvlText w:val="•"/>
      <w:numFmt w:val="bullet"/>
      <w:start w:val="1"/>
    </w:lvl>
  </w:abstractNum>
  <w:abstractNum w:abstractNumId="63">
    <w:nsid w:val="4C04A8AF"/>
    <w:multiLevelType w:val="hybridMultilevel"/>
    <w:lvl w:ilvl="0">
      <w:lvlJc w:val="left"/>
      <w:lvlText w:val="•"/>
      <w:numFmt w:val="bullet"/>
      <w:start w:val="1"/>
    </w:lvl>
  </w:abstractNum>
  <w:abstractNum w:abstractNumId="64">
    <w:nsid w:val="1716703B"/>
    <w:multiLevelType w:val="hybridMultilevel"/>
    <w:lvl w:ilvl="0">
      <w:lvlJc w:val="left"/>
      <w:lvlText w:val="•"/>
      <w:numFmt w:val="bullet"/>
      <w:start w:val="1"/>
    </w:lvl>
  </w:abstractNum>
  <w:abstractNum w:abstractNumId="65">
    <w:nsid w:val="14E17E33"/>
    <w:multiLevelType w:val="hybridMultilevel"/>
    <w:lvl w:ilvl="0">
      <w:lvlJc w:val="left"/>
      <w:lvlText w:val="•"/>
      <w:numFmt w:val="bullet"/>
      <w:start w:val="1"/>
    </w:lvl>
  </w:abstractNum>
  <w:abstractNum w:abstractNumId="66">
    <w:nsid w:val="3222E7CD"/>
    <w:multiLevelType w:val="hybridMultilevel"/>
    <w:lvl w:ilvl="0">
      <w:lvlJc w:val="left"/>
      <w:lvlText w:val="(%1)"/>
      <w:numFmt w:val="lowerRoman"/>
      <w:start w:val="4"/>
    </w:lvl>
  </w:abstractNum>
  <w:abstractNum w:abstractNumId="67">
    <w:nsid w:val="74DE0EE3"/>
    <w:multiLevelType w:val="hybridMultilevel"/>
    <w:lvl w:ilvl="0">
      <w:lvlJc w:val="left"/>
      <w:lvlText w:val="•"/>
      <w:numFmt w:val="bullet"/>
      <w:start w:val="1"/>
    </w:lvl>
  </w:abstractNum>
  <w:abstractNum w:abstractNumId="68">
    <w:nsid w:val="68EBC550"/>
    <w:multiLevelType w:val="hybridMultilevel"/>
    <w:lvl w:ilvl="0">
      <w:lvlJc w:val="left"/>
      <w:lvlText w:val="•"/>
      <w:numFmt w:val="bullet"/>
      <w:start w:val="1"/>
    </w:lvl>
  </w:abstractNum>
  <w:abstractNum w:abstractNumId="69">
    <w:nsid w:val="2DF6D648"/>
    <w:multiLevelType w:val="hybridMultilevel"/>
    <w:lvl w:ilvl="0">
      <w:lvlJc w:val="left"/>
      <w:lvlText w:val="%1"/>
      <w:numFmt w:val="lowerLetter"/>
      <w:start w:val="15"/>
    </w:lvl>
  </w:abstractNum>
  <w:abstractNum w:abstractNumId="70">
    <w:nsid w:val="46B7D447"/>
    <w:multiLevelType w:val="hybridMultilevel"/>
    <w:lvl w:ilvl="0">
      <w:lvlJc w:val="left"/>
      <w:lvlText w:val="•"/>
      <w:numFmt w:val="bullet"/>
      <w:start w:val="1"/>
    </w:lvl>
    <w:lvl w:ilvl="1">
      <w:lvlJc w:val="left"/>
      <w:lvlText w:val="%2"/>
      <w:numFmt w:val="lowerLetter"/>
      <w:start w:val="15"/>
    </w:lvl>
  </w:abstractNum>
  <w:abstractNum w:abstractNumId="71">
    <w:nsid w:val="4A2AC315"/>
    <w:multiLevelType w:val="hybridMultilevel"/>
    <w:lvl w:ilvl="0">
      <w:lvlJc w:val="left"/>
      <w:lvlText w:val="%1"/>
      <w:numFmt w:val="lowerLetter"/>
      <w:start w:val="15"/>
    </w:lvl>
    <w:lvl w:ilvl="1">
      <w:lvlJc w:val="left"/>
      <w:lvlText w:val="▪"/>
      <w:numFmt w:val="bullet"/>
      <w:start w:val="1"/>
    </w:lvl>
    <w:lvl w:ilvl="2">
      <w:lvlJc w:val="left"/>
      <w:lvlText w:val="•"/>
      <w:numFmt w:val="bullet"/>
      <w:start w:val="1"/>
    </w:lvl>
  </w:abstractNum>
  <w:abstractNum w:abstractNumId="72">
    <w:nsid w:val="39EE015C"/>
    <w:multiLevelType w:val="hybridMultilevel"/>
    <w:lvl w:ilvl="0">
      <w:lvlJc w:val="left"/>
      <w:lvlText w:val="•"/>
      <w:numFmt w:val="bullet"/>
      <w:start w:val="1"/>
    </w:lvl>
    <w:lvl w:ilvl="1">
      <w:lvlJc w:val="left"/>
      <w:lvlText w:val="%2"/>
      <w:numFmt w:val="lowerLetter"/>
      <w:start w:val="15"/>
    </w:lvl>
  </w:abstractNum>
  <w:abstractNum w:abstractNumId="73">
    <w:nsid w:val="57FC4FBB"/>
    <w:multiLevelType w:val="hybridMultilevel"/>
    <w:lvl w:ilvl="0">
      <w:lvlJc w:val="left"/>
      <w:lvlText w:val="%1"/>
      <w:numFmt w:val="lowerLetter"/>
      <w:start w:val="15"/>
    </w:lvl>
  </w:abstractNum>
  <w:abstractNum w:abstractNumId="74">
    <w:nsid w:val="CC1016F"/>
    <w:multiLevelType w:val="hybridMultilevel"/>
    <w:lvl w:ilvl="0">
      <w:lvlJc w:val="left"/>
      <w:lvlText w:val="%1"/>
      <w:numFmt w:val="lowerLetter"/>
      <w:start w:val="15"/>
    </w:lvl>
    <w:lvl w:ilvl="1">
      <w:lvlJc w:val="left"/>
      <w:lvlText w:val="▪"/>
      <w:numFmt w:val="bullet"/>
      <w:start w:val="1"/>
    </w:lvl>
    <w:lvl w:ilvl="2">
      <w:lvlJc w:val="left"/>
      <w:lvlText w:val="•"/>
      <w:numFmt w:val="bullet"/>
      <w:start w:val="1"/>
    </w:lvl>
  </w:abstractNum>
  <w:abstractNum w:abstractNumId="75">
    <w:nsid w:val="43F18422"/>
    <w:multiLevelType w:val="hybridMultilevel"/>
    <w:lvl w:ilvl="0">
      <w:lvlJc w:val="left"/>
      <w:lvlText w:val="•"/>
      <w:numFmt w:val="bullet"/>
      <w:start w:val="1"/>
    </w:lvl>
  </w:abstractNum>
  <w:abstractNum w:abstractNumId="76">
    <w:nsid w:val="60EF0119"/>
    <w:multiLevelType w:val="hybridMultilevel"/>
    <w:lvl w:ilvl="0">
      <w:lvlJc w:val="left"/>
      <w:lvlText w:val="•"/>
      <w:numFmt w:val="bullet"/>
      <w:start w:val="1"/>
    </w:lvl>
  </w:abstractNum>
  <w:abstractNum w:abstractNumId="77">
    <w:nsid w:val="26F324BA"/>
    <w:multiLevelType w:val="hybridMultilevel"/>
    <w:lvl w:ilvl="0">
      <w:lvlJc w:val="left"/>
      <w:lvlText w:val="•"/>
      <w:numFmt w:val="bullet"/>
      <w:start w:val="1"/>
    </w:lvl>
  </w:abstractNum>
  <w:abstractNum w:abstractNumId="78">
    <w:nsid w:val="7F01579B"/>
    <w:multiLevelType w:val="hybridMultilevel"/>
    <w:lvl w:ilvl="0">
      <w:lvlJc w:val="left"/>
      <w:lvlText w:val="•"/>
      <w:numFmt w:val="bullet"/>
      <w:start w:val="1"/>
    </w:lvl>
  </w:abstractNum>
  <w:abstractNum w:abstractNumId="79">
    <w:nsid w:val="49DA307D"/>
    <w:multiLevelType w:val="hybridMultilevel"/>
    <w:lvl w:ilvl="0">
      <w:lvlJc w:val="left"/>
      <w:lvlText w:val="•"/>
      <w:numFmt w:val="bullet"/>
      <w:start w:val="1"/>
    </w:lvl>
  </w:abstractNum>
  <w:abstractNum w:abstractNumId="80">
    <w:nsid w:val="7055A5F5"/>
    <w:multiLevelType w:val="hybridMultilevel"/>
    <w:lvl w:ilvl="0">
      <w:lvlJc w:val="left"/>
      <w:lvlText w:val="(%1)"/>
      <w:numFmt w:val="decimal"/>
      <w:start w:val="1"/>
    </w:lvl>
  </w:abstractNum>
  <w:abstractNum w:abstractNumId="81">
    <w:nsid w:val="5FB8370B"/>
    <w:multiLevelType w:val="hybridMultilevel"/>
    <w:lvl w:ilvl="0">
      <w:lvlJc w:val="left"/>
      <w:lvlText w:val="•"/>
      <w:numFmt w:val="bullet"/>
      <w:start w:val="1"/>
    </w:lvl>
  </w:abstractNum>
  <w:abstractNum w:abstractNumId="82">
    <w:nsid w:val="50801EE1"/>
    <w:multiLevelType w:val="hybridMultilevel"/>
    <w:lvl w:ilvl="0">
      <w:lvlJc w:val="left"/>
      <w:lvlText w:val="•"/>
      <w:numFmt w:val="bullet"/>
      <w:start w:val="1"/>
    </w:lvl>
  </w:abstractNum>
  <w:abstractNum w:abstractNumId="83">
    <w:nsid w:val="488AC1A"/>
    <w:multiLevelType w:val="hybridMultilevel"/>
    <w:lvl w:ilvl="0">
      <w:lvlJc w:val="left"/>
      <w:lvlText w:val="+"/>
      <w:numFmt w:val="bullet"/>
      <w:start w:val="1"/>
    </w:lvl>
  </w:abstractNum>
  <w:abstractNum w:abstractNumId="84">
    <w:nsid w:val="5FB8011C"/>
    <w:multiLevelType w:val="hybridMultilevel"/>
    <w:lvl w:ilvl="0">
      <w:lvlJc w:val="left"/>
      <w:lvlText w:val="#"/>
      <w:numFmt w:val="bullet"/>
      <w:start w:val="1"/>
    </w:lvl>
  </w:abstractNum>
  <w:abstractNum w:abstractNumId="85">
    <w:nsid w:val="6AA78F7F"/>
    <w:multiLevelType w:val="hybridMultilevel"/>
    <w:lvl w:ilvl="0">
      <w:lvlJc w:val="left"/>
      <w:lvlText w:val="**"/>
      <w:numFmt w:val="bullet"/>
      <w:start w:val="1"/>
    </w:lvl>
  </w:abstractNum>
  <w:abstractNum w:abstractNumId="86">
    <w:nsid w:val="7672BD23"/>
    <w:multiLevelType w:val="hybridMultilevel"/>
    <w:lvl w:ilvl="0">
      <w:lvlJc w:val="left"/>
      <w:lvlText w:val="•"/>
      <w:numFmt w:val="bullet"/>
      <w:start w:val="1"/>
    </w:lvl>
  </w:abstractNum>
  <w:abstractNum w:abstractNumId="87">
    <w:nsid w:val="6FC75AF8"/>
    <w:multiLevelType w:val="hybridMultilevel"/>
    <w:lvl w:ilvl="0">
      <w:lvlJc w:val="left"/>
      <w:lvlText w:val="•"/>
      <w:numFmt w:val="bullet"/>
      <w:start w:val="1"/>
    </w:lvl>
  </w:abstractNum>
  <w:abstractNum w:abstractNumId="88">
    <w:nsid w:val="6A5F7029"/>
    <w:multiLevelType w:val="hybridMultilevel"/>
    <w:lvl w:ilvl="0">
      <w:lvlJc w:val="left"/>
      <w:lvlText w:val="(%1)"/>
      <w:numFmt w:val="lowerRoman"/>
      <w:start w:val="3"/>
    </w:lvl>
  </w:abstractNum>
  <w:abstractNum w:abstractNumId="89">
    <w:nsid w:val="7D5E18F8"/>
    <w:multiLevelType w:val="hybridMultilevel"/>
    <w:lvl w:ilvl="0">
      <w:lvlJc w:val="left"/>
      <w:lvlText w:val="(%1)"/>
      <w:numFmt w:val="lowerRoman"/>
      <w:start w:val="5"/>
    </w:lvl>
  </w:abstractNum>
  <w:abstractNum w:abstractNumId="90">
    <w:nsid w:val="5F3534A4"/>
    <w:multiLevelType w:val="hybridMultilevel"/>
    <w:lvl w:ilvl="0">
      <w:lvlJc w:val="left"/>
      <w:lvlText w:val="•"/>
      <w:numFmt w:val="bullet"/>
      <w:start w:val="1"/>
    </w:lvl>
  </w:abstractNum>
  <w:abstractNum w:abstractNumId="91">
    <w:nsid w:val="73A1821B"/>
    <w:multiLevelType w:val="hybridMultilevel"/>
    <w:lvl w:ilvl="0">
      <w:lvlJc w:val="left"/>
      <w:lvlText w:val="%1."/>
      <w:numFmt w:val="decimal"/>
      <w:start w:val="13"/>
    </w:lvl>
  </w:abstractNum>
  <w:abstractNum w:abstractNumId="92">
    <w:nsid w:val="7DE67713"/>
    <w:multiLevelType w:val="hybridMultilevel"/>
    <w:lvl w:ilvl="0">
      <w:lvlJc w:val="left"/>
      <w:lvlText w:val="☒"/>
      <w:numFmt w:val="bullet"/>
      <w:start w:val="1"/>
    </w:lvl>
  </w:abstractNum>
  <w:abstractNum w:abstractNumId="93">
    <w:nsid w:val="555C55B5"/>
    <w:multiLevelType w:val="hybridMultilevel"/>
    <w:lvl w:ilvl="0">
      <w:lvlJc w:val="left"/>
      <w:lvlText w:val="☐"/>
      <w:numFmt w:val="bullet"/>
      <w:start w:val="1"/>
    </w:lvl>
  </w:abstractNum>
  <w:abstractNum w:abstractNumId="94">
    <w:nsid w:val="3FA62ACA"/>
    <w:multiLevelType w:val="hybridMultilevel"/>
    <w:lvl w:ilvl="0">
      <w:lvlJc w:val="left"/>
      <w:lvlText w:val="(%1)"/>
      <w:numFmt w:val="decimal"/>
      <w:start w:val="1"/>
    </w:lvl>
  </w:abstractNum>
  <w:abstractNum w:abstractNumId="95">
    <w:nsid w:val="14FCE74E"/>
    <w:multiLevelType w:val="hybridMultilevel"/>
    <w:lvl w:ilvl="0">
      <w:lvlJc w:val="left"/>
      <w:lvlText w:val="•"/>
      <w:numFmt w:val="bullet"/>
      <w:start w:val="1"/>
    </w:lvl>
  </w:abstractNum>
  <w:abstractNum w:abstractNumId="96">
    <w:nsid w:val="6A3DD3E8"/>
    <w:multiLevelType w:val="hybridMultilevel"/>
    <w:lvl w:ilvl="0">
      <w:lvlJc w:val="left"/>
      <w:lvlText w:val="•"/>
      <w:numFmt w:val="bullet"/>
      <w:start w:val="1"/>
    </w:lvl>
  </w:abstractNum>
  <w:abstractNum w:abstractNumId="97">
    <w:nsid w:val="71C91298"/>
    <w:multiLevelType w:val="hybridMultilevel"/>
    <w:lvl w:ilvl="0">
      <w:lvlJc w:val="left"/>
      <w:lvlText w:val="•"/>
      <w:numFmt w:val="bullet"/>
      <w:start w:val="1"/>
    </w:lvl>
  </w:abstractNum>
  <w:abstractNum w:abstractNumId="98">
    <w:nsid w:val="9DAF632"/>
    <w:multiLevelType w:val="hybridMultilevel"/>
    <w:lvl w:ilvl="0">
      <w:lvlJc w:val="left"/>
      <w:lvlText w:val="*"/>
      <w:numFmt w:val="bullet"/>
      <w:start w:val="1"/>
    </w:lvl>
  </w:abstractNum>
  <w:abstractNum w:abstractNumId="99">
    <w:nsid w:val="53299938"/>
    <w:multiLevelType w:val="hybridMultilevel"/>
    <w:lvl w:ilvl="0">
      <w:lvlJc w:val="left"/>
      <w:lvlText w:val="(%1)"/>
      <w:numFmt w:val="decimal"/>
      <w:start w:val="1"/>
    </w:lvl>
  </w:abstractNum>
  <w:abstractNum w:abstractNumId="100">
    <w:nsid w:val="1FBFE8E0"/>
    <w:multiLevelType w:val="hybridMultilevel"/>
    <w:lvl w:ilvl="0">
      <w:lvlJc w:val="left"/>
      <w:lvlText w:val="(%1)"/>
      <w:numFmt w:val="decimal"/>
      <w:start w:val="1"/>
    </w:lvl>
  </w:abstractNum>
  <w:abstractNum w:abstractNumId="101">
    <w:nsid w:val="5092CA79"/>
    <w:multiLevelType w:val="hybridMultilevel"/>
    <w:lvl w:ilvl="0">
      <w:lvlJc w:val="left"/>
      <w:lvlText w:val="(%1)"/>
      <w:numFmt w:val="decimal"/>
      <w:start w:val="7"/>
    </w:lvl>
  </w:abstractNum>
  <w:abstractNum w:abstractNumId="102">
    <w:nsid w:val="1D545C4D"/>
    <w:multiLevelType w:val="hybridMultilevel"/>
    <w:lvl w:ilvl="0">
      <w:lvlJc w:val="left"/>
      <w:lvlText w:val="(%1)"/>
      <w:numFmt w:val="decimal"/>
      <w:start w:val="1"/>
    </w:lvl>
  </w:abstractNum>
  <w:abstractNum w:abstractNumId="103">
    <w:nsid w:val="59ADEA3D"/>
    <w:multiLevelType w:val="hybridMultilevel"/>
    <w:lvl w:ilvl="0">
      <w:lvlJc w:val="left"/>
      <w:lvlText w:val="•"/>
      <w:numFmt w:val="bullet"/>
      <w:start w:val="1"/>
    </w:lvl>
  </w:abstractNum>
  <w:abstractNum w:abstractNumId="104">
    <w:nsid w:val="288F1A34"/>
    <w:multiLevelType w:val="hybridMultilevel"/>
    <w:lvl w:ilvl="0">
      <w:lvlJc w:val="left"/>
      <w:lvlText w:val="*"/>
      <w:numFmt w:val="bullet"/>
      <w:start w:val="1"/>
    </w:lvl>
    <w:lvl w:ilvl="1">
      <w:lvlJc w:val="left"/>
      <w:lvlText w:val="(%2)"/>
      <w:numFmt w:val="decimal"/>
      <w:start w:val="1"/>
    </w:lvl>
    <w:lvl w:ilvl="2">
      <w:lvlJc w:val="left"/>
      <w:lvlText w:val="(%3)"/>
      <w:numFmt w:val="lowerRoman"/>
      <w:start w:val="2"/>
    </w:lvl>
  </w:abstractNum>
  <w:abstractNum w:abstractNumId="105">
    <w:nsid w:val="2A155DBC"/>
    <w:multiLevelType w:val="hybridMultilevel"/>
    <w:lvl w:ilvl="0">
      <w:lvlJc w:val="left"/>
      <w:lvlText w:val="*"/>
      <w:numFmt w:val="bullet"/>
      <w:start w:val="1"/>
    </w:lvl>
    <w:lvl w:ilvl="1">
      <w:lvlJc w:val="left"/>
      <w:lvlText w:val="%2"/>
      <w:numFmt w:val="decimal"/>
      <w:start w:val="1"/>
    </w:lvl>
    <w:lvl w:ilvl="2">
      <w:lvlJc w:val="left"/>
      <w:lvlText w:val="(%3)"/>
      <w:numFmt w:val="lowerRoman"/>
      <w:start w:val="3"/>
    </w:lvl>
  </w:abstractNum>
  <w:abstractNum w:abstractNumId="106">
    <w:nsid w:val="1D9F6E5F"/>
    <w:multiLevelType w:val="hybridMultilevel"/>
    <w:lvl w:ilvl="0">
      <w:lvlJc w:val="left"/>
      <w:lvlText w:val="(%1)"/>
      <w:numFmt w:val="decimal"/>
      <w:start w:val="11"/>
    </w:lvl>
  </w:abstractNum>
  <w:abstractNum w:abstractNumId="107">
    <w:nsid w:val="97E1B4E"/>
    <w:multiLevelType w:val="hybridMultilevel"/>
    <w:lvl w:ilvl="0">
      <w:lvlJc w:val="left"/>
      <w:lvlText w:val="•"/>
      <w:numFmt w:val="bullet"/>
      <w:start w:val="1"/>
    </w:lvl>
  </w:abstractNum>
  <w:abstractNum w:abstractNumId="108">
    <w:nsid w:val="51088277"/>
    <w:multiLevelType w:val="hybridMultilevel"/>
    <w:lvl w:ilvl="0">
      <w:lvlJc w:val="left"/>
      <w:lvlText w:val="(%1)"/>
      <w:numFmt w:val="decimal"/>
      <w:start w:val="1"/>
    </w:lvl>
  </w:abstractNum>
  <w:abstractNum w:abstractNumId="109">
    <w:nsid w:val="1CA0C5FA"/>
    <w:multiLevelType w:val="hybridMultilevel"/>
    <w:lvl w:ilvl="0">
      <w:lvlJc w:val="left"/>
      <w:lvlText w:val="(%1)"/>
      <w:numFmt w:val="decimal"/>
      <w:start w:val="1"/>
    </w:lvl>
  </w:abstractNum>
  <w:abstractNum w:abstractNumId="110">
    <w:nsid w:val="53584BC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2024-05-30T17:02:56Z</dcterms:created>
  <dcterms:modified xsi:type="dcterms:W3CDTF">2024-05-30T17:02:56Z</dcterms:modified>
</cp:coreProperties>
</file>