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460" w:right="1520" w:hanging="3452"/>
        <w:spacing w:after="0" w:line="312"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2780" w:right="1540" w:hanging="2772"/>
        <w:spacing w:after="0" w:line="320"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CANDEL THERAPEUTICS,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p>
      <w:pPr>
        <w:spacing w:after="0" w:line="171"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Delaware</w:t>
      </w:r>
    </w:p>
    <w:p>
      <w:pPr>
        <w:spacing w:after="0" w:line="10"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52-2214851</w:t>
      </w:r>
    </w:p>
    <w:p>
      <w:pPr>
        <w:spacing w:after="0" w:line="12"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43" w:lineRule="exact"/>
        <w:rPr>
          <w:sz w:val="24"/>
          <w:szCs w:val="24"/>
          <w:color w:val="auto"/>
        </w:rPr>
      </w:pPr>
    </w:p>
    <w:p>
      <w:pPr>
        <w:sectPr>
          <w:pgSz w:w="11900" w:h="16838" w:orient="portrait"/>
          <w:cols w:equalWidth="0" w:num="2">
            <w:col w:w="7180" w:space="720"/>
            <w:col w:w="3340"/>
          </w:cols>
          <w:pgMar w:left="320" w:top="1230" w:right="339" w:bottom="1440" w:gutter="0" w:footer="0" w:header="0"/>
          <w:type w:val="continuous"/>
        </w:sectPr>
      </w:pPr>
    </w:p>
    <w:p>
      <w:pPr>
        <w:ind w:left="1800"/>
        <w:spacing w:after="0"/>
        <w:rPr>
          <w:sz w:val="20"/>
          <w:szCs w:val="20"/>
          <w:color w:val="auto"/>
        </w:rPr>
      </w:pPr>
      <w:r>
        <w:rPr>
          <w:rFonts w:ascii="Arial" w:cs="Arial" w:eastAsia="Arial" w:hAnsi="Arial"/>
          <w:sz w:val="16"/>
          <w:szCs w:val="16"/>
          <w:b w:val="1"/>
          <w:bCs w:val="1"/>
          <w:color w:val="auto"/>
        </w:rPr>
        <w:t>117 Kendrick St, Suite 450</w:t>
      </w:r>
    </w:p>
    <w:p>
      <w:pPr>
        <w:spacing w:after="0" w:line="18"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6"/>
          <w:szCs w:val="16"/>
          <w:b w:val="1"/>
          <w:bCs w:val="1"/>
          <w:color w:val="auto"/>
        </w:rPr>
        <w:t>Needham, MA</w:t>
      </w:r>
      <w:r>
        <w:rPr>
          <w:sz w:val="20"/>
          <w:szCs w:val="20"/>
          <w:color w:val="auto"/>
        </w:rPr>
        <w:tab/>
      </w:r>
      <w:r>
        <w:rPr>
          <w:rFonts w:ascii="Arial" w:cs="Arial" w:eastAsia="Arial" w:hAnsi="Arial"/>
          <w:sz w:val="16"/>
          <w:szCs w:val="16"/>
          <w:b w:val="1"/>
          <w:bCs w:val="1"/>
          <w:color w:val="auto"/>
        </w:rPr>
        <w:t>02494</w:t>
      </w: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45"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CADL</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2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4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5140" w:type="dxa"/>
            <w:vAlign w:val="bottom"/>
          </w:tcPr>
          <w:p>
            <w:pPr>
              <w:ind w:left="288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5, 2025, the registrant had 54,898,303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7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(international non-proprietary name: aglatimagene</w:t>
      </w:r>
    </w:p>
    <w:p>
      <w:pPr>
        <w:spacing w:after="0" w:line="8"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besadenovec) and CAN-3110 (international non-proprietary name: linoserpaturev) and any other product candidates;</w:t>
      </w:r>
    </w:p>
    <w:p>
      <w:pPr>
        <w:spacing w:after="0" w:line="8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14" w:lineRule="exact"/>
        <w:rPr>
          <w:rFonts w:ascii="Times New Roman" w:cs="Times New Roman" w:eastAsia="Times New Roman" w:hAnsi="Times New Roman"/>
          <w:sz w:val="17"/>
          <w:szCs w:val="17"/>
          <w:color w:val="auto"/>
        </w:rPr>
      </w:pPr>
    </w:p>
    <w:p>
      <w:pPr>
        <w:ind w:left="1020" w:right="7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114"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II, Item 1A - Risk Factors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6" w:right="4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4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8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will need to raise substantial additional funding. If we are unable to raise capital when needed, we would be forced to delay, reduce or eliminate some of our product development programs or commercialization efforts or initiate steps to cease operations.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(SPA)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36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ongoing geopolitical conflicts, or trade wars or other trade restrictions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ind w:left="503" w:hanging="503"/>
        <w:spacing w:after="0" w:line="243"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869950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6"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NOTE REGARDING COMPANY REFERENCES</w:t>
      </w:r>
    </w:p>
    <w:p>
      <w:pPr>
        <w:spacing w:after="0" w:line="195"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Unless the context otherwise requires, the terms “Candel Therapeutics,” “the Company,” “we,” “us,” and “our” in this Form 10-Q refer to Candel Therapeutics, Inc. and its consolidated subsidiary.</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REGARDING TRADEMARKS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9"/>
            <w:vMerge w:val="restart"/>
          </w:tcPr>
          <w:p>
            <w:pPr>
              <w:ind w:left="80"/>
              <w:spacing w:after="0" w:line="202" w:lineRule="exact"/>
              <w:rPr>
                <w:sz w:val="20"/>
                <w:szCs w:val="20"/>
                <w:color w:val="auto"/>
              </w:rPr>
            </w:pPr>
            <w:r>
              <w:rPr>
                <w:rFonts w:ascii="Arial" w:cs="Arial" w:eastAsia="Arial" w:hAnsi="Arial"/>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11"/>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98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Operations and Comprehensive Loss (Unaudited)</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12"/>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180" w:type="dxa"/>
            <w:vAlign w:val="bottom"/>
            <w:gridSpan w:val="19"/>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 (Deficit) (Unaudited)</w:t>
            </w:r>
          </w:p>
        </w:tc>
        <w:tc>
          <w:tcPr>
            <w:tcW w:w="2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2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2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Cash Flows (Unaudited)</w:t>
            </w:r>
          </w:p>
        </w:tc>
        <w:tc>
          <w:tcPr>
            <w:tcW w:w="560" w:type="dxa"/>
            <w:vAlign w:val="bottom"/>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3820" w:type="dxa"/>
            <w:vAlign w:val="bottom"/>
            <w:gridSpan w:val="4"/>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5480" w:type="dxa"/>
            <w:vAlign w:val="bottom"/>
            <w:gridSpan w:val="1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82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2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7080" w:type="dxa"/>
            <w:vAlign w:val="bottom"/>
            <w:gridSpan w:val="1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80" w:type="dxa"/>
            <w:vAlign w:val="bottom"/>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2"/>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3"/>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4"/>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vMerge w:val="continue"/>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28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840" w:type="dxa"/>
            <w:vAlign w:val="bottom"/>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76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540" w:type="dxa"/>
            <w:vAlign w:val="bottom"/>
            <w:gridSpan w:val="10"/>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1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7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631"/>
              <w:spacing w:after="0"/>
              <w:rPr>
                <w:sz w:val="20"/>
                <w:szCs w:val="20"/>
                <w:color w:val="auto"/>
              </w:rPr>
            </w:pPr>
            <w:r>
              <w:rPr>
                <w:rFonts w:ascii="Arial" w:cs="Arial" w:eastAsia="Arial" w:hAnsi="Arial"/>
                <w:sz w:val="14"/>
                <w:szCs w:val="14"/>
                <w:b w:val="1"/>
                <w:bCs w:val="1"/>
                <w:color w:val="auto"/>
              </w:rPr>
              <w:t>2024</w:t>
            </w:r>
          </w:p>
        </w:tc>
      </w:tr>
      <w:tr>
        <w:trPr>
          <w:trHeight w:val="171"/>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96"/>
        </w:trPr>
        <w:tc>
          <w:tcPr>
            <w:tcW w:w="75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86,963</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102,654</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3,171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1,150</w:t>
            </w:r>
          </w:p>
        </w:tc>
      </w:tr>
      <w:tr>
        <w:trPr>
          <w:trHeight w:val="196"/>
        </w:trPr>
        <w:tc>
          <w:tcPr>
            <w:tcW w:w="758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90,134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103,804</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Fixed assets, net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2,191</w:t>
            </w: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right of use assets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1,750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542</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266</w:t>
            </w: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85</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63</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93,598</w:t>
            </w: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106,866</w:t>
            </w:r>
          </w:p>
        </w:tc>
      </w:tr>
      <w:tr>
        <w:trPr>
          <w:trHeight w:val="20"/>
        </w:trPr>
        <w:tc>
          <w:tcPr>
            <w:tcW w:w="7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5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1,118</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237</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5,113</w:t>
            </w: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Current portion of term loan payable to a bank</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4,225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9,895</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Current portion of lease liability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566</w:t>
            </w:r>
          </w:p>
        </w:tc>
      </w:tr>
      <w:tr>
        <w:trPr>
          <w:trHeight w:val="203"/>
        </w:trPr>
        <w:tc>
          <w:tcPr>
            <w:tcW w:w="758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21,718</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10,929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37,529</w:t>
            </w: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payable to a bank</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1,733</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870</w:t>
            </w:r>
          </w:p>
        </w:tc>
      </w:tr>
      <w:tr>
        <w:trPr>
          <w:trHeight w:val="203"/>
        </w:trPr>
        <w:tc>
          <w:tcPr>
            <w:tcW w:w="7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 net of current portion</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1,572</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407</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13,474</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40,539</w:t>
            </w:r>
          </w:p>
        </w:tc>
      </w:tr>
      <w:tr>
        <w:trPr>
          <w:trHeight w:val="196"/>
        </w:trPr>
        <w:tc>
          <w:tcPr>
            <w:tcW w:w="75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Commitments and contingencies (Note 14)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4"/>
        </w:trPr>
        <w:tc>
          <w:tcPr>
            <w:tcW w:w="7580" w:type="dxa"/>
            <w:vAlign w:val="bottom"/>
            <w:shd w:val="clear" w:color="auto" w:fill="CFF0FC"/>
          </w:tcPr>
          <w:p>
            <w:pPr>
              <w:ind w:left="400"/>
              <w:spacing w:after="0" w:line="183" w:lineRule="exact"/>
              <w:rPr>
                <w:sz w:val="20"/>
                <w:szCs w:val="20"/>
                <w:color w:val="auto"/>
              </w:rPr>
            </w:pPr>
            <w:r>
              <w:rPr>
                <w:rFonts w:ascii="Arial" w:cs="Arial" w:eastAsia="Arial" w:hAnsi="Arial"/>
                <w:sz w:val="18"/>
                <w:szCs w:val="18"/>
                <w:color w:val="auto"/>
              </w:rPr>
              <w:t>Preferred stock, $0.01 par value; 10,000,000 shares authorized at September 30, 2025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and December 31, 2024; no shares issued or outstanding at September 30, 2025 and</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21"/>
        </w:trPr>
        <w:tc>
          <w:tcPr>
            <w:tcW w:w="75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December 31, 2024, respectively.</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184"/>
        </w:trPr>
        <w:tc>
          <w:tcPr>
            <w:tcW w:w="7580" w:type="dxa"/>
            <w:vAlign w:val="bottom"/>
          </w:tcPr>
          <w:p>
            <w:pPr>
              <w:ind w:left="400"/>
              <w:spacing w:after="0" w:line="183" w:lineRule="exact"/>
              <w:rPr>
                <w:sz w:val="20"/>
                <w:szCs w:val="20"/>
                <w:color w:val="auto"/>
              </w:rPr>
            </w:pPr>
            <w:r>
              <w:rPr>
                <w:rFonts w:ascii="Arial" w:cs="Arial" w:eastAsia="Arial" w:hAnsi="Arial"/>
                <w:sz w:val="18"/>
                <w:szCs w:val="18"/>
                <w:color w:val="auto"/>
              </w:rPr>
              <w:t>Common stock, $0.01 par value; 150,000,000 shares authorized at September 30, 2025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and December 31, 2024; 55,018,457 and 46,933,088 shares issued at September 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2025 and December 31, 2024, respectively; 54,895,849 and 46,810,480 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1"/>
        </w:trPr>
        <w:tc>
          <w:tcPr>
            <w:tcW w:w="7580" w:type="dxa"/>
            <w:vAlign w:val="bottom"/>
          </w:tcPr>
          <w:p>
            <w:pPr>
              <w:ind w:left="400"/>
              <w:spacing w:after="0"/>
              <w:rPr>
                <w:sz w:val="20"/>
                <w:szCs w:val="20"/>
                <w:color w:val="auto"/>
              </w:rPr>
            </w:pPr>
            <w:r>
              <w:rPr>
                <w:rFonts w:ascii="Arial" w:cs="Arial" w:eastAsia="Arial" w:hAnsi="Arial"/>
                <w:sz w:val="18"/>
                <w:szCs w:val="18"/>
                <w:color w:val="auto"/>
              </w:rPr>
              <w:t>outstanding at September 30, 2025 and December 31, 2024, respectively.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469</w:t>
            </w:r>
          </w:p>
        </w:tc>
      </w:tr>
      <w:tr>
        <w:trPr>
          <w:trHeight w:val="203"/>
        </w:trPr>
        <w:tc>
          <w:tcPr>
            <w:tcW w:w="7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Treasury stock (at cost)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r>
      <w:tr>
        <w:trPr>
          <w:trHeight w:val="203"/>
        </w:trPr>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280,913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258,511</w:t>
            </w:r>
          </w:p>
        </w:tc>
      </w:tr>
      <w:tr>
        <w:trPr>
          <w:trHeight w:val="203"/>
        </w:trPr>
        <w:tc>
          <w:tcPr>
            <w:tcW w:w="758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(200,891)</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(192,205)</w:t>
            </w:r>
          </w:p>
        </w:tc>
      </w:tr>
      <w:tr>
        <w:trPr>
          <w:trHeight w:val="196"/>
        </w:trPr>
        <w:tc>
          <w:tcPr>
            <w:tcW w:w="758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80,124</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66,327</w:t>
            </w:r>
          </w:p>
        </w:tc>
      </w:tr>
      <w:tr>
        <w:trPr>
          <w:trHeight w:val="216"/>
        </w:trPr>
        <w:tc>
          <w:tcPr>
            <w:tcW w:w="758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93,598</w:t>
            </w:r>
          </w:p>
        </w:tc>
        <w:tc>
          <w:tcPr>
            <w:tcW w:w="3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106,866</w:t>
            </w: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-3573780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-2510790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-1988185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-299720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5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5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54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Operating expenses:</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546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8,461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5,416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19,468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14,497</w:t>
            </w:r>
          </w:p>
        </w:tc>
      </w:tr>
      <w:tr>
        <w:trPr>
          <w:trHeight w:val="189"/>
        </w:trPr>
        <w:tc>
          <w:tcPr>
            <w:tcW w:w="54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General and administrative</w:t>
            </w:r>
          </w:p>
        </w:tc>
        <w:tc>
          <w:tcPr>
            <w:tcW w:w="4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4,746</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3,341</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13,046</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10,733</w:t>
            </w:r>
          </w:p>
        </w:tc>
      </w:tr>
      <w:tr>
        <w:trPr>
          <w:trHeight w:val="183"/>
        </w:trPr>
        <w:tc>
          <w:tcPr>
            <w:tcW w:w="546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operating expenses</w:t>
            </w: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13,207</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8,757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32,514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25,230</w:t>
            </w:r>
          </w:p>
        </w:tc>
      </w:tr>
      <w:tr>
        <w:trPr>
          <w:trHeight w:val="183"/>
        </w:trPr>
        <w:tc>
          <w:tcPr>
            <w:tcW w:w="5460" w:type="dxa"/>
            <w:vAlign w:val="bottom"/>
            <w:tcBorders>
              <w:bottom w:val="single" w:sz="8" w:color="CFF0FC"/>
            </w:tcBorders>
            <w:shd w:val="clear" w:color="auto" w:fill="CFF0FC"/>
          </w:tcPr>
          <w:p>
            <w:pPr>
              <w:ind w:left="460"/>
              <w:spacing w:after="0" w:line="183" w:lineRule="exact"/>
              <w:rPr>
                <w:sz w:val="20"/>
                <w:szCs w:val="20"/>
                <w:color w:val="auto"/>
              </w:rPr>
            </w:pPr>
            <w:r>
              <w:rPr>
                <w:rFonts w:ascii="Arial" w:cs="Arial" w:eastAsia="Arial" w:hAnsi="Arial"/>
                <w:sz w:val="16"/>
                <w:szCs w:val="16"/>
                <w:b w:val="1"/>
                <w:bCs w:val="1"/>
                <w:color w:val="auto"/>
              </w:rPr>
              <w:t>Loss from operations</w:t>
            </w:r>
          </w:p>
        </w:tc>
        <w:tc>
          <w:tcPr>
            <w:tcW w:w="4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(13,207)</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(8,757)</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(32,514)</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(25,230)</w:t>
            </w:r>
          </w:p>
        </w:tc>
      </w:tr>
      <w:tr>
        <w:trPr>
          <w:trHeight w:val="183"/>
        </w:trPr>
        <w:tc>
          <w:tcPr>
            <w:tcW w:w="5460" w:type="dxa"/>
            <w:vAlign w:val="bottom"/>
          </w:tcPr>
          <w:p>
            <w:pPr>
              <w:spacing w:after="0" w:line="183" w:lineRule="exact"/>
              <w:rPr>
                <w:sz w:val="20"/>
                <w:szCs w:val="20"/>
                <w:color w:val="auto"/>
              </w:rPr>
            </w:pPr>
            <w:r>
              <w:rPr>
                <w:rFonts w:ascii="Arial" w:cs="Arial" w:eastAsia="Arial" w:hAnsi="Arial"/>
                <w:sz w:val="16"/>
                <w:szCs w:val="16"/>
                <w:b w:val="1"/>
                <w:bCs w:val="1"/>
                <w:color w:val="auto"/>
              </w:rPr>
              <w:t>Other income (expense):</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54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Interest income</w:t>
            </w: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953</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796</w:t>
            </w:r>
          </w:p>
        </w:tc>
      </w:tr>
      <w:tr>
        <w:trPr>
          <w:trHeight w:val="189"/>
        </w:trPr>
        <w:tc>
          <w:tcPr>
            <w:tcW w:w="546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(1,700)</w:t>
            </w:r>
          </w:p>
        </w:tc>
      </w:tr>
      <w:tr>
        <w:trPr>
          <w:trHeight w:val="189"/>
        </w:trPr>
        <w:tc>
          <w:tcPr>
            <w:tcW w:w="54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Change in fair value of warrant liability</w:t>
            </w:r>
          </w:p>
        </w:tc>
        <w:tc>
          <w:tcPr>
            <w:tcW w:w="4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1,146</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21,718</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(14,970)</w:t>
            </w:r>
          </w:p>
        </w:tc>
      </w:tr>
      <w:tr>
        <w:trPr>
          <w:trHeight w:val="183"/>
        </w:trPr>
        <w:tc>
          <w:tcPr>
            <w:tcW w:w="546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other income (expense), net</w:t>
            </w: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1,938</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(1,889)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23,828</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(15,874)</w:t>
            </w:r>
          </w:p>
        </w:tc>
      </w:tr>
      <w:tr>
        <w:trPr>
          <w:trHeight w:val="203"/>
        </w:trPr>
        <w:tc>
          <w:tcPr>
            <w:tcW w:w="54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loss and comprehensive loss</w:t>
            </w:r>
          </w:p>
        </w:tc>
        <w:tc>
          <w:tcPr>
            <w:tcW w:w="6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(11,269)</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(10,646)</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(8,686)</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(41,104)</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r>
        <w:trPr>
          <w:trHeight w:val="169"/>
        </w:trPr>
        <w:tc>
          <w:tcPr>
            <w:tcW w:w="5460" w:type="dxa"/>
            <w:vAlign w:val="bottom"/>
          </w:tcPr>
          <w:p>
            <w:pPr>
              <w:spacing w:after="0" w:line="170" w:lineRule="exact"/>
              <w:rPr>
                <w:sz w:val="20"/>
                <w:szCs w:val="20"/>
                <w:color w:val="auto"/>
              </w:rPr>
            </w:pPr>
            <w:r>
              <w:rPr>
                <w:rFonts w:ascii="Arial" w:cs="Arial" w:eastAsia="Arial" w:hAnsi="Arial"/>
                <w:sz w:val="16"/>
                <w:szCs w:val="16"/>
                <w:b w:val="1"/>
                <w:bCs w:val="1"/>
                <w:color w:val="auto"/>
              </w:rPr>
              <w:t>Net loss per share, basic and diluted</w:t>
            </w:r>
          </w:p>
        </w:tc>
        <w:tc>
          <w:tcPr>
            <w:tcW w:w="60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(0.21)</w:t>
            </w:r>
          </w:p>
        </w:tc>
        <w:tc>
          <w:tcPr>
            <w:tcW w:w="34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6"/>
                <w:szCs w:val="16"/>
                <w:color w:val="auto"/>
              </w:rPr>
              <w:t>(0.33)</w:t>
            </w:r>
          </w:p>
        </w:tc>
        <w:tc>
          <w:tcPr>
            <w:tcW w:w="32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6"/>
                <w:szCs w:val="16"/>
                <w:color w:val="auto"/>
              </w:rPr>
              <w:t>(0.17)</w:t>
            </w:r>
          </w:p>
        </w:tc>
        <w:tc>
          <w:tcPr>
            <w:tcW w:w="32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6"/>
                <w:szCs w:val="16"/>
                <w:color w:val="auto"/>
              </w:rPr>
              <w:t>(1.35)</w:t>
            </w:r>
          </w:p>
        </w:tc>
      </w:tr>
      <w:tr>
        <w:trPr>
          <w:trHeight w:val="20"/>
        </w:trPr>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4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Weighted-average common shares outstanding, basic and diluted</w:t>
            </w:r>
          </w:p>
        </w:tc>
        <w:tc>
          <w:tcPr>
            <w:tcW w:w="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54,894,347</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32,013,569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52,305,013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30,369,129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-1319530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-1319530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-1319530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-1062355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-1062355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-1062355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-573405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-573405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-573405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-316230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-299720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-316230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-299720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-316230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-299720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vMerge w:val="restart"/>
          </w:tcPr>
          <w:p>
            <w:pPr>
              <w:jc w:val="right"/>
              <w:ind w:right="883"/>
              <w:spacing w:after="0"/>
              <w:rPr>
                <w:sz w:val="20"/>
                <w:szCs w:val="20"/>
                <w:color w:val="auto"/>
              </w:rPr>
            </w:pPr>
            <w:r>
              <w:rPr>
                <w:rFonts w:ascii="Arial" w:cs="Arial" w:eastAsia="Arial" w:hAnsi="Arial"/>
                <w:sz w:val="10"/>
                <w:szCs w:val="10"/>
                <w:b w:val="1"/>
                <w:bCs w:val="1"/>
                <w:color w:val="auto"/>
              </w:rPr>
              <w:t>COMMON STOCK</w:t>
            </w:r>
          </w:p>
        </w:tc>
        <w:tc>
          <w:tcPr>
            <w:tcW w:w="2000" w:type="dxa"/>
            <w:vAlign w:val="bottom"/>
            <w:gridSpan w:val="3"/>
            <w:vMerge w:val="restart"/>
          </w:tcPr>
          <w:p>
            <w:pPr>
              <w:jc w:val="right"/>
              <w:ind w:right="38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36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tcBorders>
              <w:bottom w:val="single" w:sz="8" w:color="auto"/>
            </w:tcBorders>
            <w:gridSpan w:val="4"/>
            <w:vMerge w:val="continue"/>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36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8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15"/>
        </w:trPr>
        <w:tc>
          <w:tcPr>
            <w:tcW w:w="2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2024</w:t>
            </w:r>
          </w:p>
        </w:tc>
        <w:tc>
          <w:tcPr>
            <w:tcW w:w="11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36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8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8"/>
        </w:trPr>
        <w:tc>
          <w:tcPr>
            <w:tcW w:w="2620" w:type="dxa"/>
            <w:vAlign w:val="bottom"/>
            <w:gridSpan w:val="2"/>
            <w:vMerge w:val="continue"/>
          </w:tcPr>
          <w:p>
            <w:pPr>
              <w:spacing w:after="0"/>
              <w:rPr>
                <w:sz w:val="11"/>
                <w:szCs w:val="11"/>
                <w:color w:val="auto"/>
              </w:rPr>
            </w:pPr>
          </w:p>
        </w:tc>
        <w:tc>
          <w:tcPr>
            <w:tcW w:w="1140" w:type="dxa"/>
            <w:vAlign w:val="bottom"/>
          </w:tcPr>
          <w:p>
            <w:pPr>
              <w:jc w:val="right"/>
              <w:ind w:right="63"/>
              <w:spacing w:after="0" w:line="129" w:lineRule="exact"/>
              <w:rPr>
                <w:sz w:val="20"/>
                <w:szCs w:val="20"/>
                <w:color w:val="auto"/>
              </w:rPr>
            </w:pPr>
            <w:r>
              <w:rPr>
                <w:rFonts w:ascii="Arial" w:cs="Arial" w:eastAsia="Arial" w:hAnsi="Arial"/>
                <w:sz w:val="12"/>
                <w:szCs w:val="12"/>
                <w:color w:val="auto"/>
              </w:rPr>
              <w:t>46,933,088</w:t>
            </w:r>
          </w:p>
        </w:tc>
        <w:tc>
          <w:tcPr>
            <w:tcW w:w="120" w:type="dxa"/>
            <w:vAlign w:val="bottom"/>
          </w:tcPr>
          <w:p>
            <w:pPr>
              <w:spacing w:after="0"/>
              <w:rPr>
                <w:sz w:val="11"/>
                <w:szCs w:val="11"/>
                <w:color w:val="auto"/>
              </w:rPr>
            </w:pPr>
          </w:p>
        </w:tc>
        <w:tc>
          <w:tcPr>
            <w:tcW w:w="240" w:type="dxa"/>
            <w:vAlign w:val="bottom"/>
          </w:tcPr>
          <w:p>
            <w:pPr>
              <w:jc w:val="right"/>
              <w:ind w:right="14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ind w:right="203"/>
              <w:spacing w:after="0" w:line="129" w:lineRule="exact"/>
              <w:rPr>
                <w:sz w:val="20"/>
                <w:szCs w:val="20"/>
                <w:color w:val="auto"/>
              </w:rPr>
            </w:pPr>
            <w:r>
              <w:rPr>
                <w:rFonts w:ascii="Arial" w:cs="Arial" w:eastAsia="Arial" w:hAnsi="Arial"/>
                <w:sz w:val="12"/>
                <w:szCs w:val="12"/>
                <w:color w:val="auto"/>
              </w:rPr>
              <w:t>469</w:t>
            </w:r>
          </w:p>
        </w:tc>
        <w:tc>
          <w:tcPr>
            <w:tcW w:w="1160" w:type="dxa"/>
            <w:vAlign w:val="bottom"/>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0" w:type="dxa"/>
            <w:vAlign w:val="bottom"/>
          </w:tcPr>
          <w:p>
            <w:pPr>
              <w:spacing w:after="0"/>
              <w:rPr>
                <w:sz w:val="11"/>
                <w:szCs w:val="11"/>
                <w:color w:val="auto"/>
              </w:rPr>
            </w:pPr>
          </w:p>
        </w:tc>
        <w:tc>
          <w:tcPr>
            <w:tcW w:w="760" w:type="dxa"/>
            <w:vAlign w:val="bottom"/>
          </w:tcPr>
          <w:p>
            <w:pPr>
              <w:jc w:val="right"/>
              <w:ind w:right="649"/>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ind w:right="204"/>
              <w:spacing w:after="0" w:line="129" w:lineRule="exact"/>
              <w:rPr>
                <w:sz w:val="20"/>
                <w:szCs w:val="20"/>
                <w:color w:val="auto"/>
              </w:rPr>
            </w:pPr>
            <w:r>
              <w:rPr>
                <w:rFonts w:ascii="Arial" w:cs="Arial" w:eastAsia="Arial" w:hAnsi="Arial"/>
                <w:sz w:val="12"/>
                <w:szCs w:val="12"/>
                <w:color w:val="auto"/>
              </w:rPr>
              <w:t>258,511</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123"/>
              <w:spacing w:after="0" w:line="129" w:lineRule="exact"/>
              <w:rPr>
                <w:sz w:val="20"/>
                <w:szCs w:val="20"/>
                <w:color w:val="auto"/>
              </w:rPr>
            </w:pPr>
            <w:r>
              <w:rPr>
                <w:rFonts w:ascii="Arial" w:cs="Arial" w:eastAsia="Arial" w:hAnsi="Arial"/>
                <w:sz w:val="12"/>
                <w:szCs w:val="12"/>
                <w:color w:val="auto"/>
              </w:rPr>
              <w:t>(192,205)</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66,327</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217,359</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3"/>
              <w:spacing w:after="0" w:line="135" w:lineRule="exact"/>
              <w:rPr>
                <w:sz w:val="20"/>
                <w:szCs w:val="20"/>
                <w:color w:val="auto"/>
              </w:rPr>
            </w:pPr>
            <w:r>
              <w:rPr>
                <w:rFonts w:ascii="Arial" w:cs="Arial" w:eastAsia="Arial" w:hAnsi="Arial"/>
                <w:sz w:val="12"/>
                <w:szCs w:val="12"/>
                <w:color w:val="auto"/>
              </w:rPr>
              <w:t>3</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509</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512</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3"/>
              <w:spacing w:after="0" w:line="135"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204"/>
              <w:spacing w:after="0" w:line="135" w:lineRule="exact"/>
              <w:rPr>
                <w:sz w:val="20"/>
                <w:szCs w:val="20"/>
                <w:color w:val="auto"/>
              </w:rPr>
            </w:pPr>
            <w:r>
              <w:rPr>
                <w:rFonts w:ascii="Arial" w:cs="Arial" w:eastAsia="Arial" w:hAnsi="Arial"/>
                <w:sz w:val="12"/>
                <w:szCs w:val="12"/>
                <w:color w:val="auto"/>
              </w:rPr>
              <w:t>3,108</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3,108</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Restricted stock unit vesting</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330,779</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3"/>
              <w:spacing w:after="0" w:line="135" w:lineRule="exact"/>
              <w:rPr>
                <w:sz w:val="20"/>
                <w:szCs w:val="20"/>
                <w:color w:val="auto"/>
              </w:rPr>
            </w:pPr>
            <w:r>
              <w:rPr>
                <w:rFonts w:ascii="Arial" w:cs="Arial" w:eastAsia="Arial" w:hAnsi="Arial"/>
                <w:sz w:val="12"/>
                <w:szCs w:val="12"/>
                <w:color w:val="auto"/>
              </w:rPr>
              <w:t>3</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44"/>
              <w:spacing w:after="0" w:line="135" w:lineRule="exact"/>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44"/>
              <w:spacing w:after="0"/>
              <w:rPr>
                <w:sz w:val="20"/>
                <w:szCs w:val="20"/>
                <w:color w:val="auto"/>
              </w:rPr>
            </w:pPr>
            <w:r>
              <w:rPr>
                <w:rFonts w:ascii="Arial" w:cs="Arial" w:eastAsia="Arial" w:hAnsi="Arial"/>
                <w:sz w:val="12"/>
                <w:szCs w:val="12"/>
                <w:color w:val="auto"/>
              </w:rPr>
              <w:t>(581)</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23"/>
              <w:spacing w:after="0"/>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987,772</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3"/>
              <w:spacing w:after="0"/>
              <w:rPr>
                <w:sz w:val="20"/>
                <w:szCs w:val="20"/>
                <w:color w:val="auto"/>
              </w:rPr>
            </w:pPr>
            <w:r>
              <w:rPr>
                <w:rFonts w:ascii="Arial" w:cs="Arial" w:eastAsia="Arial" w:hAnsi="Arial"/>
                <w:sz w:val="12"/>
                <w:szCs w:val="12"/>
                <w:color w:val="auto"/>
              </w:rPr>
              <w:t>10</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5,028</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5,038</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Exercise of pre-funded warrants</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3,328,064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3"/>
              <w:spacing w:after="0" w:line="135" w:lineRule="exact"/>
              <w:rPr>
                <w:sz w:val="20"/>
                <w:szCs w:val="20"/>
                <w:color w:val="auto"/>
              </w:rPr>
            </w:pPr>
            <w:r>
              <w:rPr>
                <w:rFonts w:ascii="Arial" w:cs="Arial" w:eastAsia="Arial" w:hAnsi="Arial"/>
                <w:sz w:val="12"/>
                <w:szCs w:val="12"/>
                <w:color w:val="auto"/>
              </w:rPr>
              <w:t>33</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44"/>
              <w:spacing w:after="0" w:line="135" w:lineRule="exact"/>
              <w:rPr>
                <w:sz w:val="20"/>
                <w:szCs w:val="20"/>
                <w:color w:val="auto"/>
              </w:rPr>
            </w:pPr>
            <w:r>
              <w:rPr>
                <w:rFonts w:ascii="Arial" w:cs="Arial" w:eastAsia="Arial" w:hAnsi="Arial"/>
                <w:sz w:val="12"/>
                <w:szCs w:val="12"/>
                <w:color w:val="auto"/>
              </w:rPr>
              <w:t>(33)</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Issuance costs related to common stock</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and accompanying pre-funded</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warrants in public offering</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3"/>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75</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Issuance of common stock</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in registered direct offering, net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issuance costs of $0.7 million</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3,221,395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3"/>
              <w:spacing w:after="0"/>
              <w:rPr>
                <w:sz w:val="20"/>
                <w:szCs w:val="20"/>
                <w:color w:val="auto"/>
              </w:rPr>
            </w:pPr>
            <w:r>
              <w:rPr>
                <w:rFonts w:ascii="Arial" w:cs="Arial" w:eastAsia="Arial" w:hAnsi="Arial"/>
                <w:sz w:val="12"/>
                <w:szCs w:val="12"/>
                <w:color w:val="auto"/>
              </w:rPr>
              <w:t>32</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204"/>
              <w:spacing w:after="0"/>
              <w:rPr>
                <w:sz w:val="20"/>
                <w:szCs w:val="20"/>
                <w:color w:val="auto"/>
              </w:rPr>
            </w:pPr>
            <w:r>
              <w:rPr>
                <w:rFonts w:ascii="Arial" w:cs="Arial" w:eastAsia="Arial" w:hAnsi="Arial"/>
                <w:sz w:val="12"/>
                <w:szCs w:val="12"/>
                <w:color w:val="auto"/>
              </w:rPr>
              <w:t>14,299</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83"/>
              <w:spacing w:after="0"/>
              <w:rPr>
                <w:sz w:val="20"/>
                <w:szCs w:val="20"/>
                <w:color w:val="auto"/>
              </w:rPr>
            </w:pPr>
            <w:r>
              <w:rPr>
                <w:rFonts w:ascii="Arial" w:cs="Arial" w:eastAsia="Arial" w:hAnsi="Arial"/>
                <w:sz w:val="12"/>
                <w:szCs w:val="12"/>
                <w:color w:val="auto"/>
              </w:rPr>
              <w:t>14,331</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FF0FC"/>
            </w:tcBorders>
            <w:gridSpan w:val="2"/>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1140" w:type="dxa"/>
            <w:vAlign w:val="bottom"/>
            <w:tcBorders>
              <w:bottom w:val="single" w:sz="8" w:color="auto"/>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right w:val="single" w:sz="8" w:color="CFF0FC"/>
            </w:tcBorders>
            <w:shd w:val="clear" w:color="auto" w:fill="CFF0FC"/>
          </w:tcPr>
          <w:p>
            <w:pPr>
              <w:jc w:val="right"/>
              <w:ind w:right="203"/>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left w:val="single" w:sz="8" w:color="CFF0FC"/>
              <w:bottom w:val="single" w:sz="8" w:color="auto"/>
            </w:tcBorders>
            <w:shd w:val="clear" w:color="auto" w:fill="CFF0FC"/>
          </w:tcPr>
          <w:p>
            <w:pPr>
              <w:spacing w:after="0"/>
              <w:rPr>
                <w:sz w:val="11"/>
                <w:szCs w:val="11"/>
                <w:color w:val="auto"/>
              </w:rPr>
            </w:pPr>
          </w:p>
        </w:tc>
        <w:tc>
          <w:tcPr>
            <w:tcW w:w="460" w:type="dxa"/>
            <w:vAlign w:val="bottom"/>
            <w:tcBorders>
              <w:bottom w:val="single" w:sz="8" w:color="auto"/>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bottom w:val="single" w:sz="8" w:color="auto"/>
            </w:tcBorders>
            <w:shd w:val="clear" w:color="auto" w:fill="CFF0FC"/>
          </w:tcPr>
          <w:p>
            <w:pPr>
              <w:spacing w:after="0"/>
              <w:rPr>
                <w:sz w:val="11"/>
                <w:szCs w:val="11"/>
                <w:color w:val="auto"/>
              </w:rPr>
            </w:pPr>
          </w:p>
        </w:tc>
        <w:tc>
          <w:tcPr>
            <w:tcW w:w="1100" w:type="dxa"/>
            <w:vAlign w:val="bottom"/>
            <w:tcBorders>
              <w:bottom w:val="single" w:sz="8" w:color="auto"/>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right w:val="single" w:sz="8" w:color="CFF0FC"/>
            </w:tcBorders>
            <w:shd w:val="clear" w:color="auto" w:fill="CFF0FC"/>
          </w:tcPr>
          <w:p>
            <w:pPr>
              <w:jc w:val="right"/>
              <w:ind w:right="123"/>
              <w:spacing w:after="0" w:line="135" w:lineRule="exact"/>
              <w:rPr>
                <w:sz w:val="20"/>
                <w:szCs w:val="20"/>
                <w:color w:val="auto"/>
              </w:rPr>
            </w:pPr>
            <w:r>
              <w:rPr>
                <w:rFonts w:ascii="Arial" w:cs="Arial" w:eastAsia="Arial" w:hAnsi="Arial"/>
                <w:sz w:val="12"/>
                <w:szCs w:val="12"/>
                <w:color w:val="auto"/>
              </w:rPr>
              <w:t>(8,686)</w:t>
            </w: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23"/>
              <w:spacing w:after="0" w:line="135" w:lineRule="exact"/>
              <w:rPr>
                <w:sz w:val="20"/>
                <w:szCs w:val="20"/>
                <w:color w:val="auto"/>
              </w:rPr>
            </w:pPr>
            <w:r>
              <w:rPr>
                <w:rFonts w:ascii="Arial" w:cs="Arial" w:eastAsia="Arial" w:hAnsi="Arial"/>
                <w:sz w:val="12"/>
                <w:szCs w:val="12"/>
                <w:color w:val="auto"/>
              </w:rPr>
              <w:t>(8,686)</w:t>
            </w:r>
          </w:p>
        </w:tc>
        <w:tc>
          <w:tcPr>
            <w:tcW w:w="0" w:type="dxa"/>
            <w:vAlign w:val="bottom"/>
          </w:tcPr>
          <w:p>
            <w:pPr>
              <w:spacing w:after="0"/>
              <w:rPr>
                <w:sz w:val="1"/>
                <w:szCs w:val="1"/>
                <w:color w:val="auto"/>
              </w:rPr>
            </w:pPr>
          </w:p>
        </w:tc>
      </w:tr>
      <w:tr>
        <w:trPr>
          <w:trHeight w:val="128"/>
        </w:trPr>
        <w:tc>
          <w:tcPr>
            <w:tcW w:w="2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Balance, September 30, 2025</w:t>
            </w:r>
          </w:p>
        </w:tc>
        <w:tc>
          <w:tcPr>
            <w:tcW w:w="1140" w:type="dxa"/>
            <w:vAlign w:val="bottom"/>
          </w:tcPr>
          <w:p>
            <w:pPr>
              <w:jc w:val="right"/>
              <w:ind w:right="63"/>
              <w:spacing w:after="0" w:line="129" w:lineRule="exact"/>
              <w:rPr>
                <w:sz w:val="20"/>
                <w:szCs w:val="20"/>
                <w:color w:val="auto"/>
              </w:rPr>
            </w:pPr>
            <w:r>
              <w:rPr>
                <w:rFonts w:ascii="Arial" w:cs="Arial" w:eastAsia="Arial" w:hAnsi="Arial"/>
                <w:sz w:val="12"/>
                <w:szCs w:val="12"/>
                <w:color w:val="auto"/>
              </w:rPr>
              <w:t>55,018,457</w:t>
            </w:r>
          </w:p>
        </w:tc>
        <w:tc>
          <w:tcPr>
            <w:tcW w:w="360" w:type="dxa"/>
            <w:vAlign w:val="bottom"/>
            <w:gridSpan w:val="2"/>
          </w:tcPr>
          <w:p>
            <w:pPr>
              <w:jc w:val="right"/>
              <w:ind w:right="145"/>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03"/>
              <w:spacing w:after="0" w:line="129" w:lineRule="exact"/>
              <w:rPr>
                <w:sz w:val="20"/>
                <w:szCs w:val="20"/>
                <w:color w:val="auto"/>
              </w:rPr>
            </w:pPr>
            <w:r>
              <w:rPr>
                <w:rFonts w:ascii="Arial" w:cs="Arial" w:eastAsia="Arial" w:hAnsi="Arial"/>
                <w:sz w:val="12"/>
                <w:szCs w:val="12"/>
                <w:color w:val="auto"/>
              </w:rPr>
              <w:t>550</w:t>
            </w:r>
          </w:p>
        </w:tc>
        <w:tc>
          <w:tcPr>
            <w:tcW w:w="1160" w:type="dxa"/>
            <w:vAlign w:val="bottom"/>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tcPr>
          <w:p>
            <w:pPr>
              <w:jc w:val="right"/>
              <w:ind w:right="649"/>
              <w:spacing w:after="0" w:line="129"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ind w:right="204"/>
              <w:spacing w:after="0" w:line="129" w:lineRule="exact"/>
              <w:rPr>
                <w:sz w:val="20"/>
                <w:szCs w:val="20"/>
                <w:color w:val="auto"/>
              </w:rPr>
            </w:pPr>
            <w:r>
              <w:rPr>
                <w:rFonts w:ascii="Arial" w:cs="Arial" w:eastAsia="Arial" w:hAnsi="Arial"/>
                <w:sz w:val="12"/>
                <w:szCs w:val="12"/>
                <w:color w:val="auto"/>
              </w:rPr>
              <w:t>280,913</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123"/>
              <w:spacing w:after="0" w:line="129" w:lineRule="exact"/>
              <w:rPr>
                <w:sz w:val="20"/>
                <w:szCs w:val="20"/>
                <w:color w:val="auto"/>
              </w:rPr>
            </w:pPr>
            <w:r>
              <w:rPr>
                <w:rFonts w:ascii="Arial" w:cs="Arial" w:eastAsia="Arial" w:hAnsi="Arial"/>
                <w:sz w:val="12"/>
                <w:szCs w:val="12"/>
                <w:color w:val="auto"/>
              </w:rPr>
              <w:t>(200,891)</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80,124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4"/>
            <w:vMerge w:val="restart"/>
          </w:tcPr>
          <w:p>
            <w:pPr>
              <w:jc w:val="right"/>
              <w:ind w:right="883"/>
              <w:spacing w:after="0"/>
              <w:rPr>
                <w:sz w:val="20"/>
                <w:szCs w:val="20"/>
                <w:color w:val="auto"/>
              </w:rPr>
            </w:pPr>
            <w:r>
              <w:rPr>
                <w:rFonts w:ascii="Arial" w:cs="Arial" w:eastAsia="Arial" w:hAnsi="Arial"/>
                <w:sz w:val="10"/>
                <w:szCs w:val="10"/>
                <w:b w:val="1"/>
                <w:bCs w:val="1"/>
                <w:color w:val="auto"/>
              </w:rPr>
              <w:t>COMMON STOCK</w:t>
            </w:r>
          </w:p>
        </w:tc>
        <w:tc>
          <w:tcPr>
            <w:tcW w:w="2000" w:type="dxa"/>
            <w:vAlign w:val="bottom"/>
            <w:gridSpan w:val="3"/>
            <w:vMerge w:val="restart"/>
          </w:tcPr>
          <w:p>
            <w:pPr>
              <w:jc w:val="right"/>
              <w:ind w:right="38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36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tcBorders>
              <w:bottom w:val="single" w:sz="8" w:color="auto"/>
            </w:tcBorders>
            <w:gridSpan w:val="4"/>
            <w:vMerge w:val="continue"/>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36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8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36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8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June 30, 2025</w:t>
            </w:r>
          </w:p>
        </w:tc>
        <w:tc>
          <w:tcPr>
            <w:tcW w:w="1140" w:type="dxa"/>
            <w:vAlign w:val="bottom"/>
            <w:tcBorders>
              <w:right w:val="single" w:sz="8" w:color="CFF0FC"/>
            </w:tcBorders>
            <w:shd w:val="clear" w:color="auto" w:fill="CFF0FC"/>
          </w:tcPr>
          <w:p>
            <w:pPr>
              <w:jc w:val="right"/>
              <w:ind w:right="63"/>
              <w:spacing w:after="0" w:line="129" w:lineRule="exact"/>
              <w:rPr>
                <w:sz w:val="20"/>
                <w:szCs w:val="20"/>
                <w:color w:val="auto"/>
              </w:rPr>
            </w:pPr>
            <w:r>
              <w:rPr>
                <w:rFonts w:ascii="Arial" w:cs="Arial" w:eastAsia="Arial" w:hAnsi="Arial"/>
                <w:sz w:val="12"/>
                <w:szCs w:val="12"/>
                <w:color w:val="auto"/>
              </w:rPr>
              <w:t>55,012,239</w:t>
            </w:r>
          </w:p>
        </w:tc>
        <w:tc>
          <w:tcPr>
            <w:tcW w:w="360" w:type="dxa"/>
            <w:vAlign w:val="bottom"/>
            <w:gridSpan w:val="2"/>
            <w:shd w:val="clear" w:color="auto" w:fill="CFF0FC"/>
          </w:tcPr>
          <w:p>
            <w:pPr>
              <w:jc w:val="right"/>
              <w:ind w:right="145"/>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203"/>
              <w:spacing w:after="0" w:line="129" w:lineRule="exact"/>
              <w:rPr>
                <w:sz w:val="20"/>
                <w:szCs w:val="20"/>
                <w:color w:val="auto"/>
              </w:rPr>
            </w:pPr>
            <w:r>
              <w:rPr>
                <w:rFonts w:ascii="Arial" w:cs="Arial" w:eastAsia="Arial" w:hAnsi="Arial"/>
                <w:sz w:val="12"/>
                <w:szCs w:val="12"/>
                <w:color w:val="auto"/>
              </w:rPr>
              <w:t>549</w:t>
            </w:r>
          </w:p>
        </w:tc>
        <w:tc>
          <w:tcPr>
            <w:tcW w:w="1160" w:type="dxa"/>
            <w:vAlign w:val="bottom"/>
            <w:tcBorders>
              <w:right w:val="single" w:sz="8" w:color="CFF0FC"/>
            </w:tcBorders>
            <w:shd w:val="clear" w:color="auto" w:fill="CFF0FC"/>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4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Borders>
              <w:left w:val="single" w:sz="8" w:color="CFF0FC"/>
            </w:tcBorders>
            <w:shd w:val="clear" w:color="auto" w:fill="CFF0FC"/>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Borders>
              <w:right w:val="single" w:sz="8" w:color="CFF0FC"/>
            </w:tcBorders>
            <w:shd w:val="clear" w:color="auto" w:fill="CFF0FC"/>
          </w:tcPr>
          <w:p>
            <w:pPr>
              <w:jc w:val="right"/>
              <w:ind w:right="204"/>
              <w:spacing w:after="0" w:line="129" w:lineRule="exact"/>
              <w:rPr>
                <w:sz w:val="20"/>
                <w:szCs w:val="20"/>
                <w:color w:val="auto"/>
              </w:rPr>
            </w:pPr>
            <w:r>
              <w:rPr>
                <w:rFonts w:ascii="Arial" w:cs="Arial" w:eastAsia="Arial" w:hAnsi="Arial"/>
                <w:sz w:val="12"/>
                <w:szCs w:val="12"/>
                <w:color w:val="auto"/>
              </w:rPr>
              <w:t>279,731</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right w:val="single" w:sz="8" w:color="CFF0FC"/>
            </w:tcBorders>
            <w:shd w:val="clear" w:color="auto" w:fill="CFF0FC"/>
          </w:tcPr>
          <w:p>
            <w:pPr>
              <w:jc w:val="right"/>
              <w:ind w:right="123"/>
              <w:spacing w:after="0" w:line="129" w:lineRule="exact"/>
              <w:rPr>
                <w:sz w:val="20"/>
                <w:szCs w:val="20"/>
                <w:color w:val="auto"/>
              </w:rPr>
            </w:pPr>
            <w:r>
              <w:rPr>
                <w:rFonts w:ascii="Arial" w:cs="Arial" w:eastAsia="Arial" w:hAnsi="Arial"/>
                <w:sz w:val="12"/>
                <w:szCs w:val="12"/>
                <w:color w:val="auto"/>
              </w:rPr>
              <w:t>(189,622)</w:t>
            </w:r>
          </w:p>
        </w:tc>
        <w:tc>
          <w:tcPr>
            <w:tcW w:w="120" w:type="dxa"/>
            <w:vAlign w:val="bottom"/>
            <w:tcBorders>
              <w:left w:val="single" w:sz="8" w:color="CFF0FC"/>
            </w:tcBorders>
            <w:shd w:val="clear" w:color="auto" w:fill="CFF0FC"/>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90,210</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6,218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3"/>
              <w:spacing w:after="0" w:line="135" w:lineRule="exact"/>
              <w:rPr>
                <w:sz w:val="20"/>
                <w:szCs w:val="20"/>
                <w:color w:val="auto"/>
              </w:rPr>
            </w:pPr>
            <w:r>
              <w:rPr>
                <w:rFonts w:ascii="Arial" w:cs="Arial" w:eastAsia="Arial" w:hAnsi="Arial"/>
                <w:sz w:val="12"/>
                <w:szCs w:val="12"/>
                <w:color w:val="auto"/>
              </w:rPr>
              <w:t>1</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204"/>
              <w:spacing w:after="0" w:line="135" w:lineRule="exact"/>
              <w:rPr>
                <w:sz w:val="20"/>
                <w:szCs w:val="20"/>
                <w:color w:val="auto"/>
              </w:rPr>
            </w:pPr>
            <w:r>
              <w:rPr>
                <w:rFonts w:ascii="Arial" w:cs="Arial" w:eastAsia="Arial" w:hAnsi="Arial"/>
                <w:sz w:val="12"/>
                <w:szCs w:val="12"/>
                <w:color w:val="auto"/>
              </w:rPr>
              <w:t>19</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3"/>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1,161</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1,161</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204"/>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83"/>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FF0FC"/>
            </w:tcBorders>
            <w:gridSpan w:val="2"/>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1140" w:type="dxa"/>
            <w:vAlign w:val="bottom"/>
            <w:tcBorders>
              <w:bottom w:val="single" w:sz="8" w:color="auto"/>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right w:val="single" w:sz="8" w:color="CFF0FC"/>
            </w:tcBorders>
            <w:shd w:val="clear" w:color="auto" w:fill="CFF0FC"/>
          </w:tcPr>
          <w:p>
            <w:pPr>
              <w:jc w:val="right"/>
              <w:ind w:right="203"/>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left w:val="single" w:sz="8" w:color="CFF0FC"/>
              <w:bottom w:val="single" w:sz="8" w:color="auto"/>
            </w:tcBorders>
            <w:shd w:val="clear" w:color="auto" w:fill="CFF0FC"/>
          </w:tcPr>
          <w:p>
            <w:pPr>
              <w:spacing w:after="0"/>
              <w:rPr>
                <w:sz w:val="11"/>
                <w:szCs w:val="11"/>
                <w:color w:val="auto"/>
              </w:rPr>
            </w:pPr>
          </w:p>
        </w:tc>
        <w:tc>
          <w:tcPr>
            <w:tcW w:w="460" w:type="dxa"/>
            <w:vAlign w:val="bottom"/>
            <w:tcBorders>
              <w:bottom w:val="single" w:sz="8" w:color="auto"/>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bottom w:val="single" w:sz="8" w:color="auto"/>
            </w:tcBorders>
            <w:shd w:val="clear" w:color="auto" w:fill="CFF0FC"/>
          </w:tcPr>
          <w:p>
            <w:pPr>
              <w:spacing w:after="0"/>
              <w:rPr>
                <w:sz w:val="11"/>
                <w:szCs w:val="11"/>
                <w:color w:val="auto"/>
              </w:rPr>
            </w:pPr>
          </w:p>
        </w:tc>
        <w:tc>
          <w:tcPr>
            <w:tcW w:w="1100" w:type="dxa"/>
            <w:vAlign w:val="bottom"/>
            <w:tcBorders>
              <w:bottom w:val="single" w:sz="8" w:color="auto"/>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right w:val="single" w:sz="8" w:color="CFF0FC"/>
            </w:tcBorders>
            <w:shd w:val="clear" w:color="auto" w:fill="CFF0FC"/>
          </w:tcPr>
          <w:p>
            <w:pPr>
              <w:jc w:val="right"/>
              <w:ind w:right="123"/>
              <w:spacing w:after="0" w:line="135" w:lineRule="exact"/>
              <w:rPr>
                <w:sz w:val="20"/>
                <w:szCs w:val="20"/>
                <w:color w:val="auto"/>
              </w:rPr>
            </w:pPr>
            <w:r>
              <w:rPr>
                <w:rFonts w:ascii="Arial" w:cs="Arial" w:eastAsia="Arial" w:hAnsi="Arial"/>
                <w:sz w:val="12"/>
                <w:szCs w:val="12"/>
                <w:color w:val="auto"/>
              </w:rPr>
              <w:t>(11,269)</w:t>
            </w: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23"/>
              <w:spacing w:after="0" w:line="135" w:lineRule="exact"/>
              <w:rPr>
                <w:sz w:val="20"/>
                <w:szCs w:val="20"/>
                <w:color w:val="auto"/>
              </w:rPr>
            </w:pPr>
            <w:r>
              <w:rPr>
                <w:rFonts w:ascii="Arial" w:cs="Arial" w:eastAsia="Arial" w:hAnsi="Arial"/>
                <w:sz w:val="12"/>
                <w:szCs w:val="12"/>
                <w:color w:val="auto"/>
              </w:rPr>
              <w:t>(11,269)</w:t>
            </w:r>
          </w:p>
        </w:tc>
        <w:tc>
          <w:tcPr>
            <w:tcW w:w="0" w:type="dxa"/>
            <w:vAlign w:val="bottom"/>
          </w:tcPr>
          <w:p>
            <w:pPr>
              <w:spacing w:after="0"/>
              <w:rPr>
                <w:sz w:val="1"/>
                <w:szCs w:val="1"/>
                <w:color w:val="auto"/>
              </w:rPr>
            </w:pPr>
          </w:p>
        </w:tc>
      </w:tr>
      <w:tr>
        <w:trPr>
          <w:trHeight w:val="128"/>
        </w:trPr>
        <w:tc>
          <w:tcPr>
            <w:tcW w:w="2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Balance, September 30, 2025</w:t>
            </w:r>
          </w:p>
        </w:tc>
        <w:tc>
          <w:tcPr>
            <w:tcW w:w="1140" w:type="dxa"/>
            <w:vAlign w:val="bottom"/>
          </w:tcPr>
          <w:p>
            <w:pPr>
              <w:jc w:val="right"/>
              <w:ind w:right="63"/>
              <w:spacing w:after="0" w:line="129" w:lineRule="exact"/>
              <w:rPr>
                <w:sz w:val="20"/>
                <w:szCs w:val="20"/>
                <w:color w:val="auto"/>
              </w:rPr>
            </w:pPr>
            <w:r>
              <w:rPr>
                <w:rFonts w:ascii="Arial" w:cs="Arial" w:eastAsia="Arial" w:hAnsi="Arial"/>
                <w:sz w:val="12"/>
                <w:szCs w:val="12"/>
                <w:color w:val="auto"/>
              </w:rPr>
              <w:t>55,018,457</w:t>
            </w:r>
          </w:p>
        </w:tc>
        <w:tc>
          <w:tcPr>
            <w:tcW w:w="360" w:type="dxa"/>
            <w:vAlign w:val="bottom"/>
            <w:gridSpan w:val="2"/>
          </w:tcPr>
          <w:p>
            <w:pPr>
              <w:jc w:val="right"/>
              <w:ind w:right="145"/>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03"/>
              <w:spacing w:after="0" w:line="129" w:lineRule="exact"/>
              <w:rPr>
                <w:sz w:val="20"/>
                <w:szCs w:val="20"/>
                <w:color w:val="auto"/>
              </w:rPr>
            </w:pPr>
            <w:r>
              <w:rPr>
                <w:rFonts w:ascii="Arial" w:cs="Arial" w:eastAsia="Arial" w:hAnsi="Arial"/>
                <w:sz w:val="12"/>
                <w:szCs w:val="12"/>
                <w:color w:val="auto"/>
              </w:rPr>
              <w:t>550</w:t>
            </w:r>
          </w:p>
        </w:tc>
        <w:tc>
          <w:tcPr>
            <w:tcW w:w="1160" w:type="dxa"/>
            <w:vAlign w:val="bottom"/>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tcPr>
          <w:p>
            <w:pPr>
              <w:jc w:val="right"/>
              <w:ind w:right="649"/>
              <w:spacing w:after="0" w:line="129"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ind w:right="204"/>
              <w:spacing w:after="0" w:line="129" w:lineRule="exact"/>
              <w:rPr>
                <w:sz w:val="20"/>
                <w:szCs w:val="20"/>
                <w:color w:val="auto"/>
              </w:rPr>
            </w:pPr>
            <w:r>
              <w:rPr>
                <w:rFonts w:ascii="Arial" w:cs="Arial" w:eastAsia="Arial" w:hAnsi="Arial"/>
                <w:sz w:val="12"/>
                <w:szCs w:val="12"/>
                <w:color w:val="auto"/>
              </w:rPr>
              <w:t>280,913</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123"/>
              <w:spacing w:after="0" w:line="129" w:lineRule="exact"/>
              <w:rPr>
                <w:sz w:val="20"/>
                <w:szCs w:val="20"/>
                <w:color w:val="auto"/>
              </w:rPr>
            </w:pPr>
            <w:r>
              <w:rPr>
                <w:rFonts w:ascii="Arial" w:cs="Arial" w:eastAsia="Arial" w:hAnsi="Arial"/>
                <w:sz w:val="12"/>
                <w:szCs w:val="12"/>
                <w:color w:val="auto"/>
              </w:rPr>
              <w:t>(200,891)</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80,124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960" w:type="dxa"/>
            <w:vAlign w:val="bottom"/>
          </w:tcPr>
          <w:p>
            <w:pPr>
              <w:spacing w:after="0"/>
              <w:rPr>
                <w:sz w:val="21"/>
                <w:szCs w:val="21"/>
                <w:color w:val="auto"/>
              </w:rPr>
            </w:pPr>
          </w:p>
        </w:tc>
        <w:tc>
          <w:tcPr>
            <w:tcW w:w="2000" w:type="dxa"/>
            <w:vAlign w:val="bottom"/>
            <w:gridSpan w:val="3"/>
            <w:vMerge w:val="restart"/>
          </w:tcPr>
          <w:p>
            <w:pPr>
              <w:jc w:val="right"/>
              <w:ind w:right="34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28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28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143"/>
              <w:spacing w:after="0" w:line="113"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463"/>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284"/>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0"/>
                <w:szCs w:val="10"/>
                <w:color w:val="auto"/>
              </w:rPr>
            </w:pPr>
          </w:p>
        </w:tc>
        <w:tc>
          <w:tcPr>
            <w:tcW w:w="1120" w:type="dxa"/>
            <w:vAlign w:val="bottom"/>
          </w:tcPr>
          <w:p>
            <w:pPr>
              <w:jc w:val="center"/>
              <w:ind w:right="20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Pr>
          <w:p>
            <w:pPr>
              <w:spacing w:after="0"/>
              <w:rPr>
                <w:sz w:val="10"/>
                <w:szCs w:val="10"/>
                <w:color w:val="auto"/>
              </w:rPr>
            </w:pPr>
          </w:p>
        </w:tc>
        <w:tc>
          <w:tcPr>
            <w:tcW w:w="1120" w:type="dxa"/>
            <w:vAlign w:val="bottom"/>
          </w:tcPr>
          <w:p>
            <w:pPr>
              <w:jc w:val="center"/>
              <w:ind w:right="143"/>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28"/>
        </w:trPr>
        <w:tc>
          <w:tcPr>
            <w:tcW w:w="2540" w:type="dxa"/>
            <w:vAlign w:val="bottom"/>
          </w:tcPr>
          <w:p>
            <w:pPr>
              <w:spacing w:after="0" w:line="129" w:lineRule="exact"/>
              <w:rPr>
                <w:sz w:val="20"/>
                <w:szCs w:val="20"/>
                <w:color w:val="auto"/>
              </w:rPr>
            </w:pPr>
            <w:r>
              <w:rPr>
                <w:rFonts w:ascii="Arial" w:cs="Arial" w:eastAsia="Arial" w:hAnsi="Arial"/>
                <w:sz w:val="12"/>
                <w:szCs w:val="12"/>
                <w:b w:val="1"/>
                <w:bCs w:val="1"/>
                <w:color w:val="auto"/>
              </w:rPr>
              <w:t>Balance, December 31, 2023</w:t>
            </w: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03"/>
              <w:spacing w:after="0" w:line="129" w:lineRule="exact"/>
              <w:rPr>
                <w:sz w:val="20"/>
                <w:szCs w:val="20"/>
                <w:color w:val="auto"/>
              </w:rPr>
            </w:pPr>
            <w:r>
              <w:rPr>
                <w:rFonts w:ascii="Arial" w:cs="Arial" w:eastAsia="Arial" w:hAnsi="Arial"/>
                <w:sz w:val="12"/>
                <w:szCs w:val="12"/>
                <w:color w:val="auto"/>
              </w:rPr>
              <w:t>29,213,627</w:t>
            </w:r>
          </w:p>
        </w:tc>
        <w:tc>
          <w:tcPr>
            <w:tcW w:w="120" w:type="dxa"/>
            <w:vAlign w:val="bottom"/>
          </w:tcPr>
          <w:p>
            <w:pPr>
              <w:spacing w:after="0"/>
              <w:rPr>
                <w:sz w:val="11"/>
                <w:szCs w:val="11"/>
                <w:color w:val="auto"/>
              </w:rPr>
            </w:pPr>
          </w:p>
        </w:tc>
        <w:tc>
          <w:tcPr>
            <w:tcW w:w="240" w:type="dxa"/>
            <w:vAlign w:val="bottom"/>
            <w:tcBorders>
              <w:top w:val="single" w:sz="8" w:color="auto"/>
            </w:tcBorders>
          </w:tcPr>
          <w:p>
            <w:pPr>
              <w:jc w:val="right"/>
              <w:ind w:right="165"/>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tcPr>
          <w:p>
            <w:pPr>
              <w:jc w:val="right"/>
              <w:ind w:right="183"/>
              <w:spacing w:after="0" w:line="129" w:lineRule="exact"/>
              <w:rPr>
                <w:sz w:val="20"/>
                <w:szCs w:val="20"/>
                <w:color w:val="auto"/>
              </w:rPr>
            </w:pPr>
            <w:r>
              <w:rPr>
                <w:rFonts w:ascii="Arial" w:cs="Arial" w:eastAsia="Arial" w:hAnsi="Arial"/>
                <w:sz w:val="12"/>
                <w:szCs w:val="12"/>
                <w:color w:val="auto"/>
              </w:rPr>
              <w:t>290</w:t>
            </w:r>
          </w:p>
        </w:tc>
        <w:tc>
          <w:tcPr>
            <w:tcW w:w="1160" w:type="dxa"/>
            <w:vAlign w:val="bottom"/>
            <w:tcBorders>
              <w:top w:val="single" w:sz="8" w:color="auto"/>
            </w:tcBorders>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0" w:type="dxa"/>
            <w:vAlign w:val="bottom"/>
          </w:tcPr>
          <w:p>
            <w:pPr>
              <w:spacing w:after="0"/>
              <w:rPr>
                <w:sz w:val="11"/>
                <w:szCs w:val="11"/>
                <w:color w:val="auto"/>
              </w:rPr>
            </w:pPr>
          </w:p>
        </w:tc>
        <w:tc>
          <w:tcPr>
            <w:tcW w:w="760" w:type="dxa"/>
            <w:vAlign w:val="bottom"/>
            <w:tcBorders>
              <w:top w:val="single" w:sz="8" w:color="auto"/>
            </w:tcBorders>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top w:val="single" w:sz="8" w:color="auto"/>
            </w:tcBorders>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ind w:right="164"/>
              <w:spacing w:after="0" w:line="129" w:lineRule="exact"/>
              <w:rPr>
                <w:sz w:val="20"/>
                <w:szCs w:val="20"/>
                <w:color w:val="auto"/>
              </w:rPr>
            </w:pPr>
            <w:r>
              <w:rPr>
                <w:rFonts w:ascii="Arial" w:cs="Arial" w:eastAsia="Arial" w:hAnsi="Arial"/>
                <w:sz w:val="12"/>
                <w:szCs w:val="12"/>
                <w:color w:val="auto"/>
              </w:rPr>
              <w:t>149,931</w:t>
            </w:r>
          </w:p>
        </w:tc>
        <w:tc>
          <w:tcPr>
            <w:tcW w:w="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ind w:right="83"/>
              <w:spacing w:after="0" w:line="129" w:lineRule="exact"/>
              <w:rPr>
                <w:sz w:val="20"/>
                <w:szCs w:val="20"/>
                <w:color w:val="auto"/>
              </w:rPr>
            </w:pPr>
            <w:r>
              <w:rPr>
                <w:rFonts w:ascii="Arial" w:cs="Arial" w:eastAsia="Arial" w:hAnsi="Arial"/>
                <w:sz w:val="12"/>
                <w:szCs w:val="12"/>
                <w:color w:val="auto"/>
              </w:rPr>
              <w:t>(137,028)</w:t>
            </w:r>
          </w:p>
        </w:tc>
        <w:tc>
          <w:tcPr>
            <w:tcW w:w="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ind w:right="63"/>
              <w:spacing w:after="0" w:line="129" w:lineRule="exact"/>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731,169</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7</w:t>
            </w:r>
          </w:p>
        </w:tc>
        <w:tc>
          <w:tcPr>
            <w:tcW w:w="116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1,312</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64"/>
              <w:spacing w:after="0" w:line="135" w:lineRule="exact"/>
              <w:rPr>
                <w:sz w:val="20"/>
                <w:szCs w:val="20"/>
                <w:color w:val="auto"/>
              </w:rPr>
            </w:pPr>
            <w:r>
              <w:rPr>
                <w:rFonts w:ascii="Arial" w:cs="Arial" w:eastAsia="Arial" w:hAnsi="Arial"/>
                <w:sz w:val="12"/>
                <w:szCs w:val="12"/>
                <w:color w:val="auto"/>
              </w:rPr>
              <w:t>3,212</w:t>
            </w:r>
          </w:p>
        </w:tc>
        <w:tc>
          <w:tcPr>
            <w:tcW w:w="80" w:type="dxa"/>
            <w:vAlign w:val="bottom"/>
          </w:tcPr>
          <w:p>
            <w:pPr>
              <w:spacing w:after="0"/>
              <w:rPr>
                <w:sz w:val="11"/>
                <w:szCs w:val="11"/>
                <w:color w:val="auto"/>
              </w:rPr>
            </w:pPr>
          </w:p>
        </w:tc>
        <w:tc>
          <w:tcPr>
            <w:tcW w:w="11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3,212</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Restricted stock unit vesting</w:t>
            </w:r>
          </w:p>
        </w:tc>
        <w:tc>
          <w:tcPr>
            <w:tcW w:w="114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1,034,207</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12</w:t>
            </w:r>
          </w:p>
        </w:tc>
        <w:tc>
          <w:tcPr>
            <w:tcW w:w="116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04"/>
              <w:spacing w:after="0" w:line="135" w:lineRule="exact"/>
              <w:rPr>
                <w:sz w:val="20"/>
                <w:szCs w:val="20"/>
                <w:color w:val="auto"/>
              </w:rPr>
            </w:pPr>
            <w:r>
              <w:rPr>
                <w:rFonts w:ascii="Arial" w:cs="Arial" w:eastAsia="Arial" w:hAnsi="Arial"/>
                <w:sz w:val="12"/>
                <w:szCs w:val="12"/>
                <w:color w:val="auto"/>
              </w:rPr>
              <w:t>(12)</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64"/>
              <w:spacing w:after="0"/>
              <w:rPr>
                <w:sz w:val="20"/>
                <w:szCs w:val="20"/>
                <w:color w:val="auto"/>
              </w:rPr>
            </w:pPr>
            <w:r>
              <w:rPr>
                <w:rFonts w:ascii="Arial" w:cs="Arial" w:eastAsia="Arial" w:hAnsi="Arial"/>
                <w:sz w:val="12"/>
                <w:szCs w:val="12"/>
                <w:color w:val="auto"/>
              </w:rPr>
              <w:t>856</w:t>
            </w:r>
          </w:p>
        </w:tc>
        <w:tc>
          <w:tcPr>
            <w:tcW w:w="8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63"/>
              <w:spacing w:after="0"/>
              <w:rPr>
                <w:sz w:val="20"/>
                <w:szCs w:val="20"/>
                <w:color w:val="auto"/>
              </w:rPr>
            </w:pPr>
            <w:r>
              <w:rPr>
                <w:rFonts w:ascii="Arial" w:cs="Arial" w:eastAsia="Arial" w:hAnsi="Arial"/>
                <w:sz w:val="12"/>
                <w:szCs w:val="12"/>
                <w:color w:val="auto"/>
              </w:rPr>
              <w:t>856</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1,268,741</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13</w:t>
            </w:r>
          </w:p>
        </w:tc>
        <w:tc>
          <w:tcPr>
            <w:tcW w:w="116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164"/>
              <w:spacing w:after="0"/>
              <w:rPr>
                <w:sz w:val="20"/>
                <w:szCs w:val="20"/>
                <w:color w:val="auto"/>
              </w:rPr>
            </w:pPr>
            <w:r>
              <w:rPr>
                <w:rFonts w:ascii="Arial" w:cs="Arial" w:eastAsia="Arial" w:hAnsi="Arial"/>
                <w:sz w:val="12"/>
                <w:szCs w:val="12"/>
                <w:color w:val="auto"/>
              </w:rPr>
              <w:t>7,702</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7,715</w:t>
            </w: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6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83"/>
              <w:spacing w:after="0" w:line="135" w:lineRule="exact"/>
              <w:rPr>
                <w:sz w:val="20"/>
                <w:szCs w:val="20"/>
                <w:color w:val="auto"/>
              </w:rPr>
            </w:pPr>
            <w:r>
              <w:rPr>
                <w:rFonts w:ascii="Arial" w:cs="Arial" w:eastAsia="Arial" w:hAnsi="Arial"/>
                <w:sz w:val="12"/>
                <w:szCs w:val="12"/>
                <w:color w:val="auto"/>
              </w:rPr>
              <w:t>(41,104)</w:t>
            </w: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
              <w:spacing w:after="0" w:line="135" w:lineRule="exact"/>
              <w:rPr>
                <w:sz w:val="20"/>
                <w:szCs w:val="20"/>
                <w:color w:val="auto"/>
              </w:rPr>
            </w:pPr>
            <w:r>
              <w:rPr>
                <w:rFonts w:ascii="Arial" w:cs="Arial" w:eastAsia="Arial" w:hAnsi="Arial"/>
                <w:sz w:val="12"/>
                <w:szCs w:val="12"/>
                <w:color w:val="auto"/>
              </w:rPr>
              <w:t>(41,104)</w:t>
            </w:r>
          </w:p>
        </w:tc>
        <w:tc>
          <w:tcPr>
            <w:tcW w:w="0" w:type="dxa"/>
            <w:vAlign w:val="bottom"/>
          </w:tcPr>
          <w:p>
            <w:pPr>
              <w:spacing w:after="0"/>
              <w:rPr>
                <w:sz w:val="1"/>
                <w:szCs w:val="1"/>
                <w:color w:val="auto"/>
              </w:rPr>
            </w:pPr>
          </w:p>
        </w:tc>
      </w:tr>
      <w:tr>
        <w:trPr>
          <w:trHeight w:val="148"/>
        </w:trPr>
        <w:tc>
          <w:tcPr>
            <w:tcW w:w="254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September 30, 2024</w:t>
            </w:r>
          </w:p>
        </w:tc>
        <w:tc>
          <w:tcPr>
            <w:tcW w:w="8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jc w:val="right"/>
              <w:ind w:right="103"/>
              <w:spacing w:after="0" w:line="129" w:lineRule="exact"/>
              <w:rPr>
                <w:sz w:val="20"/>
                <w:szCs w:val="20"/>
                <w:color w:val="auto"/>
              </w:rPr>
            </w:pPr>
            <w:r>
              <w:rPr>
                <w:rFonts w:ascii="Arial" w:cs="Arial" w:eastAsia="Arial" w:hAnsi="Arial"/>
                <w:sz w:val="12"/>
                <w:szCs w:val="12"/>
                <w:color w:val="auto"/>
              </w:rPr>
              <w:t>32,247,744</w:t>
            </w:r>
          </w:p>
        </w:tc>
        <w:tc>
          <w:tcPr>
            <w:tcW w:w="360" w:type="dxa"/>
            <w:vAlign w:val="bottom"/>
            <w:gridSpan w:val="2"/>
            <w:shd w:val="clear" w:color="auto" w:fill="CFF0FC"/>
          </w:tcPr>
          <w:p>
            <w:pPr>
              <w:jc w:val="right"/>
              <w:ind w:right="165"/>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183"/>
              <w:spacing w:after="0" w:line="129" w:lineRule="exact"/>
              <w:rPr>
                <w:sz w:val="20"/>
                <w:szCs w:val="20"/>
                <w:color w:val="auto"/>
              </w:rPr>
            </w:pPr>
            <w:r>
              <w:rPr>
                <w:rFonts w:ascii="Arial" w:cs="Arial" w:eastAsia="Arial" w:hAnsi="Arial"/>
                <w:sz w:val="12"/>
                <w:szCs w:val="12"/>
                <w:color w:val="auto"/>
              </w:rPr>
              <w:t>322</w:t>
            </w:r>
          </w:p>
        </w:tc>
        <w:tc>
          <w:tcPr>
            <w:tcW w:w="1160" w:type="dxa"/>
            <w:vAlign w:val="bottom"/>
            <w:tcBorders>
              <w:right w:val="single" w:sz="8" w:color="CFF0FC"/>
            </w:tcBorders>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left w:val="single" w:sz="8" w:color="CFF0FC"/>
            </w:tcBorders>
            <w:shd w:val="clear" w:color="auto" w:fill="CFF0FC"/>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right w:val="single" w:sz="8" w:color="CFF0FC"/>
            </w:tcBorders>
            <w:shd w:val="clear" w:color="auto" w:fill="CFF0FC"/>
          </w:tcPr>
          <w:p>
            <w:pPr>
              <w:jc w:val="right"/>
              <w:ind w:right="164"/>
              <w:spacing w:after="0" w:line="129" w:lineRule="exact"/>
              <w:rPr>
                <w:sz w:val="20"/>
                <w:szCs w:val="20"/>
                <w:color w:val="auto"/>
              </w:rPr>
            </w:pPr>
            <w:r>
              <w:rPr>
                <w:rFonts w:ascii="Arial" w:cs="Arial" w:eastAsia="Arial" w:hAnsi="Arial"/>
                <w:sz w:val="12"/>
                <w:szCs w:val="12"/>
                <w:color w:val="auto"/>
              </w:rPr>
              <w:t>163,001</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CFF0FC"/>
            </w:tcBorders>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(178,132)</w:t>
            </w: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(15,257)</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960" w:type="dxa"/>
            <w:vAlign w:val="bottom"/>
          </w:tcPr>
          <w:p>
            <w:pPr>
              <w:spacing w:after="0"/>
              <w:rPr>
                <w:sz w:val="24"/>
                <w:szCs w:val="24"/>
                <w:color w:val="auto"/>
              </w:rPr>
            </w:pPr>
          </w:p>
        </w:tc>
        <w:tc>
          <w:tcPr>
            <w:tcW w:w="2000" w:type="dxa"/>
            <w:vAlign w:val="bottom"/>
            <w:gridSpan w:val="3"/>
            <w:vMerge w:val="restart"/>
          </w:tcPr>
          <w:p>
            <w:pPr>
              <w:jc w:val="right"/>
              <w:ind w:right="34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28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28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143"/>
              <w:spacing w:after="0" w:line="113"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28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29"/>
        </w:trPr>
        <w:tc>
          <w:tcPr>
            <w:tcW w:w="262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June 30, 2024</w:t>
            </w:r>
          </w:p>
        </w:tc>
        <w:tc>
          <w:tcPr>
            <w:tcW w:w="1140" w:type="dxa"/>
            <w:vAlign w:val="bottom"/>
            <w:tcBorders>
              <w:right w:val="single" w:sz="8" w:color="CFF0FC"/>
            </w:tcBorders>
            <w:shd w:val="clear" w:color="auto" w:fill="CFF0FC"/>
          </w:tcPr>
          <w:p>
            <w:pPr>
              <w:jc w:val="right"/>
              <w:ind w:right="103"/>
              <w:spacing w:after="0" w:line="129" w:lineRule="exact"/>
              <w:rPr>
                <w:sz w:val="20"/>
                <w:szCs w:val="20"/>
                <w:color w:val="auto"/>
              </w:rPr>
            </w:pPr>
            <w:r>
              <w:rPr>
                <w:rFonts w:ascii="Arial" w:cs="Arial" w:eastAsia="Arial" w:hAnsi="Arial"/>
                <w:sz w:val="12"/>
                <w:szCs w:val="12"/>
                <w:color w:val="auto"/>
              </w:rPr>
              <w:t>31,186,817</w:t>
            </w:r>
          </w:p>
        </w:tc>
        <w:tc>
          <w:tcPr>
            <w:tcW w:w="360" w:type="dxa"/>
            <w:vAlign w:val="bottom"/>
            <w:gridSpan w:val="2"/>
            <w:shd w:val="clear" w:color="auto" w:fill="CFF0FC"/>
          </w:tcPr>
          <w:p>
            <w:pPr>
              <w:jc w:val="right"/>
              <w:ind w:right="165"/>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183"/>
              <w:spacing w:after="0" w:line="129" w:lineRule="exact"/>
              <w:rPr>
                <w:sz w:val="20"/>
                <w:szCs w:val="20"/>
                <w:color w:val="auto"/>
              </w:rPr>
            </w:pPr>
            <w:r>
              <w:rPr>
                <w:rFonts w:ascii="Arial" w:cs="Arial" w:eastAsia="Arial" w:hAnsi="Arial"/>
                <w:sz w:val="12"/>
                <w:szCs w:val="12"/>
                <w:color w:val="auto"/>
              </w:rPr>
              <w:t>303</w:t>
            </w:r>
          </w:p>
        </w:tc>
        <w:tc>
          <w:tcPr>
            <w:tcW w:w="1160" w:type="dxa"/>
            <w:vAlign w:val="bottom"/>
            <w:tcBorders>
              <w:right w:val="single" w:sz="8" w:color="CFF0FC"/>
            </w:tcBorders>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left w:val="single" w:sz="8" w:color="CFF0FC"/>
            </w:tcBorders>
            <w:shd w:val="clear" w:color="auto" w:fill="CFF0FC"/>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right w:val="single" w:sz="8" w:color="CFF0FC"/>
            </w:tcBorders>
            <w:shd w:val="clear" w:color="auto" w:fill="CFF0FC"/>
          </w:tcPr>
          <w:p>
            <w:pPr>
              <w:jc w:val="right"/>
              <w:ind w:right="164"/>
              <w:spacing w:after="0" w:line="129" w:lineRule="exact"/>
              <w:rPr>
                <w:sz w:val="20"/>
                <w:szCs w:val="20"/>
                <w:color w:val="auto"/>
              </w:rPr>
            </w:pPr>
            <w:r>
              <w:rPr>
                <w:rFonts w:ascii="Arial" w:cs="Arial" w:eastAsia="Arial" w:hAnsi="Arial"/>
                <w:sz w:val="12"/>
                <w:szCs w:val="12"/>
                <w:color w:val="auto"/>
              </w:rPr>
              <w:t>157,659</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CFF0FC"/>
            </w:tcBorders>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(167,486)</w:t>
            </w: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(9,972)</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46,296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64"/>
              <w:spacing w:after="0" w:line="135" w:lineRule="exact"/>
              <w:rPr>
                <w:sz w:val="20"/>
                <w:szCs w:val="20"/>
                <w:color w:val="auto"/>
              </w:rPr>
            </w:pPr>
            <w:r>
              <w:rPr>
                <w:rFonts w:ascii="Arial" w:cs="Arial" w:eastAsia="Arial" w:hAnsi="Arial"/>
                <w:sz w:val="12"/>
                <w:szCs w:val="12"/>
                <w:color w:val="auto"/>
              </w:rPr>
              <w:t>103</w:t>
            </w:r>
          </w:p>
        </w:tc>
        <w:tc>
          <w:tcPr>
            <w:tcW w:w="80" w:type="dxa"/>
            <w:vAlign w:val="bottom"/>
          </w:tcPr>
          <w:p>
            <w:pPr>
              <w:spacing w:after="0"/>
              <w:rPr>
                <w:sz w:val="11"/>
                <w:szCs w:val="11"/>
                <w:color w:val="auto"/>
              </w:rPr>
            </w:pPr>
          </w:p>
        </w:tc>
        <w:tc>
          <w:tcPr>
            <w:tcW w:w="11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1,074</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1,074</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Restricted stock unit vesting</w:t>
            </w:r>
          </w:p>
        </w:tc>
        <w:tc>
          <w:tcPr>
            <w:tcW w:w="11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330,780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12</w:t>
            </w:r>
          </w:p>
        </w:tc>
        <w:tc>
          <w:tcPr>
            <w:tcW w:w="11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04"/>
              <w:spacing w:after="0" w:line="135" w:lineRule="exact"/>
              <w:rPr>
                <w:sz w:val="20"/>
                <w:szCs w:val="20"/>
                <w:color w:val="auto"/>
              </w:rPr>
            </w:pPr>
            <w:r>
              <w:rPr>
                <w:rFonts w:ascii="Arial" w:cs="Arial" w:eastAsia="Arial" w:hAnsi="Arial"/>
                <w:sz w:val="12"/>
                <w:szCs w:val="12"/>
                <w:color w:val="auto"/>
              </w:rPr>
              <w:t>(12)</w:t>
            </w:r>
          </w:p>
        </w:tc>
        <w:tc>
          <w:tcPr>
            <w:tcW w:w="80" w:type="dxa"/>
            <w:vAlign w:val="bottom"/>
          </w:tcPr>
          <w:p>
            <w:pPr>
              <w:spacing w:after="0"/>
              <w:rPr>
                <w:sz w:val="11"/>
                <w:szCs w:val="11"/>
                <w:color w:val="auto"/>
              </w:rPr>
            </w:pPr>
          </w:p>
        </w:tc>
        <w:tc>
          <w:tcPr>
            <w:tcW w:w="11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164"/>
              <w:spacing w:after="0"/>
              <w:rPr>
                <w:sz w:val="20"/>
                <w:szCs w:val="20"/>
                <w:color w:val="auto"/>
              </w:rPr>
            </w:pPr>
            <w:r>
              <w:rPr>
                <w:rFonts w:ascii="Arial" w:cs="Arial" w:eastAsia="Arial" w:hAnsi="Arial"/>
                <w:sz w:val="12"/>
                <w:szCs w:val="12"/>
                <w:color w:val="auto"/>
              </w:rPr>
              <w:t>110</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Pr>
          <w:p>
            <w:pPr>
              <w:jc w:val="right"/>
              <w:ind w:right="103"/>
              <w:spacing w:after="0"/>
              <w:rPr>
                <w:sz w:val="20"/>
                <w:szCs w:val="20"/>
                <w:color w:val="auto"/>
              </w:rPr>
            </w:pPr>
            <w:r>
              <w:rPr>
                <w:rFonts w:ascii="Arial" w:cs="Arial" w:eastAsia="Arial" w:hAnsi="Arial"/>
                <w:sz w:val="12"/>
                <w:szCs w:val="12"/>
                <w:color w:val="auto"/>
              </w:rPr>
              <w:t>683,851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83"/>
              <w:spacing w:after="0"/>
              <w:rPr>
                <w:sz w:val="20"/>
                <w:szCs w:val="20"/>
                <w:color w:val="auto"/>
              </w:rPr>
            </w:pPr>
            <w:r>
              <w:rPr>
                <w:rFonts w:ascii="Arial" w:cs="Arial" w:eastAsia="Arial" w:hAnsi="Arial"/>
                <w:sz w:val="12"/>
                <w:szCs w:val="12"/>
                <w:color w:val="auto"/>
              </w:rPr>
              <w:t>7</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64"/>
              <w:spacing w:after="0"/>
              <w:rPr>
                <w:sz w:val="20"/>
                <w:szCs w:val="20"/>
                <w:color w:val="auto"/>
              </w:rPr>
            </w:pPr>
            <w:r>
              <w:rPr>
                <w:rFonts w:ascii="Arial" w:cs="Arial" w:eastAsia="Arial" w:hAnsi="Arial"/>
                <w:sz w:val="12"/>
                <w:szCs w:val="12"/>
                <w:color w:val="auto"/>
              </w:rPr>
              <w:t>4,067</w:t>
            </w:r>
          </w:p>
        </w:tc>
        <w:tc>
          <w:tcPr>
            <w:tcW w:w="8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63"/>
              <w:spacing w:after="0"/>
              <w:rPr>
                <w:sz w:val="20"/>
                <w:szCs w:val="20"/>
                <w:color w:val="auto"/>
              </w:rPr>
            </w:pPr>
            <w:r>
              <w:rPr>
                <w:rFonts w:ascii="Arial" w:cs="Arial" w:eastAsia="Arial" w:hAnsi="Arial"/>
                <w:sz w:val="12"/>
                <w:szCs w:val="12"/>
                <w:color w:val="auto"/>
              </w:rPr>
              <w:t>4,074</w:t>
            </w:r>
          </w:p>
        </w:tc>
        <w:tc>
          <w:tcPr>
            <w:tcW w:w="0" w:type="dxa"/>
            <w:vAlign w:val="bottom"/>
          </w:tcPr>
          <w:p>
            <w:pPr>
              <w:spacing w:after="0"/>
              <w:rPr>
                <w:sz w:val="1"/>
                <w:szCs w:val="1"/>
                <w:color w:val="auto"/>
              </w:rPr>
            </w:pPr>
          </w:p>
        </w:tc>
      </w:tr>
      <w:tr>
        <w:trPr>
          <w:trHeight w:val="135"/>
        </w:trPr>
        <w:tc>
          <w:tcPr>
            <w:tcW w:w="254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left w:val="single" w:sz="8" w:color="CFF0FC"/>
              <w:bottom w:val="single" w:sz="8" w:color="auto"/>
            </w:tcBorders>
            <w:shd w:val="clear" w:color="auto" w:fill="CFF0FC"/>
          </w:tcPr>
          <w:p>
            <w:pPr>
              <w:spacing w:after="0"/>
              <w:rPr>
                <w:sz w:val="11"/>
                <w:szCs w:val="11"/>
                <w:color w:val="auto"/>
              </w:rPr>
            </w:pPr>
          </w:p>
        </w:tc>
        <w:tc>
          <w:tcPr>
            <w:tcW w:w="460" w:type="dxa"/>
            <w:vAlign w:val="bottom"/>
            <w:tcBorders>
              <w:bottom w:val="single" w:sz="8" w:color="auto"/>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bottom w:val="single" w:sz="8" w:color="auto"/>
            </w:tcBorders>
            <w:shd w:val="clear" w:color="auto" w:fill="CFF0FC"/>
          </w:tcPr>
          <w:p>
            <w:pPr>
              <w:spacing w:after="0"/>
              <w:rPr>
                <w:sz w:val="11"/>
                <w:szCs w:val="11"/>
                <w:color w:val="auto"/>
              </w:rPr>
            </w:pPr>
          </w:p>
        </w:tc>
        <w:tc>
          <w:tcPr>
            <w:tcW w:w="1100" w:type="dxa"/>
            <w:vAlign w:val="bottom"/>
            <w:tcBorders>
              <w:bottom w:val="single" w:sz="8" w:color="auto"/>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right w:val="single" w:sz="8" w:color="CFF0FC"/>
            </w:tcBorders>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(10,646)</w:t>
            </w: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3"/>
              <w:spacing w:after="0" w:line="135" w:lineRule="exact"/>
              <w:rPr>
                <w:sz w:val="20"/>
                <w:szCs w:val="20"/>
                <w:color w:val="auto"/>
              </w:rPr>
            </w:pPr>
            <w:r>
              <w:rPr>
                <w:rFonts w:ascii="Arial" w:cs="Arial" w:eastAsia="Arial" w:hAnsi="Arial"/>
                <w:sz w:val="12"/>
                <w:szCs w:val="12"/>
                <w:color w:val="auto"/>
              </w:rPr>
              <w:t>(10,646)</w:t>
            </w:r>
          </w:p>
        </w:tc>
        <w:tc>
          <w:tcPr>
            <w:tcW w:w="0" w:type="dxa"/>
            <w:vAlign w:val="bottom"/>
          </w:tcPr>
          <w:p>
            <w:pPr>
              <w:spacing w:after="0"/>
              <w:rPr>
                <w:sz w:val="1"/>
                <w:szCs w:val="1"/>
                <w:color w:val="auto"/>
              </w:rPr>
            </w:pPr>
          </w:p>
        </w:tc>
      </w:tr>
      <w:tr>
        <w:trPr>
          <w:trHeight w:val="129"/>
        </w:trPr>
        <w:tc>
          <w:tcPr>
            <w:tcW w:w="2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Balance, September 30, 2024</w:t>
            </w:r>
          </w:p>
        </w:tc>
        <w:tc>
          <w:tcPr>
            <w:tcW w:w="1140" w:type="dxa"/>
            <w:vAlign w:val="bottom"/>
          </w:tcPr>
          <w:p>
            <w:pPr>
              <w:jc w:val="right"/>
              <w:ind w:right="103"/>
              <w:spacing w:after="0" w:line="129" w:lineRule="exact"/>
              <w:rPr>
                <w:sz w:val="20"/>
                <w:szCs w:val="20"/>
                <w:color w:val="auto"/>
              </w:rPr>
            </w:pPr>
            <w:r>
              <w:rPr>
                <w:rFonts w:ascii="Arial" w:cs="Arial" w:eastAsia="Arial" w:hAnsi="Arial"/>
                <w:sz w:val="12"/>
                <w:szCs w:val="12"/>
                <w:color w:val="auto"/>
              </w:rPr>
              <w:t>32,247,744</w:t>
            </w:r>
          </w:p>
        </w:tc>
        <w:tc>
          <w:tcPr>
            <w:tcW w:w="360" w:type="dxa"/>
            <w:vAlign w:val="bottom"/>
            <w:gridSpan w:val="2"/>
          </w:tcPr>
          <w:p>
            <w:pPr>
              <w:jc w:val="right"/>
              <w:ind w:right="165"/>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3"/>
              <w:spacing w:after="0" w:line="129" w:lineRule="exact"/>
              <w:rPr>
                <w:sz w:val="20"/>
                <w:szCs w:val="20"/>
                <w:color w:val="auto"/>
              </w:rPr>
            </w:pPr>
            <w:r>
              <w:rPr>
                <w:rFonts w:ascii="Arial" w:cs="Arial" w:eastAsia="Arial" w:hAnsi="Arial"/>
                <w:sz w:val="12"/>
                <w:szCs w:val="12"/>
                <w:color w:val="auto"/>
              </w:rPr>
              <w:t>322</w:t>
            </w:r>
          </w:p>
        </w:tc>
        <w:tc>
          <w:tcPr>
            <w:tcW w:w="1160" w:type="dxa"/>
            <w:vAlign w:val="bottom"/>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164"/>
              <w:spacing w:after="0" w:line="129" w:lineRule="exact"/>
              <w:rPr>
                <w:sz w:val="20"/>
                <w:szCs w:val="20"/>
                <w:color w:val="auto"/>
              </w:rPr>
            </w:pPr>
            <w:r>
              <w:rPr>
                <w:rFonts w:ascii="Arial" w:cs="Arial" w:eastAsia="Arial" w:hAnsi="Arial"/>
                <w:sz w:val="12"/>
                <w:szCs w:val="12"/>
                <w:color w:val="auto"/>
              </w:rPr>
              <w:t>163,001</w:t>
            </w:r>
          </w:p>
        </w:tc>
        <w:tc>
          <w:tcPr>
            <w:tcW w:w="80" w:type="dxa"/>
            <w:vAlign w:val="bottom"/>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(178,132)</w:t>
            </w:r>
          </w:p>
        </w:tc>
        <w:tc>
          <w:tcPr>
            <w:tcW w:w="1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3"/>
              <w:spacing w:after="0" w:line="129" w:lineRule="exact"/>
              <w:rPr>
                <w:sz w:val="20"/>
                <w:szCs w:val="20"/>
                <w:color w:val="auto"/>
              </w:rPr>
            </w:pPr>
            <w:r>
              <w:rPr>
                <w:rFonts w:ascii="Arial" w:cs="Arial" w:eastAsia="Arial" w:hAnsi="Arial"/>
                <w:sz w:val="12"/>
                <w:szCs w:val="12"/>
                <w:color w:val="auto"/>
              </w:rPr>
              <w:t>(15,257)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-3830955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-3830955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-3830955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-3830955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-3830955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-3830955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-2802255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-2802255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-2802255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-2802255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-2802255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-2802255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-1396365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-1379220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-1396365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-1379220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-1396365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-1379220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-1396365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-1379220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-1396365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-1379220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-1396365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-1379220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-119380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-119380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-119380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-119380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-119380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-119380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4"/>
          </w:tcPr>
          <w:p>
            <w:pPr>
              <w:jc w:val="right"/>
              <w:ind w:right="931"/>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(8,686)</w:t>
            </w:r>
          </w:p>
        </w:tc>
        <w:tc>
          <w:tcPr>
            <w:tcW w:w="6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(41,104)</w:t>
            </w:r>
          </w:p>
        </w:tc>
      </w:tr>
      <w:tr>
        <w:trPr>
          <w:trHeight w:val="203"/>
        </w:trPr>
        <w:tc>
          <w:tcPr>
            <w:tcW w:w="77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745</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Impairment of fixed 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Loss on the sale and disposal of fixed assets</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339</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Non-cash stock compensation expense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2,527</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4,068</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202</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89</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(21,718)</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14,970</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Accretion of debt discount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218</w:t>
            </w:r>
          </w:p>
        </w:tc>
      </w:tr>
      <w:tr>
        <w:trPr>
          <w:trHeight w:val="203"/>
        </w:trPr>
        <w:tc>
          <w:tcPr>
            <w:tcW w:w="7760" w:type="dxa"/>
            <w:vAlign w:val="bottom"/>
          </w:tcPr>
          <w:p>
            <w:pPr>
              <w:ind w:left="4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(1,710)</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41</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769</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213</w:t>
            </w:r>
          </w:p>
        </w:tc>
      </w:tr>
      <w:tr>
        <w:trPr>
          <w:trHeight w:val="203"/>
        </w:trPr>
        <w:tc>
          <w:tcPr>
            <w:tcW w:w="7760" w:type="dxa"/>
            <w:vAlign w:val="bottom"/>
            <w:tcBorders>
              <w:bottom w:val="single" w:sz="8" w:color="CFF0FC"/>
            </w:tcBorders>
            <w:shd w:val="clear" w:color="auto" w:fill="CFF0FC"/>
          </w:tcPr>
          <w:p>
            <w:pPr>
              <w:ind w:left="600"/>
              <w:spacing w:after="0" w:line="202" w:lineRule="exact"/>
              <w:rPr>
                <w:sz w:val="20"/>
                <w:szCs w:val="20"/>
                <w:color w:val="auto"/>
              </w:rPr>
            </w:pPr>
            <w:r>
              <w:rPr>
                <w:rFonts w:ascii="Arial" w:cs="Arial" w:eastAsia="Arial" w:hAnsi="Arial"/>
                <w:sz w:val="18"/>
                <w:szCs w:val="18"/>
                <w:color w:val="auto"/>
              </w:rPr>
              <w:t>Lease liability</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(404)</w:t>
            </w: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(379)</w:t>
            </w: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(27,743)</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(21,209)</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Purchase of fixed assets</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2"/>
        </w:trPr>
        <w:tc>
          <w:tcPr>
            <w:tcW w:w="7760" w:type="dxa"/>
            <w:vAlign w:val="bottom"/>
            <w:tcBorders>
              <w:bottom w:val="single" w:sz="8" w:color="CFF0FC"/>
            </w:tcBorders>
            <w:shd w:val="clear" w:color="auto" w:fill="CFF0FC"/>
          </w:tcPr>
          <w:p>
            <w:pPr>
              <w:ind w:left="600"/>
              <w:spacing w:after="0" w:line="202" w:lineRule="exact"/>
              <w:rPr>
                <w:sz w:val="20"/>
                <w:szCs w:val="20"/>
                <w:color w:val="auto"/>
              </w:rPr>
            </w:pPr>
            <w:r>
              <w:rPr>
                <w:rFonts w:ascii="Arial" w:cs="Arial" w:eastAsia="Arial" w:hAnsi="Arial"/>
                <w:sz w:val="18"/>
                <w:szCs w:val="18"/>
                <w:color w:val="auto"/>
              </w:rPr>
              <w:t>Proceeds from the sale of fixed assets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27</w:t>
            </w: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Proceeds from issuance of common stock in registered direct offering</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14,331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Proceeds from sale of common stock, net of issuance costs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5,038</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7,715</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Proceeds from option exercises</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1,319</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Principal payments on term loan</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(6,667)</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Payment of deferred debt issuance costs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196"/>
        </w:trPr>
        <w:tc>
          <w:tcPr>
            <w:tcW w:w="7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12,203</w:t>
            </w: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2,367</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(15,691)</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(18,855)</w:t>
            </w:r>
          </w:p>
        </w:tc>
      </w:tr>
      <w:tr>
        <w:trPr>
          <w:trHeight w:val="203"/>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102,920</w:t>
            </w: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35,679</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87,229</w:t>
            </w:r>
          </w:p>
        </w:tc>
        <w:tc>
          <w:tcPr>
            <w:tcW w:w="680" w:type="dxa"/>
            <w:vAlign w:val="bottom"/>
            <w:gridSpan w:val="2"/>
          </w:tcPr>
          <w:p>
            <w:pPr>
              <w:jc w:val="right"/>
              <w:ind w:right="42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16,824</w:t>
            </w: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571</w:t>
            </w:r>
          </w:p>
        </w:tc>
        <w:tc>
          <w:tcPr>
            <w:tcW w:w="6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1,462</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disclosures of non-cash information:</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Change in right-of-use asset and lease liability due to lease amendment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1,440</w:t>
            </w:r>
          </w:p>
        </w:tc>
        <w:tc>
          <w:tcPr>
            <w:tcW w:w="6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Deferred debt issuance costs in accounts payable and accrued expenses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133</w:t>
            </w:r>
          </w:p>
        </w:tc>
        <w:tc>
          <w:tcPr>
            <w:tcW w:w="68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Capital expenditures in accounts payable and accrued expenses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125</w:t>
            </w:r>
          </w:p>
        </w:tc>
        <w:tc>
          <w:tcPr>
            <w:tcW w:w="6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Reversal of issuance costs in accrued expenses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68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-2914015</wp:posOffset>
            </wp:positionV>
            <wp:extent cx="102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-2382520</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-1328420</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-1062355</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 w:name="page12"/>
    <w:bookmarkEnd w:id="11"/>
    <w:p>
      <w:pPr>
        <w:ind w:left="430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immunization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w:t>
      </w:r>
    </w:p>
    <w:p>
      <w:pPr>
        <w:spacing w:after="0" w:line="7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had net loss of $8.7 million and $41.1 million for the nine months ended September 30, 2025 and 2024, respectively. In addition, as of September 30, 2025, the Company had an accumulated deficit of $200.9 million. The Company expects to continue to generate operating losses and negative cash flows from operations for the foreseeable future.</w:t>
      </w:r>
    </w:p>
    <w:p>
      <w:pPr>
        <w:spacing w:after="0" w:line="6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2022 Shelf) with the U.S. Securities and Exchange Commission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ATM Program). The 2022 Shelf was declared effective by the SEC on August 12, 2022 and expired on August 12, 2025. As of August 12, 2025, the Company had sold and issued 3,923,829 shares of common stock under the 2022 ATM Program, with total net proceeds of $20.9 million.</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December 16, 2024, the Company completed a public offering of its common stock and, in lieu of common stock to certain investors, pre-funded warrants to purchase shares of its common stock. The Company issued and sold 12,000,001 shares of common stock, including full exercise of the underwriters’ option to purchase an additional 2,000,000 shares, at a public offering price of $6.00 per share. Additionally, in lieu of common stock to certain investors, the Company issued and sold pre-funded warrants to purchase 3,333,333 shares of its common stock at a public offering price of $5.99 per pre-funded warrant, which represents the per share public offering price of each share of common stock less the $0.01 per share exercise price for each pre-funded warrant. The aggregate gross proceeds before deducting underwriting discounts and commissions, and other estimated offering expenses payable by the Company were approximately $92.0 million.</w:t>
      </w:r>
    </w:p>
    <w:p>
      <w:pPr>
        <w:spacing w:after="0" w:line="74" w:lineRule="exact"/>
        <w:rPr>
          <w:sz w:val="20"/>
          <w:szCs w:val="20"/>
          <w:color w:val="auto"/>
        </w:rPr>
      </w:pPr>
    </w:p>
    <w:p>
      <w:pPr>
        <w:ind w:right="380"/>
        <w:spacing w:after="0" w:line="244" w:lineRule="auto"/>
        <w:rPr>
          <w:sz w:val="20"/>
          <w:szCs w:val="20"/>
          <w:color w:val="auto"/>
        </w:rPr>
      </w:pPr>
      <w:r>
        <w:rPr>
          <w:rFonts w:ascii="Arial" w:cs="Arial" w:eastAsia="Arial" w:hAnsi="Arial"/>
          <w:sz w:val="17"/>
          <w:szCs w:val="17"/>
          <w:color w:val="auto"/>
        </w:rPr>
        <w:t>On June 25, 2025, the Company completed a registered direct offering of its common stock. The Company issued and sold 3,221,395 shares of common stock, at a price of $4.67 per share to purchasers including existing healthcare-focused institutional investors, executive officers, and directors of the Company. The aggregate gross proceeds before deducting estimated offering expenses payable by the Company were approximately $15.0 million.</w:t>
      </w:r>
    </w:p>
    <w:p>
      <w:pPr>
        <w:spacing w:after="0" w:line="6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On August 14, 2025, the Company filed a shelf registration statement on Form S-3 (the 2025 Shelf) with the SEC, which covers the offering, issuance, and sale by us of up to an aggregate of $300.0 million of our common stock, preferred stock, debt securities, warrants and/or units of any combination thereof. The Company simultaneously entered into a sales agreement with Jefferies LLC, as sales agent, to provide for the issuance and sale by the Company of up to $50.0 million of our common stock from time to time in “at-the-market” offerings under the 2025 Shelf (the 2025 ATM Program). The 2025 Shelf was declared effective by the SEC on August 22, 2025. As of September 30, 2025 and through November 5, 2025, the Company has not sold any shares of common stock under the 2025 ATM Program.</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 w:name="page13"/>
    <w:bookmarkEnd w:id="12"/>
    <w:p>
      <w:pPr>
        <w:spacing w:after="0" w:line="244" w:lineRule="auto"/>
        <w:rPr>
          <w:sz w:val="20"/>
          <w:szCs w:val="20"/>
          <w:color w:val="auto"/>
        </w:rPr>
      </w:pPr>
      <w:r>
        <w:rPr>
          <w:rFonts w:ascii="Arial" w:cs="Arial" w:eastAsia="Arial" w:hAnsi="Arial"/>
          <w:sz w:val="17"/>
          <w:szCs w:val="17"/>
          <w:color w:val="auto"/>
        </w:rPr>
        <w:t>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fund planned operations for at least 12 months from the issuance date of these condensed consolidated financial statements.</w:t>
      </w:r>
    </w:p>
    <w:p>
      <w:pPr>
        <w:spacing w:after="0" w:line="6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Accordingly, the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condensed consolidated financial statements are to the FASB Accounting Standards Codification (ASC).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8"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condensed consolidated financial statements include the accounts of Candel Therapeutics, Inc. and its wholly owned subsidiary Candel Therapeutics Securities Corporation. All intercompany transactions and balances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accompanying condensed consolidated balance sheet as of September 30, 2025, the condensed consolidated statements of operations and comprehensive loss for the three and nine months ended September 30, 2025 and 2024, the condensed consolidated statements of stockholders’ equity (deficit) for the three and nine months ended September 30, 2025 and 2024, the condensed consolidated statements of cash flows for the nine months ended September 30, 2025 and 2024,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unaudited condensed consolidated financial statements should be read in conjunction with the Company’s audited consolidated financial statements and notes thereto for the year ended December 31, 2024 included in the Company’s Annual Report on Form 10-K on file with the SEC.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preparation of the Company’s condensed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 had $0.3 million of restricted cash as of both September 30, 2025 and December 31, 2024, which represents cash held as a security deposit under the terms of the Company’s Needham, Massachusetts facility lease.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8"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In November 2023, the FASB issued Accounting Standards Update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interim periods beginning after December 15, 2024. The Company adopted ASU 2023-07 on an interim basis beginning on January 1, 2025 (see Note 16).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condensed consolidated financial statements and related disclosures.</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condensed consolidated financial statements and related disclosures.</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(Subtopic 220-40): Disaggregation of Income Statement Expenses, which requires additional disclosure in the notes to the financial statements of the nature of certain expenses included in the income statement. The ASU's amendments are effective for annual reporting periods beginning after December 15, 2026, and interim reporting periods beginning after December 15, 2027. Early adoption is permitted. Adoption can be either prospectively or retrospectively applied. The Company is currently evaluating the potential impact that ASU 2024-03 may have on its consolidated financial statements and related disclosures.</w:t>
      </w:r>
    </w:p>
    <w:p>
      <w:pPr>
        <w:spacing w:after="0" w:line="74"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September 2025, the FASB issued ASU 2025-06, Intangibles-Goodwill and Other-Internal-Use Software (Subtopic 350-40): Targeted Improvements to the Accounting for Internal-Use Software, which removes references to prescriptive and sequential development stages, requiring companies to capitalize internal-use software costs when management commits to funding the software project and it is probable the project will be completed. The ASU's amendments are effective for annual reporting periods beginning after December 15, 2027, and interim reporting periods within those annual reporting periods. Early adoption is permitted as of the beginning of an annual reporting period. Adoption can be applied prospectively, retrospectively or with a modified transition approach. The Company is currently evaluating the potential impact that ASU 2025-06 may have on its consolidated financial statements and related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00"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The Level 3 Warrant liability had a zero value fair value measurement as of September 30, 2025. The Company had no other financial assets and liabilities measured at fair value on a recurring basis to indicate the level of the fair value hierarchy utilized to determine such fair values at September 30, 2025.</w:t>
      </w:r>
    </w:p>
    <w:p>
      <w:pPr>
        <w:spacing w:after="0" w:line="67"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 the level of the fair value hierarchy utilized to determine such fair values (in thousands):</w:t>
      </w: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rPr>
              <w:t>FAIR VALUE MEASUREMENTS AS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DECEMBER 31, 2024 USING:</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3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3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348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w:t>
            </w:r>
          </w:p>
        </w:tc>
        <w:tc>
          <w:tcPr>
            <w:tcW w:w="23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21,718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21,718</w:t>
            </w:r>
          </w:p>
        </w:tc>
      </w:tr>
      <w:tr>
        <w:trPr>
          <w:trHeight w:val="236"/>
        </w:trPr>
        <w:tc>
          <w:tcPr>
            <w:tcW w:w="348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ind w:left="40"/>
              <w:spacing w:after="0" w:line="196" w:lineRule="exact"/>
              <w:rPr>
                <w:sz w:val="20"/>
                <w:szCs w:val="20"/>
                <w:color w:val="auto"/>
              </w:rPr>
            </w:pPr>
            <w:r>
              <w:rPr>
                <w:rFonts w:ascii="Arial" w:cs="Arial" w:eastAsia="Arial" w:hAnsi="Arial"/>
                <w:sz w:val="18"/>
                <w:szCs w:val="18"/>
                <w:color w:val="auto"/>
              </w:rPr>
              <w:t>—   $</w:t>
            </w:r>
          </w:p>
        </w:tc>
        <w:tc>
          <w:tcPr>
            <w:tcW w:w="660" w:type="dxa"/>
            <w:vAlign w:val="bottom"/>
            <w:gridSpan w:val="3"/>
            <w:shd w:val="clear" w:color="auto" w:fill="CFF0FC"/>
          </w:tcPr>
          <w:p>
            <w:pPr>
              <w:ind w:left="40"/>
              <w:spacing w:after="0" w:line="196" w:lineRule="exact"/>
              <w:rPr>
                <w:sz w:val="20"/>
                <w:szCs w:val="20"/>
                <w:color w:val="auto"/>
              </w:rPr>
            </w:pPr>
            <w:r>
              <w:rPr>
                <w:rFonts w:ascii="Arial" w:cs="Arial" w:eastAsia="Arial" w:hAnsi="Arial"/>
                <w:sz w:val="18"/>
                <w:szCs w:val="18"/>
                <w:color w:val="auto"/>
              </w:rPr>
              <w:t>—   $</w:t>
            </w:r>
          </w:p>
        </w:tc>
        <w:tc>
          <w:tcPr>
            <w:tcW w:w="10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21,718</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21,718</w:t>
            </w:r>
          </w:p>
        </w:tc>
      </w:tr>
      <w:tr>
        <w:trPr>
          <w:trHeight w:val="848"/>
        </w:trPr>
        <w:tc>
          <w:tcPr>
            <w:tcW w:w="348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jc w:val="right"/>
              <w:ind w:right="90"/>
              <w:spacing w:after="0"/>
              <w:rPr>
                <w:sz w:val="20"/>
                <w:szCs w:val="20"/>
                <w:color w:val="auto"/>
              </w:rPr>
            </w:pPr>
            <w:r>
              <w:rPr>
                <w:rFonts w:ascii="Arial" w:cs="Arial" w:eastAsia="Arial" w:hAnsi="Arial"/>
                <w:sz w:val="18"/>
                <w:szCs w:val="18"/>
                <w:color w:val="auto"/>
              </w:rPr>
              <w:t>7</w:t>
            </w: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745"/>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-1062355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-1045210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-1062355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-1045210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-1062355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-1045210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4" w:name="page15"/>
    <w:bookmarkEnd w:id="14"/>
    <w:p>
      <w:pPr>
        <w:ind w:right="120"/>
        <w:spacing w:after="0" w:line="267"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79"/>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79"/>
              <w:spacing w:after="0"/>
              <w:rPr>
                <w:sz w:val="20"/>
                <w:szCs w:val="20"/>
                <w:color w:val="auto"/>
              </w:rPr>
            </w:pPr>
            <w:r>
              <w:rPr>
                <w:rFonts w:ascii="Arial" w:cs="Arial" w:eastAsia="Arial" w:hAnsi="Arial"/>
                <w:sz w:val="14"/>
                <w:szCs w:val="14"/>
                <w:b w:val="1"/>
                <w:bCs w:val="1"/>
                <w:color w:val="auto"/>
              </w:rPr>
              <w:t>WARRANT</w:t>
            </w:r>
          </w:p>
        </w:tc>
      </w:tr>
      <w:tr>
        <w:trPr>
          <w:trHeight w:val="171"/>
        </w:trPr>
        <w:tc>
          <w:tcPr>
            <w:tcW w:w="9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2024</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21,718</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(21,718)</w:t>
            </w:r>
          </w:p>
        </w:tc>
      </w:tr>
      <w:tr>
        <w:trPr>
          <w:trHeight w:val="23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September 30, 2025</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w:t>
            </w:r>
          </w:p>
        </w:tc>
      </w:tr>
    </w:tbl>
    <w:p>
      <w:pPr>
        <w:spacing w:after="0" w:line="86"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The carrying value of cash equivalents (considered as Level 1 measurements) approximates the fair value due to the short-term nature of these assets.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Fixed Assets, Net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Fixed assets, net consisted of the following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2024</w:t>
            </w: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1,134</w:t>
            </w:r>
          </w:p>
        </w:tc>
        <w:tc>
          <w:tcPr>
            <w:tcW w:w="3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1,219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Manufacturing equipment</w:t>
            </w:r>
          </w:p>
        </w:tc>
        <w:tc>
          <w:tcPr>
            <w:tcW w:w="160" w:type="dxa"/>
            <w:vAlign w:val="bottom"/>
          </w:tcPr>
          <w:p>
            <w:pPr>
              <w:spacing w:after="0"/>
              <w:rPr>
                <w:sz w:val="17"/>
                <w:szCs w:val="17"/>
                <w:color w:val="auto"/>
              </w:rPr>
            </w:pPr>
          </w:p>
        </w:tc>
        <w:tc>
          <w:tcPr>
            <w:tcW w:w="1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695</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Networking and computer equipment</w:t>
            </w:r>
          </w:p>
        </w:tc>
        <w:tc>
          <w:tcPr>
            <w:tcW w:w="160" w:type="dxa"/>
            <w:vAlign w:val="bottom"/>
          </w:tcPr>
          <w:p>
            <w:pPr>
              <w:spacing w:after="0"/>
              <w:rPr>
                <w:sz w:val="17"/>
                <w:szCs w:val="17"/>
                <w:color w:val="auto"/>
              </w:rPr>
            </w:pPr>
          </w:p>
        </w:tc>
        <w:tc>
          <w:tcPr>
            <w:tcW w:w="1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85</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3,004</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3,109</w:t>
            </w: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fixed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4,790</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5,267</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(3,427)</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(3,076)</w:t>
            </w:r>
          </w:p>
        </w:tc>
      </w:tr>
      <w:tr>
        <w:trPr>
          <w:trHeight w:val="196"/>
        </w:trPr>
        <w:tc>
          <w:tcPr>
            <w:tcW w:w="774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Fixed assets, net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1,363</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2,191</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-427990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7" w:lineRule="exact"/>
        <w:rPr>
          <w:sz w:val="20"/>
          <w:szCs w:val="20"/>
          <w:color w:val="auto"/>
        </w:rPr>
      </w:pPr>
    </w:p>
    <w:p>
      <w:pPr>
        <w:jc w:val="both"/>
        <w:ind w:right="220"/>
        <w:spacing w:after="0" w:line="249" w:lineRule="auto"/>
        <w:rPr>
          <w:sz w:val="20"/>
          <w:szCs w:val="20"/>
          <w:color w:val="auto"/>
        </w:rPr>
      </w:pPr>
      <w:r>
        <w:rPr>
          <w:rFonts w:ascii="Arial" w:cs="Arial" w:eastAsia="Arial" w:hAnsi="Arial"/>
          <w:sz w:val="17"/>
          <w:szCs w:val="17"/>
          <w:color w:val="auto"/>
        </w:rPr>
        <w:t>Depreciation expense was $0.2 million and $0.7 million for each of the three and nine months ended September 30, 2025 and 2024, respectively. The Company recorded a $0.3 million loss on the sale and disposal of fixed assets for the three and nine months ended September 30, 2025. The Company did not record any loss on the sale and disposal of fixed assets for the three and nine months ended September 30, 2024.</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23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2024</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employee related expenses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2,570</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3,038</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Third-party research and development expenses</w:t>
            </w:r>
          </w:p>
        </w:tc>
        <w:tc>
          <w:tcPr>
            <w:tcW w:w="140" w:type="dxa"/>
            <w:vAlign w:val="bottom"/>
          </w:tcPr>
          <w:p>
            <w:pPr>
              <w:spacing w:after="0"/>
              <w:rPr>
                <w:sz w:val="17"/>
                <w:szCs w:val="17"/>
                <w:color w:val="auto"/>
              </w:rPr>
            </w:pPr>
          </w:p>
        </w:tc>
        <w:tc>
          <w:tcPr>
            <w:tcW w:w="15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1,337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765</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fees</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1,187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920</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390</w:t>
            </w:r>
          </w:p>
        </w:tc>
      </w:tr>
      <w:tr>
        <w:trPr>
          <w:trHeight w:val="216"/>
        </w:trPr>
        <w:tc>
          <w:tcPr>
            <w:tcW w:w="77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5,149</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5,113</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0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term loan is secured by substantially all of the Company’s properties, rights and assets, except for its intellectual property, which is subject to a negative pledge under the Loan Agreement.</w:t>
      </w:r>
    </w:p>
    <w:p>
      <w:pPr>
        <w:spacing w:after="0" w:line="6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5" w:name="page16"/>
    <w:bookmarkEnd w:id="15"/>
    <w:p>
      <w:pPr>
        <w:ind w:right="20"/>
        <w:spacing w:after="0" w:line="244" w:lineRule="auto"/>
        <w:rPr>
          <w:sz w:val="20"/>
          <w:szCs w:val="20"/>
          <w:color w:val="auto"/>
        </w:rPr>
      </w:pPr>
      <w:r>
        <w:rPr>
          <w:rFonts w:ascii="Arial" w:cs="Arial" w:eastAsia="Arial" w:hAnsi="Arial"/>
          <w:sz w:val="17"/>
          <w:szCs w:val="17"/>
          <w:color w:val="auto"/>
        </w:rPr>
        <w:t>During the three and nine months ended September 30, 2025, the Company recorded interest expense relating to the Loan Agreement of $0.1 million and $0.6 million, respectively. During the three and nine months ended September 30, 2024, the Company recorded interest expense relating to the Loan Agreement of $0.5 million and $1.6 million, respectively. The weighted average effective interest rate as of September 30, 2025 was 11.80%.</w:t>
      </w:r>
    </w:p>
    <w:p>
      <w:pPr>
        <w:spacing w:after="0" w:line="69"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 (remaining three months)</w:t>
            </w:r>
          </w:p>
        </w:tc>
        <w:tc>
          <w:tcPr>
            <w:tcW w:w="1460" w:type="dxa"/>
            <w:vAlign w:val="bottom"/>
            <w:shd w:val="clear" w:color="auto" w:fill="CFF0FC"/>
          </w:tcPr>
          <w:p>
            <w:pPr>
              <w:jc w:val="right"/>
              <w:ind w:right="127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r>
      <w:tr>
        <w:trPr>
          <w:trHeight w:val="196"/>
        </w:trPr>
        <w:tc>
          <w:tcPr>
            <w:tcW w:w="78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principal</w:t>
            </w:r>
          </w:p>
        </w:tc>
        <w:tc>
          <w:tcPr>
            <w:tcW w:w="14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3,333</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Final payment fee</w:t>
            </w:r>
          </w:p>
        </w:tc>
        <w:tc>
          <w:tcPr>
            <w:tcW w:w="14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debt discount</w:t>
            </w:r>
          </w:p>
        </w:tc>
        <w:tc>
          <w:tcPr>
            <w:tcW w:w="146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(989)</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Accretion of debt discount</w:t>
            </w:r>
          </w:p>
        </w:tc>
        <w:tc>
          <w:tcPr>
            <w:tcW w:w="1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981</w:t>
            </w:r>
          </w:p>
        </w:tc>
        <w:tc>
          <w:tcPr>
            <w:tcW w:w="100" w:type="dxa"/>
            <w:vAlign w:val="bottom"/>
          </w:tcPr>
          <w:p>
            <w:pPr>
              <w:spacing w:after="0"/>
              <w:rPr>
                <w:sz w:val="17"/>
                <w:szCs w:val="17"/>
                <w:color w:val="auto"/>
              </w:rPr>
            </w:pPr>
          </w:p>
        </w:tc>
      </w:tr>
      <w:tr>
        <w:trPr>
          <w:trHeight w:val="236"/>
        </w:trPr>
        <w:tc>
          <w:tcPr>
            <w:tcW w:w="7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carrying amount</w:t>
            </w:r>
          </w:p>
        </w:tc>
        <w:tc>
          <w:tcPr>
            <w:tcW w:w="1460" w:type="dxa"/>
            <w:vAlign w:val="bottom"/>
            <w:tcBorders>
              <w:bottom w:val="single" w:sz="8" w:color="auto"/>
            </w:tcBorders>
            <w:shd w:val="clear" w:color="auto" w:fill="CFF0FC"/>
          </w:tcPr>
          <w:p>
            <w:pPr>
              <w:jc w:val="right"/>
              <w:ind w:right="127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Periphagen Note</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December 9, 2019, the Company entered into a series of asset purchase agreements with Periphagen, Inc. (Periphagen), a biopharmaceutical company focused on the development of gene therapy vectors. Under the terms of the asset purchase agreements, the Company assumed a $1.0 million promissory note (the Periphagen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September 30, 2025, the carrying value of the note is $1.0 million. The carrying value of the note approximates fair value. Upon maturity, the Company will pay Periphagen $1.4 million for the outstanding balance and accrued interest due.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Lease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line="8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On August 18, 2025, the Company entered into a first amendment to the existing lease agreement dated February 4, 2019, extending the end-date of the term under the existing lease from August 31, 2026 to August 31, 2029.</w:t>
      </w:r>
    </w:p>
    <w:p>
      <w:pPr>
        <w:spacing w:after="0" w:line="51"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For the three and nine months ended September 30, 2025, the Company recorded $0.1 million and $0.3 million of operating lease cost, respectively, and for the three and nine months ended September 30, 2025, the Company recorded $37,000 and $0.1 million, respectively, of variable lease cost. The total lease expense for each of the three and nine months ended September 30, 2025 was $0.1 million and $0.4 million, respectively.</w:t>
      </w:r>
    </w:p>
    <w:p>
      <w:pPr>
        <w:spacing w:after="0" w:line="6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For the three and nine months ended September 30, 2024, the Company recorded $90,000 and $0.3 million of operating lease cost, respectively, and for the three and nine months ended September 30, 2024, the Company recorded $44,000 and $0.1 million, respectively, of variable lease cost. The total lease expense for each of the three and nine months ended September 30, 2024 was $0.1 million and $0.4 million, respectively.</w:t>
      </w:r>
    </w:p>
    <w:p>
      <w:pPr>
        <w:spacing w:after="0" w:line="67" w:lineRule="exact"/>
        <w:rPr>
          <w:sz w:val="20"/>
          <w:szCs w:val="20"/>
          <w:color w:val="auto"/>
        </w:rPr>
      </w:pPr>
    </w:p>
    <w:p>
      <w:pPr>
        <w:jc w:val="both"/>
        <w:ind w:right="360"/>
        <w:spacing w:after="0" w:line="249" w:lineRule="auto"/>
        <w:rPr>
          <w:sz w:val="20"/>
          <w:szCs w:val="20"/>
          <w:color w:val="auto"/>
        </w:rPr>
      </w:pPr>
      <w:r>
        <w:rPr>
          <w:rFonts w:ascii="Arial" w:cs="Arial" w:eastAsia="Arial" w:hAnsi="Arial"/>
          <w:sz w:val="17"/>
          <w:szCs w:val="17"/>
          <w:color w:val="auto"/>
        </w:rPr>
        <w:t>Cash paid for amounts included in the lease liability for the three and nine months ended September 30, 2025 was $0.2 million and $0.5 million, respectively. Cash paid for amounts included in the lease liability for the three and nine months ended September 30, 2024 was $0.1 million and $0.4 million, respectively.</w:t>
      </w:r>
    </w:p>
    <w:p>
      <w:pPr>
        <w:spacing w:after="0" w:line="377" w:lineRule="exact"/>
        <w:rPr>
          <w:sz w:val="20"/>
          <w:szCs w:val="20"/>
          <w:color w:val="auto"/>
        </w:rPr>
      </w:pPr>
    </w:p>
    <w:tbl>
      <w:tblPr>
        <w:tblLayout w:type="fixed"/>
        <w:tblInd w:w="11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gridSpan w:val="4"/>
          </w:tcPr>
          <w:p>
            <w:pPr>
              <w:jc w:val="center"/>
              <w:ind w:left="661"/>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Other Information</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left="68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01"/>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shd w:val="clear" w:color="auto" w:fill="CFF0FC"/>
          </w:tcPr>
          <w:p>
            <w:pPr>
              <w:spacing w:after="0" w:line="160" w:lineRule="exact"/>
              <w:rPr>
                <w:sz w:val="20"/>
                <w:szCs w:val="20"/>
                <w:color w:val="auto"/>
              </w:rPr>
            </w:pPr>
            <w:r>
              <w:rPr>
                <w:rFonts w:ascii="Arial" w:cs="Arial" w:eastAsia="Arial" w:hAnsi="Arial"/>
                <w:sz w:val="17"/>
                <w:szCs w:val="17"/>
                <w:color w:val="auto"/>
              </w:rPr>
              <w:t>Operating cash flows used for operating leases (in</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thousands)</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w:t>
            </w: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ind w:left="40"/>
              <w:spacing w:after="0" w:line="189" w:lineRule="exact"/>
              <w:rPr>
                <w:sz w:val="20"/>
                <w:szCs w:val="20"/>
                <w:color w:val="auto"/>
              </w:rPr>
            </w:pPr>
            <w:r>
              <w:rPr>
                <w:rFonts w:ascii="Arial" w:cs="Arial" w:eastAsia="Arial" w:hAnsi="Arial"/>
                <w:sz w:val="17"/>
                <w:szCs w:val="17"/>
                <w:color w:val="auto"/>
              </w:rPr>
              <w:t>Weighted-average remaining lease term (years)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3.9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FF0FC"/>
          </w:tcPr>
          <w:p>
            <w:pPr>
              <w:ind w:left="40"/>
              <w:spacing w:after="0" w:line="189" w:lineRule="exact"/>
              <w:rPr>
                <w:sz w:val="20"/>
                <w:szCs w:val="20"/>
                <w:color w:val="auto"/>
              </w:rPr>
            </w:pPr>
            <w:r>
              <w:rPr>
                <w:rFonts w:ascii="Arial" w:cs="Arial" w:eastAsia="Arial" w:hAnsi="Arial"/>
                <w:sz w:val="17"/>
                <w:szCs w:val="17"/>
                <w:color w:val="auto"/>
              </w:rPr>
              <w:t>Weighted-average incremental borrowing rate</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7.10%</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7.02%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future lease payments under non-cancelable leases at September 30, 2025,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shd w:val="clear" w:color="auto" w:fill="CFF0FC"/>
          </w:tcPr>
          <w:p>
            <w:pPr>
              <w:jc w:val="right"/>
              <w:ind w:right="7775"/>
              <w:spacing w:after="0"/>
              <w:rPr>
                <w:sz w:val="20"/>
                <w:szCs w:val="20"/>
                <w:color w:val="auto"/>
              </w:rPr>
            </w:pPr>
            <w:r>
              <w:rPr>
                <w:rFonts w:ascii="Arial" w:cs="Arial" w:eastAsia="Arial" w:hAnsi="Arial"/>
                <w:sz w:val="17"/>
                <w:szCs w:val="17"/>
                <w:color w:val="auto"/>
              </w:rPr>
              <w:t>2025</w:t>
            </w:r>
          </w:p>
        </w:tc>
        <w:tc>
          <w:tcPr>
            <w:tcW w:w="1240" w:type="dxa"/>
            <w:vAlign w:val="bottom"/>
            <w:shd w:val="clear" w:color="auto" w:fill="CFF0FC"/>
          </w:tcPr>
          <w:p>
            <w:pPr>
              <w:jc w:val="right"/>
              <w:ind w:right="105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FF0FC"/>
          </w:tcPr>
          <w:p>
            <w:pPr>
              <w:spacing w:after="0"/>
              <w:rPr>
                <w:sz w:val="16"/>
                <w:szCs w:val="16"/>
                <w:color w:val="auto"/>
              </w:rPr>
            </w:pPr>
          </w:p>
        </w:tc>
      </w:tr>
      <w:tr>
        <w:trPr>
          <w:trHeight w:val="189"/>
        </w:trPr>
        <w:tc>
          <w:tcPr>
            <w:tcW w:w="8300" w:type="dxa"/>
            <w:vAlign w:val="bottom"/>
          </w:tcPr>
          <w:p>
            <w:pPr>
              <w:jc w:val="right"/>
              <w:ind w:right="7775"/>
              <w:spacing w:after="0" w:line="189" w:lineRule="exact"/>
              <w:rPr>
                <w:sz w:val="20"/>
                <w:szCs w:val="20"/>
                <w:color w:val="auto"/>
              </w:rPr>
            </w:pPr>
            <w:r>
              <w:rPr>
                <w:rFonts w:ascii="Arial" w:cs="Arial" w:eastAsia="Arial" w:hAnsi="Arial"/>
                <w:sz w:val="17"/>
                <w:szCs w:val="17"/>
                <w:color w:val="auto"/>
              </w:rPr>
              <w:t>2026</w:t>
            </w:r>
          </w:p>
        </w:tc>
        <w:tc>
          <w:tcPr>
            <w:tcW w:w="124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618</w:t>
            </w:r>
          </w:p>
        </w:tc>
        <w:tc>
          <w:tcPr>
            <w:tcW w:w="100" w:type="dxa"/>
            <w:vAlign w:val="bottom"/>
          </w:tcPr>
          <w:p>
            <w:pPr>
              <w:spacing w:after="0"/>
              <w:rPr>
                <w:sz w:val="16"/>
                <w:szCs w:val="16"/>
                <w:color w:val="auto"/>
              </w:rPr>
            </w:pPr>
          </w:p>
        </w:tc>
      </w:tr>
      <w:tr>
        <w:trPr>
          <w:trHeight w:val="189"/>
        </w:trPr>
        <w:tc>
          <w:tcPr>
            <w:tcW w:w="8300" w:type="dxa"/>
            <w:vAlign w:val="bottom"/>
            <w:shd w:val="clear" w:color="auto" w:fill="CFF0FC"/>
          </w:tcPr>
          <w:p>
            <w:pPr>
              <w:jc w:val="right"/>
              <w:ind w:right="7775"/>
              <w:spacing w:after="0" w:line="189" w:lineRule="exact"/>
              <w:rPr>
                <w:sz w:val="20"/>
                <w:szCs w:val="20"/>
                <w:color w:val="auto"/>
              </w:rPr>
            </w:pPr>
            <w:r>
              <w:rPr>
                <w:rFonts w:ascii="Arial" w:cs="Arial" w:eastAsia="Arial" w:hAnsi="Arial"/>
                <w:sz w:val="17"/>
                <w:szCs w:val="17"/>
                <w:color w:val="auto"/>
              </w:rPr>
              <w:t>2027</w:t>
            </w:r>
          </w:p>
        </w:tc>
        <w:tc>
          <w:tcPr>
            <w:tcW w:w="124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613</w:t>
            </w:r>
          </w:p>
        </w:tc>
        <w:tc>
          <w:tcPr>
            <w:tcW w:w="100" w:type="dxa"/>
            <w:vAlign w:val="bottom"/>
            <w:shd w:val="clear" w:color="auto" w:fill="CFF0FC"/>
          </w:tcPr>
          <w:p>
            <w:pPr>
              <w:spacing w:after="0"/>
              <w:rPr>
                <w:sz w:val="16"/>
                <w:szCs w:val="16"/>
                <w:color w:val="auto"/>
              </w:rPr>
            </w:pPr>
          </w:p>
        </w:tc>
      </w:tr>
      <w:tr>
        <w:trPr>
          <w:trHeight w:val="189"/>
        </w:trPr>
        <w:tc>
          <w:tcPr>
            <w:tcW w:w="8300" w:type="dxa"/>
            <w:vAlign w:val="bottom"/>
          </w:tcPr>
          <w:p>
            <w:pPr>
              <w:jc w:val="right"/>
              <w:ind w:right="7775"/>
              <w:spacing w:after="0" w:line="189" w:lineRule="exact"/>
              <w:rPr>
                <w:sz w:val="20"/>
                <w:szCs w:val="20"/>
                <w:color w:val="auto"/>
              </w:rPr>
            </w:pPr>
            <w:r>
              <w:rPr>
                <w:rFonts w:ascii="Arial" w:cs="Arial" w:eastAsia="Arial" w:hAnsi="Arial"/>
                <w:sz w:val="17"/>
                <w:szCs w:val="17"/>
                <w:color w:val="auto"/>
              </w:rPr>
              <w:t>2028</w:t>
            </w:r>
          </w:p>
        </w:tc>
        <w:tc>
          <w:tcPr>
            <w:tcW w:w="124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628</w:t>
            </w:r>
          </w:p>
        </w:tc>
        <w:tc>
          <w:tcPr>
            <w:tcW w:w="100" w:type="dxa"/>
            <w:vAlign w:val="bottom"/>
          </w:tcPr>
          <w:p>
            <w:pPr>
              <w:spacing w:after="0"/>
              <w:rPr>
                <w:sz w:val="16"/>
                <w:szCs w:val="16"/>
                <w:color w:val="auto"/>
              </w:rPr>
            </w:pPr>
          </w:p>
        </w:tc>
      </w:tr>
      <w:tr>
        <w:trPr>
          <w:trHeight w:val="189"/>
        </w:trPr>
        <w:tc>
          <w:tcPr>
            <w:tcW w:w="8300" w:type="dxa"/>
            <w:vAlign w:val="bottom"/>
            <w:tcBorders>
              <w:bottom w:val="single" w:sz="8" w:color="CFF0FC"/>
            </w:tcBorders>
            <w:shd w:val="clear" w:color="auto" w:fill="CFF0FC"/>
          </w:tcPr>
          <w:p>
            <w:pPr>
              <w:jc w:val="right"/>
              <w:ind w:right="7775"/>
              <w:spacing w:after="0" w:line="189" w:lineRule="exact"/>
              <w:rPr>
                <w:sz w:val="20"/>
                <w:szCs w:val="20"/>
                <w:color w:val="auto"/>
              </w:rPr>
            </w:pPr>
            <w:r>
              <w:rPr>
                <w:rFonts w:ascii="Arial" w:cs="Arial" w:eastAsia="Arial" w:hAnsi="Arial"/>
                <w:sz w:val="17"/>
                <w:szCs w:val="17"/>
                <w:color w:val="auto"/>
              </w:rPr>
              <w:t>2029</w:t>
            </w:r>
          </w:p>
        </w:tc>
        <w:tc>
          <w:tcPr>
            <w:tcW w:w="124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426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300" w:type="dxa"/>
            <w:vAlign w:val="bottom"/>
          </w:tcPr>
          <w:p>
            <w:pPr>
              <w:jc w:val="right"/>
              <w:ind w:right="5815"/>
              <w:spacing w:after="0" w:line="183" w:lineRule="exact"/>
              <w:rPr>
                <w:sz w:val="20"/>
                <w:szCs w:val="20"/>
                <w:color w:val="auto"/>
              </w:rPr>
            </w:pPr>
            <w:r>
              <w:rPr>
                <w:rFonts w:ascii="Arial" w:cs="Arial" w:eastAsia="Arial" w:hAnsi="Arial"/>
                <w:sz w:val="17"/>
                <w:szCs w:val="17"/>
                <w:color w:val="auto"/>
              </w:rPr>
              <w:t>Total future lease payments</w:t>
            </w:r>
          </w:p>
        </w:tc>
        <w:tc>
          <w:tcPr>
            <w:tcW w:w="124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7"/>
                <w:szCs w:val="17"/>
                <w:color w:val="auto"/>
              </w:rPr>
              <w:t>2,441</w:t>
            </w:r>
          </w:p>
        </w:tc>
        <w:tc>
          <w:tcPr>
            <w:tcW w:w="100" w:type="dxa"/>
            <w:vAlign w:val="bottom"/>
          </w:tcPr>
          <w:p>
            <w:pPr>
              <w:spacing w:after="0"/>
              <w:rPr>
                <w:sz w:val="15"/>
                <w:szCs w:val="15"/>
                <w:color w:val="auto"/>
              </w:rPr>
            </w:pPr>
          </w:p>
        </w:tc>
      </w:tr>
      <w:tr>
        <w:trPr>
          <w:trHeight w:val="189"/>
        </w:trPr>
        <w:tc>
          <w:tcPr>
            <w:tcW w:w="83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Less: imputed interest</w:t>
            </w:r>
          </w:p>
        </w:tc>
        <w:tc>
          <w:tcPr>
            <w:tcW w:w="124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(432)</w:t>
            </w:r>
          </w:p>
        </w:tc>
      </w:tr>
      <w:tr>
        <w:trPr>
          <w:trHeight w:val="183"/>
        </w:trPr>
        <w:tc>
          <w:tcPr>
            <w:tcW w:w="830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color w:val="auto"/>
              </w:rPr>
              <w:t>Total lease liability</w:t>
            </w:r>
          </w:p>
        </w:tc>
        <w:tc>
          <w:tcPr>
            <w:tcW w:w="1240" w:type="dxa"/>
            <w:vAlign w:val="bottom"/>
            <w:tcBorders>
              <w:top w:val="single" w:sz="8" w:color="auto"/>
              <w:bottom w:val="single" w:sz="8" w:color="auto"/>
            </w:tcBorders>
          </w:tcPr>
          <w:p>
            <w:pPr>
              <w:jc w:val="right"/>
              <w:ind w:right="1055"/>
              <w:spacing w:after="0" w:line="183" w:lineRule="exact"/>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2,009</w:t>
            </w:r>
          </w:p>
        </w:tc>
        <w:tc>
          <w:tcPr>
            <w:tcW w:w="100" w:type="dxa"/>
            <w:vAlign w:val="bottom"/>
            <w:tcBorders>
              <w:top w:val="single" w:sz="8" w:color="CFF0FC"/>
            </w:tcBorders>
          </w:tcPr>
          <w:p>
            <w:pPr>
              <w:spacing w:after="0"/>
              <w:rPr>
                <w:sz w:val="15"/>
                <w:szCs w:val="15"/>
                <w:color w:val="auto"/>
              </w:rPr>
            </w:pPr>
          </w:p>
        </w:tc>
      </w:tr>
      <w:tr>
        <w:trPr>
          <w:trHeight w:val="20"/>
        </w:trPr>
        <w:tc>
          <w:tcPr>
            <w:tcW w:w="8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are voting and dividends may be paid when, as and if declared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140" w:type="dxa"/>
            <w:vAlign w:val="bottom"/>
          </w:tcPr>
          <w:p>
            <w:pPr>
              <w:jc w:val="right"/>
              <w:ind w:right="43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760" w:type="dxa"/>
            <w:vAlign w:val="bottom"/>
          </w:tcPr>
          <w:p>
            <w:pPr>
              <w:spacing w:after="0"/>
              <w:rPr>
                <w:sz w:val="17"/>
                <w:szCs w:val="17"/>
                <w:color w:val="auto"/>
              </w:rPr>
            </w:pPr>
          </w:p>
        </w:tc>
        <w:tc>
          <w:tcPr>
            <w:tcW w:w="2140" w:type="dxa"/>
            <w:vAlign w:val="bottom"/>
          </w:tcPr>
          <w:p>
            <w:pPr>
              <w:jc w:val="right"/>
              <w:ind w:right="838"/>
              <w:spacing w:after="0"/>
              <w:rPr>
                <w:sz w:val="20"/>
                <w:szCs w:val="20"/>
                <w:color w:val="auto"/>
              </w:rPr>
            </w:pPr>
            <w:r>
              <w:rPr>
                <w:rFonts w:ascii="Arial" w:cs="Arial" w:eastAsia="Arial" w:hAnsi="Arial"/>
                <w:sz w:val="14"/>
                <w:szCs w:val="14"/>
                <w:b w:val="1"/>
                <w:bCs w:val="1"/>
                <w:color w:val="auto"/>
              </w:rPr>
              <w:t>2025</w:t>
            </w:r>
          </w:p>
        </w:tc>
        <w:tc>
          <w:tcPr>
            <w:tcW w:w="2240" w:type="dxa"/>
            <w:vAlign w:val="bottom"/>
            <w:gridSpan w:val="3"/>
          </w:tcPr>
          <w:p>
            <w:pPr>
              <w:jc w:val="right"/>
              <w:ind w:right="76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r>
      <w:tr>
        <w:trPr>
          <w:trHeight w:val="137"/>
        </w:trPr>
        <w:tc>
          <w:tcPr>
            <w:tcW w:w="676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Stock options outstanding</w:t>
            </w:r>
          </w:p>
        </w:tc>
        <w:tc>
          <w:tcPr>
            <w:tcW w:w="2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6,210,224</w:t>
            </w:r>
          </w:p>
        </w:tc>
        <w:tc>
          <w:tcPr>
            <w:tcW w:w="224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7"/>
                <w:szCs w:val="17"/>
                <w:color w:val="auto"/>
              </w:rPr>
              <w:t>4,486,181</w:t>
            </w:r>
          </w:p>
        </w:tc>
        <w:tc>
          <w:tcPr>
            <w:tcW w:w="100" w:type="dxa"/>
            <w:vAlign w:val="bottom"/>
            <w:shd w:val="clear" w:color="auto" w:fill="CFF0FC"/>
          </w:tcPr>
          <w:p>
            <w:pPr>
              <w:spacing w:after="0"/>
              <w:rPr>
                <w:sz w:val="15"/>
                <w:szCs w:val="15"/>
                <w:color w:val="auto"/>
              </w:rPr>
            </w:pPr>
          </w:p>
        </w:tc>
      </w:tr>
      <w:tr>
        <w:trPr>
          <w:trHeight w:val="189"/>
        </w:trPr>
        <w:tc>
          <w:tcPr>
            <w:tcW w:w="6760" w:type="dxa"/>
            <w:vAlign w:val="bottom"/>
          </w:tcPr>
          <w:p>
            <w:pPr>
              <w:spacing w:after="0" w:line="189" w:lineRule="exact"/>
              <w:rPr>
                <w:sz w:val="20"/>
                <w:szCs w:val="20"/>
                <w:color w:val="auto"/>
              </w:rPr>
            </w:pPr>
            <w:r>
              <w:rPr>
                <w:rFonts w:ascii="Arial" w:cs="Arial" w:eastAsia="Arial" w:hAnsi="Arial"/>
                <w:sz w:val="17"/>
                <w:szCs w:val="17"/>
                <w:color w:val="auto"/>
              </w:rPr>
              <w:t>Unvested restricted stock</w:t>
            </w:r>
          </w:p>
        </w:tc>
        <w:tc>
          <w:tcPr>
            <w:tcW w:w="21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330,779</w:t>
            </w:r>
          </w:p>
        </w:tc>
        <w:tc>
          <w:tcPr>
            <w:tcW w:w="100" w:type="dxa"/>
            <w:vAlign w:val="bottom"/>
          </w:tcPr>
          <w:p>
            <w:pPr>
              <w:spacing w:after="0"/>
              <w:rPr>
                <w:sz w:val="16"/>
                <w:szCs w:val="16"/>
                <w:color w:val="auto"/>
              </w:rPr>
            </w:pPr>
          </w:p>
        </w:tc>
      </w:tr>
      <w:tr>
        <w:trPr>
          <w:trHeight w:val="189"/>
        </w:trPr>
        <w:tc>
          <w:tcPr>
            <w:tcW w:w="67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Shares available for future grant under stock option plan</w:t>
            </w:r>
          </w:p>
        </w:tc>
        <w:tc>
          <w:tcPr>
            <w:tcW w:w="2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1,939,396</w:t>
            </w:r>
          </w:p>
        </w:tc>
        <w:tc>
          <w:tcPr>
            <w:tcW w:w="224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7"/>
                <w:szCs w:val="17"/>
                <w:color w:val="auto"/>
              </w:rPr>
              <w:t>2,008,379</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tcPr>
          <w:p>
            <w:pPr>
              <w:spacing w:after="0" w:line="189" w:lineRule="exact"/>
              <w:rPr>
                <w:sz w:val="20"/>
                <w:szCs w:val="20"/>
                <w:color w:val="auto"/>
              </w:rPr>
            </w:pPr>
            <w:r>
              <w:rPr>
                <w:rFonts w:ascii="Arial" w:cs="Arial" w:eastAsia="Arial" w:hAnsi="Arial"/>
                <w:sz w:val="17"/>
                <w:szCs w:val="17"/>
                <w:color w:val="auto"/>
              </w:rPr>
              <w:t>Warrants</w:t>
            </w:r>
          </w:p>
        </w:tc>
        <w:tc>
          <w:tcPr>
            <w:tcW w:w="2140" w:type="dxa"/>
            <w:vAlign w:val="bottom"/>
          </w:tcPr>
          <w:p>
            <w:pPr>
              <w:jc w:val="right"/>
              <w:spacing w:after="0" w:line="189" w:lineRule="exact"/>
              <w:rPr>
                <w:sz w:val="20"/>
                <w:szCs w:val="20"/>
                <w:color w:val="auto"/>
              </w:rPr>
            </w:pPr>
            <w:r>
              <w:rPr>
                <w:rFonts w:ascii="Arial" w:cs="Arial" w:eastAsia="Arial" w:hAnsi="Arial"/>
                <w:sz w:val="17"/>
                <w:szCs w:val="17"/>
                <w:color w:val="auto"/>
              </w:rPr>
              <w:t>7,507,708</w:t>
            </w:r>
          </w:p>
        </w:tc>
        <w:tc>
          <w:tcPr>
            <w:tcW w:w="22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6"/>
                <w:szCs w:val="16"/>
                <w:color w:val="auto"/>
              </w:rPr>
            </w:pPr>
          </w:p>
        </w:tc>
      </w:tr>
      <w:tr>
        <w:trPr>
          <w:trHeight w:val="189"/>
        </w:trPr>
        <w:tc>
          <w:tcPr>
            <w:tcW w:w="67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Pre-funded warrants</w:t>
            </w:r>
          </w:p>
        </w:tc>
        <w:tc>
          <w:tcPr>
            <w:tcW w:w="21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2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3,333,333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760" w:type="dxa"/>
            <w:vAlign w:val="bottom"/>
          </w:tcPr>
          <w:p>
            <w:pPr>
              <w:spacing w:after="0"/>
              <w:rPr>
                <w:sz w:val="15"/>
                <w:szCs w:val="15"/>
                <w:color w:val="auto"/>
              </w:rPr>
            </w:pPr>
          </w:p>
        </w:tc>
        <w:tc>
          <w:tcPr>
            <w:tcW w:w="2140" w:type="dxa"/>
            <w:vAlign w:val="bottom"/>
          </w:tcPr>
          <w:p>
            <w:pPr>
              <w:jc w:val="right"/>
              <w:spacing w:after="0" w:line="183" w:lineRule="exact"/>
              <w:rPr>
                <w:sz w:val="20"/>
                <w:szCs w:val="20"/>
                <w:color w:val="auto"/>
              </w:rPr>
            </w:pPr>
            <w:r>
              <w:rPr>
                <w:rFonts w:ascii="Arial" w:cs="Arial" w:eastAsia="Arial" w:hAnsi="Arial"/>
                <w:sz w:val="17"/>
                <w:szCs w:val="17"/>
                <w:color w:val="auto"/>
              </w:rPr>
              <w:t>15,657,328</w:t>
            </w:r>
          </w:p>
        </w:tc>
        <w:tc>
          <w:tcPr>
            <w:tcW w:w="224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17,666,380</w:t>
            </w:r>
          </w:p>
        </w:tc>
        <w:tc>
          <w:tcPr>
            <w:tcW w:w="100" w:type="dxa"/>
            <w:vAlign w:val="bottom"/>
          </w:tcPr>
          <w:p>
            <w:pPr>
              <w:spacing w:after="0"/>
              <w:rPr>
                <w:sz w:val="15"/>
                <w:szCs w:val="15"/>
                <w:color w:val="auto"/>
              </w:rPr>
            </w:pPr>
          </w:p>
        </w:tc>
      </w:tr>
      <w:tr>
        <w:trPr>
          <w:trHeight w:val="20"/>
        </w:trPr>
        <w:tc>
          <w:tcPr>
            <w:tcW w:w="676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August 5, 2022, the Company filed the 2022 Shelf with the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Shelf was declared effective by the SEC on August 12, 2022 and expired on August 12, 2025. As of August 12, 2025, the Company had sold and issued 3,923,829 shares of common stock under the 2022 ATM Program, with total net proceeds of $20.9 million.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On August 14, 2025, the Company filed the 2025 Shelf with the SEC, which covers the offering, issuance, and sale by the Company of up to 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aggregate of $300.0 million of our common stock, preferred stock, debt securities, warrants and/or units of any combination thereof. The Company</w:t>
      </w:r>
    </w:p>
    <w:p>
      <w:pPr>
        <w:spacing w:after="0" w:line="232" w:lineRule="auto"/>
        <w:rPr>
          <w:sz w:val="20"/>
          <w:szCs w:val="20"/>
          <w:color w:val="auto"/>
        </w:rPr>
      </w:pPr>
      <w:r>
        <w:rPr>
          <w:rFonts w:ascii="Arial" w:cs="Arial" w:eastAsia="Arial" w:hAnsi="Arial"/>
          <w:sz w:val="17"/>
          <w:szCs w:val="17"/>
          <w:color w:val="auto"/>
        </w:rPr>
        <w:t>simultaneously entered into a sales agreement with Jefferies LLC, as sales agent, to provide for the issuance and sale by the Company of up to</w:t>
      </w:r>
    </w:p>
    <w:p>
      <w:pPr>
        <w:spacing w:after="0" w:line="232" w:lineRule="auto"/>
        <w:rPr>
          <w:sz w:val="20"/>
          <w:szCs w:val="20"/>
          <w:color w:val="auto"/>
        </w:rPr>
      </w:pPr>
      <w:r>
        <w:rPr>
          <w:rFonts w:ascii="Arial" w:cs="Arial" w:eastAsia="Arial" w:hAnsi="Arial"/>
          <w:sz w:val="17"/>
          <w:szCs w:val="17"/>
          <w:color w:val="auto"/>
        </w:rPr>
        <w:t>$50.0 million of our common stock from time to time in “at-the-market” offerings under the 2025 Shelf. The 2025 Shelf was declared effective by the</w:t>
      </w:r>
    </w:p>
    <w:p>
      <w:pPr>
        <w:spacing w:after="0" w:line="232" w:lineRule="auto"/>
        <w:rPr>
          <w:sz w:val="20"/>
          <w:szCs w:val="20"/>
          <w:color w:val="auto"/>
        </w:rPr>
      </w:pPr>
      <w:r>
        <w:rPr>
          <w:rFonts w:ascii="Arial" w:cs="Arial" w:eastAsia="Arial" w:hAnsi="Arial"/>
          <w:sz w:val="17"/>
          <w:szCs w:val="17"/>
          <w:color w:val="auto"/>
        </w:rPr>
        <w:t>SEC on August 22, 2025. As of September 30, 2025 and through November 5, 2025, the Company has not sold any shares of common stock under</w:t>
      </w:r>
    </w:p>
    <w:p>
      <w:pPr>
        <w:spacing w:after="0"/>
        <w:rPr>
          <w:sz w:val="20"/>
          <w:szCs w:val="20"/>
          <w:color w:val="auto"/>
        </w:rPr>
      </w:pPr>
      <w:r>
        <w:rPr>
          <w:rFonts w:ascii="Arial" w:cs="Arial" w:eastAsia="Arial" w:hAnsi="Arial"/>
          <w:sz w:val="17"/>
          <w:szCs w:val="17"/>
          <w:color w:val="auto"/>
        </w:rPr>
        <w:t>the 2025 ATM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has the following warrants outstanding for the purchase of common stock as of September 30, 2025 and December 31, 2024 (except for the Pre-Funded Warrants, which had 3,333,333 shares of common stock with an exercise price of $0.01 subject to warrants outstanding as of December 31,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SHARES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339"/>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SUBJECT TO</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319"/>
              <w:spacing w:after="0"/>
              <w:rPr>
                <w:sz w:val="20"/>
                <w:szCs w:val="20"/>
                <w:color w:val="auto"/>
              </w:rPr>
            </w:pPr>
            <w:r>
              <w:rPr>
                <w:rFonts w:ascii="Arial" w:cs="Arial" w:eastAsia="Arial" w:hAnsi="Arial"/>
                <w:sz w:val="14"/>
                <w:szCs w:val="14"/>
                <w:b w:val="1"/>
                <w:bCs w:val="1"/>
                <w:color w:val="auto"/>
              </w:rPr>
              <w:t>PRICE PER</w:t>
            </w:r>
          </w:p>
        </w:tc>
        <w:tc>
          <w:tcPr>
            <w:tcW w:w="200" w:type="dxa"/>
            <w:vAlign w:val="bottom"/>
          </w:tcPr>
          <w:p>
            <w:pPr>
              <w:spacing w:after="0"/>
              <w:rPr>
                <w:sz w:val="14"/>
                <w:szCs w:val="14"/>
                <w:color w:val="auto"/>
              </w:rPr>
            </w:pPr>
          </w:p>
        </w:tc>
        <w:tc>
          <w:tcPr>
            <w:tcW w:w="2320" w:type="dxa"/>
            <w:vAlign w:val="bottom"/>
          </w:tcPr>
          <w:p>
            <w:pPr>
              <w:jc w:val="right"/>
              <w:ind w:right="637"/>
              <w:spacing w:after="0"/>
              <w:rPr>
                <w:sz w:val="20"/>
                <w:szCs w:val="20"/>
                <w:color w:val="auto"/>
              </w:rPr>
            </w:pPr>
            <w:r>
              <w:rPr>
                <w:rFonts w:ascii="Arial" w:cs="Arial" w:eastAsia="Arial" w:hAnsi="Arial"/>
                <w:sz w:val="14"/>
                <w:szCs w:val="14"/>
                <w:b w:val="1"/>
                <w:bCs w:val="1"/>
                <w:color w:val="auto"/>
              </w:rPr>
              <w:t>EXPIRATION</w:t>
            </w:r>
          </w:p>
        </w:tc>
      </w:tr>
      <w:tr>
        <w:trPr>
          <w:trHeight w:val="171"/>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232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DATES</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Series B Warrants</w:t>
            </w:r>
          </w:p>
        </w:tc>
        <w:tc>
          <w:tcPr>
            <w:tcW w:w="208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3,672,484</w:t>
            </w:r>
          </w:p>
        </w:tc>
        <w:tc>
          <w:tcPr>
            <w:tcW w:w="5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6.81</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November 2025</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Conditional Series B Warrants</w:t>
            </w:r>
          </w:p>
        </w:tc>
        <w:tc>
          <w:tcPr>
            <w:tcW w:w="20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3,672,484</w:t>
            </w: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6.81</w:t>
            </w:r>
          </w:p>
        </w:tc>
        <w:tc>
          <w:tcPr>
            <w:tcW w:w="20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November 2025</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NC Ohio Trust</w:t>
            </w:r>
          </w:p>
        </w:tc>
        <w:tc>
          <w:tcPr>
            <w:tcW w:w="20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162,740</w:t>
            </w:r>
          </w:p>
        </w:tc>
        <w:tc>
          <w:tcPr>
            <w:tcW w:w="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March 2029</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8"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67"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right="260" w:hanging="503"/>
        <w:spacing w:after="0" w:line="249"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65"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8" w:name="page19"/>
    <w:bookmarkEnd w:id="18"/>
    <w:p>
      <w:pPr>
        <w:ind w:right="60"/>
        <w:spacing w:after="0" w:line="238"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loss. The Company will continue to recognize changes in the fair value of the Conditional Series B Warrants until each Conditional Series B Warrant is exercised, expires or qualifies for equity classification. The warrant liability fair value was zero and $21.7 million as of September 30, 2025 and December 31, 2024,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 Ohio Trust Warrants</w:t>
      </w:r>
    </w:p>
    <w:p>
      <w:pPr>
        <w:spacing w:after="0" w:line="9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condensed consolidated statements of operations and comprehensive loss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September 30, 2025 and December 31, 2024, a grant date was not established as there was not a mutual understanding of key terms. The Company remeasures the fair value of the award at each reporting date, as the service date preceded the grant date. The value of the warrants for 162,740 shares of common stock was $0.7 million and $1.3 million as of September 30, 2025 and December 31, 2024, respectively. The value of the warrants since inception was recorded as stock compensation expense within research and development expense and a credit to stockholders’ equity (deficit) in the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connection with the public offering on December 16, 2024 (see Note 1),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74"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color w:val="auto"/>
        </w:rPr>
        <w:t>During the nine months ended September 30, 2025, 3,328,064 shares of common stock were issued upon the cashless exercise of pre-funded warrants. As of September 30, 2025, all pre-funded warrants were exercised.</w:t>
      </w:r>
    </w:p>
    <w:p>
      <w:pPr>
        <w:spacing w:after="0" w:line="95" w:lineRule="exact"/>
        <w:rPr>
          <w:sz w:val="20"/>
          <w:szCs w:val="20"/>
          <w:color w:val="auto"/>
        </w:rPr>
      </w:pPr>
    </w:p>
    <w:p>
      <w:pPr>
        <w:ind w:right="5380" w:firstLine="8"/>
        <w:spacing w:after="0" w:line="358"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Restricted Stock and Stock-Based Compensation </w:t>
      </w:r>
      <w:r>
        <w:rPr>
          <w:rFonts w:ascii="Arial" w:cs="Arial" w:eastAsia="Arial" w:hAnsi="Arial"/>
          <w:sz w:val="18"/>
          <w:szCs w:val="18"/>
          <w:b w:val="1"/>
          <w:bCs w:val="1"/>
          <w:i w:val="1"/>
          <w:iCs w:val="1"/>
          <w:color w:val="auto"/>
        </w:rPr>
        <w:t>Equity Incentive Plans</w:t>
      </w:r>
    </w:p>
    <w:p>
      <w:pPr>
        <w:ind w:right="100"/>
        <w:spacing w:after="0" w:line="236" w:lineRule="auto"/>
        <w:rPr>
          <w:sz w:val="20"/>
          <w:szCs w:val="20"/>
          <w:color w:val="auto"/>
        </w:rPr>
      </w:pPr>
      <w:r>
        <w:rPr>
          <w:rFonts w:ascii="Arial" w:cs="Arial" w:eastAsia="Arial" w:hAnsi="Arial"/>
          <w:sz w:val="17"/>
          <w:szCs w:val="17"/>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September 30, 2025, there are no shares available for grants under the 2015 Plan and the 2015 Plan continues to govern the terms and conditions of the outstanding awards under the 2015 Plan.</w:t>
      </w:r>
    </w:p>
    <w:p>
      <w:pPr>
        <w:spacing w:after="0" w:line="7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8,558,685 shares of common stock are reserved under the 2021 Plan, of which 1,939,396 shares remain available for future grants as of September 30, 2025.</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63"/>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640" w:type="dxa"/>
            <w:vAlign w:val="bottom"/>
          </w:tcPr>
          <w:p>
            <w:pPr>
              <w:jc w:val="center"/>
              <w:ind w:right="63"/>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40" w:type="dxa"/>
            <w:vAlign w:val="bottom"/>
          </w:tcPr>
          <w:p>
            <w:pPr>
              <w:spacing w:after="0"/>
              <w:rPr>
                <w:sz w:val="14"/>
                <w:szCs w:val="14"/>
                <w:color w:val="auto"/>
              </w:rPr>
            </w:pPr>
          </w:p>
        </w:tc>
        <w:tc>
          <w:tcPr>
            <w:tcW w:w="1680" w:type="dxa"/>
            <w:vAlign w:val="bottom"/>
          </w:tcPr>
          <w:p>
            <w:pPr>
              <w:jc w:val="center"/>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640" w:type="dxa"/>
            <w:vAlign w:val="bottom"/>
          </w:tcPr>
          <w:p>
            <w:pPr>
              <w:jc w:val="center"/>
              <w:ind w:right="63"/>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79"/>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240" w:type="dxa"/>
            <w:vAlign w:val="bottom"/>
          </w:tcPr>
          <w:p>
            <w:pPr>
              <w:spacing w:after="0"/>
              <w:rPr>
                <w:sz w:val="14"/>
                <w:szCs w:val="14"/>
                <w:color w:val="auto"/>
              </w:rPr>
            </w:pPr>
          </w:p>
        </w:tc>
        <w:tc>
          <w:tcPr>
            <w:tcW w:w="1680" w:type="dxa"/>
            <w:vAlign w:val="bottom"/>
          </w:tcPr>
          <w:p>
            <w:pPr>
              <w:jc w:val="center"/>
              <w:ind w:right="15"/>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640" w:type="dxa"/>
            <w:vAlign w:val="bottom"/>
          </w:tcPr>
          <w:p>
            <w:pPr>
              <w:jc w:val="center"/>
              <w:ind w:right="63"/>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59"/>
              <w:spacing w:after="0"/>
              <w:rPr>
                <w:sz w:val="20"/>
                <w:szCs w:val="20"/>
                <w:color w:val="auto"/>
              </w:rPr>
            </w:pPr>
            <w:r>
              <w:rPr>
                <w:rFonts w:ascii="Arial" w:cs="Arial" w:eastAsia="Arial" w:hAnsi="Arial"/>
                <w:sz w:val="14"/>
                <w:szCs w:val="14"/>
                <w:b w:val="1"/>
                <w:bCs w:val="1"/>
                <w:color w:val="auto"/>
              </w:rPr>
              <w:t>VALUE</w:t>
            </w:r>
          </w:p>
        </w:tc>
      </w:tr>
      <w:tr>
        <w:trPr>
          <w:trHeight w:val="171"/>
        </w:trPr>
        <w:tc>
          <w:tcPr>
            <w:tcW w:w="4240" w:type="dxa"/>
            <w:vAlign w:val="bottom"/>
          </w:tcPr>
          <w:p>
            <w:pPr>
              <w:spacing w:after="0"/>
              <w:rPr>
                <w:sz w:val="14"/>
                <w:szCs w:val="14"/>
                <w:color w:val="auto"/>
              </w:rPr>
            </w:pPr>
          </w:p>
        </w:tc>
        <w:tc>
          <w:tcPr>
            <w:tcW w:w="1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4"/>
                <w:szCs w:val="14"/>
                <w:color w:val="auto"/>
              </w:rPr>
            </w:pPr>
          </w:p>
        </w:tc>
        <w:tc>
          <w:tcPr>
            <w:tcW w:w="16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TERM (IN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December 31, 2024</w:t>
            </w:r>
          </w:p>
        </w:tc>
        <w:tc>
          <w:tcPr>
            <w:tcW w:w="16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4,486,181</w:t>
            </w:r>
          </w:p>
        </w:tc>
        <w:tc>
          <w:tcPr>
            <w:tcW w:w="38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2.54</w:t>
            </w:r>
          </w:p>
        </w:tc>
        <w:tc>
          <w:tcPr>
            <w:tcW w:w="1760" w:type="dxa"/>
            <w:vAlign w:val="bottom"/>
            <w:gridSpan w:val="2"/>
            <w:shd w:val="clear" w:color="auto" w:fill="CFF0FC"/>
          </w:tcPr>
          <w:p>
            <w:pPr>
              <w:jc w:val="right"/>
              <w:ind w:right="43"/>
              <w:spacing w:after="0" w:line="196" w:lineRule="exact"/>
              <w:rPr>
                <w:sz w:val="20"/>
                <w:szCs w:val="20"/>
                <w:color w:val="auto"/>
              </w:rPr>
            </w:pPr>
            <w:r>
              <w:rPr>
                <w:rFonts w:ascii="Arial" w:cs="Arial" w:eastAsia="Arial" w:hAnsi="Arial"/>
                <w:sz w:val="18"/>
                <w:szCs w:val="18"/>
                <w:color w:val="auto"/>
              </w:rPr>
              <w:t>6.61</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27,599</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2,087,150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7.76</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(217,359)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Cancelled, forfeited or expired</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(145,748)</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6.07</w:t>
            </w:r>
          </w:p>
        </w:tc>
        <w:tc>
          <w:tcPr>
            <w:tcW w:w="1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36"/>
        </w:trPr>
        <w:tc>
          <w:tcPr>
            <w:tcW w:w="4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as of September 30, 2025</w:t>
            </w:r>
          </w:p>
        </w:tc>
        <w:tc>
          <w:tcPr>
            <w:tcW w:w="16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6,210,224</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4.22</w:t>
            </w:r>
          </w:p>
        </w:tc>
        <w:tc>
          <w:tcPr>
            <w:tcW w:w="1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43"/>
              <w:spacing w:after="0" w:line="196" w:lineRule="exact"/>
              <w:rPr>
                <w:sz w:val="20"/>
                <w:szCs w:val="20"/>
                <w:color w:val="auto"/>
              </w:rPr>
            </w:pPr>
            <w:r>
              <w:rPr>
                <w:rFonts w:ascii="Arial" w:cs="Arial" w:eastAsia="Arial" w:hAnsi="Arial"/>
                <w:sz w:val="18"/>
                <w:szCs w:val="18"/>
                <w:color w:val="auto"/>
              </w:rPr>
              <w:t>7.08</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11,395</w:t>
            </w:r>
          </w:p>
        </w:tc>
      </w:tr>
      <w:tr>
        <w:trPr>
          <w:trHeight w:val="183"/>
        </w:trPr>
        <w:tc>
          <w:tcPr>
            <w:tcW w:w="4240" w:type="dxa"/>
            <w:vAlign w:val="bottom"/>
          </w:tcPr>
          <w:p>
            <w:pPr>
              <w:spacing w:after="0" w:line="183" w:lineRule="exact"/>
              <w:rPr>
                <w:sz w:val="20"/>
                <w:szCs w:val="20"/>
                <w:color w:val="auto"/>
              </w:rPr>
            </w:pPr>
            <w:r>
              <w:rPr>
                <w:rFonts w:ascii="Arial" w:cs="Arial" w:eastAsia="Arial" w:hAnsi="Arial"/>
                <w:sz w:val="18"/>
                <w:szCs w:val="18"/>
                <w:color w:val="auto"/>
              </w:rPr>
              <w:t>Exercisable as of September 30, 2025</w:t>
            </w:r>
          </w:p>
        </w:tc>
        <w:tc>
          <w:tcPr>
            <w:tcW w:w="1680" w:type="dxa"/>
            <w:vAlign w:val="bottom"/>
          </w:tcPr>
          <w:p>
            <w:pPr>
              <w:jc w:val="right"/>
              <w:ind w:right="35"/>
              <w:spacing w:after="0" w:line="183" w:lineRule="exact"/>
              <w:rPr>
                <w:sz w:val="20"/>
                <w:szCs w:val="20"/>
                <w:color w:val="auto"/>
              </w:rPr>
            </w:pPr>
            <w:r>
              <w:rPr>
                <w:rFonts w:ascii="Arial" w:cs="Arial" w:eastAsia="Arial" w:hAnsi="Arial"/>
                <w:sz w:val="18"/>
                <w:szCs w:val="18"/>
                <w:color w:val="auto"/>
              </w:rPr>
              <w:t>3,930,242</w:t>
            </w:r>
          </w:p>
        </w:tc>
        <w:tc>
          <w:tcPr>
            <w:tcW w:w="380" w:type="dxa"/>
            <w:vAlign w:val="bottom"/>
            <w:gridSpan w:val="2"/>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7"/>
              <w:spacing w:after="0" w:line="183" w:lineRule="exact"/>
              <w:rPr>
                <w:sz w:val="20"/>
                <w:szCs w:val="20"/>
                <w:color w:val="auto"/>
              </w:rPr>
            </w:pPr>
            <w:r>
              <w:rPr>
                <w:rFonts w:ascii="Arial" w:cs="Arial" w:eastAsia="Arial" w:hAnsi="Arial"/>
                <w:sz w:val="18"/>
                <w:szCs w:val="18"/>
                <w:color w:val="auto"/>
              </w:rPr>
              <w:t>2.87</w:t>
            </w:r>
          </w:p>
        </w:tc>
        <w:tc>
          <w:tcPr>
            <w:tcW w:w="1760" w:type="dxa"/>
            <w:vAlign w:val="bottom"/>
            <w:gridSpan w:val="2"/>
          </w:tcPr>
          <w:p>
            <w:pPr>
              <w:jc w:val="right"/>
              <w:ind w:right="43"/>
              <w:spacing w:after="0" w:line="183" w:lineRule="exact"/>
              <w:rPr>
                <w:sz w:val="20"/>
                <w:szCs w:val="20"/>
                <w:color w:val="auto"/>
              </w:rPr>
            </w:pPr>
            <w:r>
              <w:rPr>
                <w:rFonts w:ascii="Arial" w:cs="Arial" w:eastAsia="Arial" w:hAnsi="Arial"/>
                <w:sz w:val="18"/>
                <w:szCs w:val="18"/>
                <w:color w:val="auto"/>
              </w:rPr>
              <w:t>5.95</w:t>
            </w: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8"/>
                <w:szCs w:val="18"/>
                <w:color w:val="auto"/>
              </w:rPr>
              <w:t>10,023</w:t>
            </w:r>
          </w:p>
        </w:tc>
      </w:tr>
      <w:tr>
        <w:trPr>
          <w:trHeight w:val="20"/>
        </w:trPr>
        <w:tc>
          <w:tcPr>
            <w:tcW w:w="4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2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Unvested as of September 30, 2025</w:t>
            </w:r>
          </w:p>
        </w:tc>
        <w:tc>
          <w:tcPr>
            <w:tcW w:w="1680" w:type="dxa"/>
            <w:vAlign w:val="bottom"/>
            <w:tcBorders>
              <w:bottom w:val="single" w:sz="8" w:color="auto"/>
            </w:tcBorders>
            <w:shd w:val="clear" w:color="auto" w:fill="CFF0FC"/>
          </w:tcPr>
          <w:p>
            <w:pPr>
              <w:jc w:val="right"/>
              <w:ind w:right="35"/>
              <w:spacing w:after="0" w:line="183" w:lineRule="exact"/>
              <w:rPr>
                <w:sz w:val="20"/>
                <w:szCs w:val="20"/>
                <w:color w:val="auto"/>
              </w:rPr>
            </w:pPr>
            <w:r>
              <w:rPr>
                <w:rFonts w:ascii="Arial" w:cs="Arial" w:eastAsia="Arial" w:hAnsi="Arial"/>
                <w:sz w:val="18"/>
                <w:szCs w:val="18"/>
                <w:color w:val="auto"/>
              </w:rPr>
              <w:t>2,279,982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7"/>
              <w:spacing w:after="0" w:line="183" w:lineRule="exact"/>
              <w:rPr>
                <w:sz w:val="20"/>
                <w:szCs w:val="20"/>
                <w:color w:val="auto"/>
              </w:rPr>
            </w:pPr>
            <w:r>
              <w:rPr>
                <w:rFonts w:ascii="Arial" w:cs="Arial" w:eastAsia="Arial" w:hAnsi="Arial"/>
                <w:sz w:val="18"/>
                <w:szCs w:val="18"/>
                <w:color w:val="auto"/>
              </w:rPr>
              <w:t>6.54</w:t>
            </w:r>
          </w:p>
        </w:tc>
        <w:tc>
          <w:tcPr>
            <w:tcW w:w="1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43"/>
              <w:spacing w:after="0" w:line="183" w:lineRule="exact"/>
              <w:rPr>
                <w:sz w:val="20"/>
                <w:szCs w:val="20"/>
                <w:color w:val="auto"/>
              </w:rPr>
            </w:pPr>
            <w:r>
              <w:rPr>
                <w:rFonts w:ascii="Arial" w:cs="Arial" w:eastAsia="Arial" w:hAnsi="Arial"/>
                <w:sz w:val="18"/>
                <w:szCs w:val="18"/>
                <w:color w:val="auto"/>
              </w:rPr>
              <w:t>9.03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8"/>
                <w:szCs w:val="18"/>
                <w:color w:val="auto"/>
              </w:rPr>
              <w:t>1,372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-334010</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-316230</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-334010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-316230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-334010</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-316230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condensed consolidated financial statements at September 30, 2025.</w:t>
      </w:r>
    </w:p>
    <w:p>
      <w:pPr>
        <w:spacing w:after="0" w:line="72"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range of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400" w:type="dxa"/>
            <w:vAlign w:val="bottom"/>
            <w:gridSpan w:val="3"/>
          </w:tcPr>
          <w:p>
            <w:pPr>
              <w:jc w:val="center"/>
              <w:ind w:left="1518"/>
              <w:spacing w:after="0"/>
              <w:rPr>
                <w:sz w:val="20"/>
                <w:szCs w:val="20"/>
                <w:color w:val="auto"/>
              </w:rPr>
            </w:pPr>
            <w:r>
              <w:rPr>
                <w:rFonts w:ascii="Arial" w:cs="Arial" w:eastAsia="Arial" w:hAnsi="Arial"/>
                <w:sz w:val="14"/>
                <w:szCs w:val="14"/>
                <w:b w:val="1"/>
                <w:bCs w:val="1"/>
                <w:color w:val="auto"/>
              </w:rPr>
              <w:t>NINE MONTHS ENDED</w:t>
            </w:r>
          </w:p>
        </w:tc>
        <w:tc>
          <w:tcPr>
            <w:tcW w:w="178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3400" w:type="dxa"/>
            <w:vAlign w:val="bottom"/>
            <w:tcBorders>
              <w:bottom w:val="single" w:sz="8" w:color="auto"/>
            </w:tcBorders>
            <w:gridSpan w:val="3"/>
          </w:tcPr>
          <w:p>
            <w:pPr>
              <w:jc w:val="center"/>
              <w:ind w:left="1518"/>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tcBorders>
              <w:bottom w:val="single" w:sz="8" w:color="auto"/>
            </w:tcBorders>
          </w:tcPr>
          <w:p>
            <w:pPr>
              <w:spacing w:after="0"/>
              <w:rPr>
                <w:sz w:val="14"/>
                <w:szCs w:val="14"/>
                <w:color w:val="auto"/>
              </w:rPr>
            </w:pPr>
          </w:p>
        </w:tc>
      </w:tr>
      <w:tr>
        <w:trPr>
          <w:trHeight w:val="155"/>
        </w:trPr>
        <w:tc>
          <w:tcPr>
            <w:tcW w:w="6060" w:type="dxa"/>
            <w:vAlign w:val="bottom"/>
          </w:tcPr>
          <w:p>
            <w:pPr>
              <w:spacing w:after="0"/>
              <w:rPr>
                <w:sz w:val="13"/>
                <w:szCs w:val="13"/>
                <w:color w:val="auto"/>
              </w:rPr>
            </w:pPr>
          </w:p>
        </w:tc>
        <w:tc>
          <w:tcPr>
            <w:tcW w:w="2520" w:type="dxa"/>
            <w:vAlign w:val="bottom"/>
            <w:tcBorders>
              <w:bottom w:val="single" w:sz="8" w:color="auto"/>
            </w:tcBorders>
          </w:tcPr>
          <w:p>
            <w:pPr>
              <w:jc w:val="right"/>
              <w:ind w:right="109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109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option life (years)</w:t>
            </w:r>
          </w:p>
        </w:tc>
        <w:tc>
          <w:tcPr>
            <w:tcW w:w="2520" w:type="dxa"/>
            <w:vAlign w:val="bottom"/>
            <w:shd w:val="clear" w:color="auto" w:fill="CFF0FC"/>
          </w:tcPr>
          <w:p>
            <w:pPr>
              <w:jc w:val="right"/>
              <w:ind w:right="98"/>
              <w:spacing w:after="0" w:line="196" w:lineRule="exact"/>
              <w:rPr>
                <w:sz w:val="20"/>
                <w:szCs w:val="20"/>
                <w:color w:val="auto"/>
              </w:rPr>
            </w:pPr>
            <w:r>
              <w:rPr>
                <w:rFonts w:ascii="Arial" w:cs="Arial" w:eastAsia="Arial" w:hAnsi="Arial"/>
                <w:sz w:val="18"/>
                <w:szCs w:val="18"/>
                <w:color w:val="auto"/>
              </w:rPr>
              <w:t>5.50 - 6.08</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94"/>
              <w:spacing w:after="0" w:line="196" w:lineRule="exact"/>
              <w:rPr>
                <w:sz w:val="20"/>
                <w:szCs w:val="20"/>
                <w:color w:val="auto"/>
              </w:rPr>
            </w:pPr>
            <w:r>
              <w:rPr>
                <w:rFonts w:ascii="Arial" w:cs="Arial" w:eastAsia="Arial" w:hAnsi="Arial"/>
                <w:sz w:val="18"/>
                <w:szCs w:val="18"/>
                <w:color w:val="auto"/>
              </w:rPr>
              <w:t>5.50 - 6.08</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5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3.80% - 4.52%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3.98% - 4.32%</w:t>
            </w:r>
          </w:p>
        </w:tc>
      </w:tr>
      <w:tr>
        <w:trPr>
          <w:trHeight w:val="203"/>
        </w:trPr>
        <w:tc>
          <w:tcPr>
            <w:tcW w:w="6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252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118.46% - 121.09%</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99.30% - 114.68%</w:t>
            </w:r>
          </w:p>
        </w:tc>
      </w:t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5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3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total intrinsic value of stock options exercised during the nine months ended September 30, 2025 and 2024 was $0.6 million and $3.7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8"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60" w:type="dxa"/>
            <w:vAlign w:val="bottom"/>
          </w:tcPr>
          <w:p>
            <w:pPr>
              <w:spacing w:after="0"/>
              <w:rPr>
                <w:sz w:val="14"/>
                <w:szCs w:val="1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6660" w:type="dxa"/>
            <w:vAlign w:val="bottom"/>
          </w:tcPr>
          <w:p>
            <w:pPr>
              <w:spacing w:after="0"/>
              <w:rPr>
                <w:sz w:val="14"/>
                <w:szCs w:val="14"/>
                <w:color w:val="auto"/>
              </w:rPr>
            </w:pPr>
          </w:p>
        </w:tc>
        <w:tc>
          <w:tcPr>
            <w:tcW w:w="22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SHARES OPTIONS</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4"/>
                <w:szCs w:val="14"/>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Unvested at December 31, 2024</w:t>
            </w:r>
          </w:p>
        </w:tc>
        <w:tc>
          <w:tcPr>
            <w:tcW w:w="2720" w:type="dxa"/>
            <w:vAlign w:val="bottom"/>
            <w:gridSpan w:val="2"/>
            <w:shd w:val="clear" w:color="auto" w:fill="CFF0FC"/>
          </w:tcPr>
          <w:p>
            <w:pPr>
              <w:jc w:val="right"/>
              <w:ind w:right="440"/>
              <w:spacing w:after="0" w:line="183" w:lineRule="exact"/>
              <w:rPr>
                <w:sz w:val="20"/>
                <w:szCs w:val="20"/>
                <w:color w:val="auto"/>
              </w:rPr>
            </w:pPr>
            <w:r>
              <w:rPr>
                <w:rFonts w:ascii="Arial" w:cs="Arial" w:eastAsia="Arial" w:hAnsi="Arial"/>
                <w:sz w:val="17"/>
                <w:szCs w:val="17"/>
                <w:color w:val="auto"/>
              </w:rPr>
              <w:t>330,779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0.98</w:t>
            </w: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27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202"/>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27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(330,779)</w:t>
            </w:r>
          </w:p>
        </w:tc>
        <w:tc>
          <w:tcPr>
            <w:tcW w:w="1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0.98</w:t>
            </w: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7"/>
                <w:szCs w:val="17"/>
                <w:color w:val="auto"/>
              </w:rPr>
              <w:t>Forfeited</w:t>
            </w:r>
          </w:p>
        </w:tc>
        <w:tc>
          <w:tcPr>
            <w:tcW w:w="2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22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Unvested at September 30, 2025</w:t>
            </w:r>
          </w:p>
        </w:tc>
        <w:tc>
          <w:tcPr>
            <w:tcW w:w="2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aggregate fair value of restricted stock units that vested during the nine months ended September 30, 2025 and 2024 was $1.7 million and $7.2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0" w:name="page21"/>
    <w:bookmarkEnd w:id="20"/>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8"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Stock-based compensation expense for the three and nine months ended September 30, 2025 and 2024 was classified in the condensed consolidated statements of operations and comprehensive loss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4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538</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646</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836</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2,468</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line="202" w:lineRule="exact"/>
              <w:rPr>
                <w:sz w:val="20"/>
                <w:szCs w:val="20"/>
                <w:color w:val="auto"/>
              </w:rPr>
            </w:pPr>
            <w:r>
              <w:rPr>
                <w:rFonts w:ascii="Arial" w:cs="Arial" w:eastAsia="Arial" w:hAnsi="Arial"/>
                <w:sz w:val="18"/>
                <w:szCs w:val="18"/>
                <w:color w:val="auto"/>
              </w:rPr>
              <w:t>625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538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line="202" w:lineRule="exact"/>
              <w:rPr>
                <w:sz w:val="20"/>
                <w:szCs w:val="20"/>
                <w:color w:val="auto"/>
              </w:rPr>
            </w:pPr>
            <w:r>
              <w:rPr>
                <w:rFonts w:ascii="Arial" w:cs="Arial" w:eastAsia="Arial" w:hAnsi="Arial"/>
                <w:sz w:val="18"/>
                <w:szCs w:val="18"/>
                <w:color w:val="auto"/>
              </w:rPr>
              <w:t>1,691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1,600</w:t>
            </w:r>
          </w:p>
        </w:tc>
      </w:tr>
      <w:tr>
        <w:trPr>
          <w:trHeight w:val="21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1,163</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1,184</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2,527</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4,068</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47"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As of September 30, 2025, total unrecognized compensation cost related to the unvested stock-based awards was $12.3 million, which is expected to be recognized over a weighted average period of 3.00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Exclusive Licensing Agreement with a Related Party</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the $1.0 million upfront license fee as research and development service revenue as of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Technology License Agreement</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each of the nine months ended September 30, 2025 and 2024, the Company did not expense any startup and patient fees for clinical trials performed by MGB.</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identified the guarantees described below as disclosable,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6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69" w:lineRule="exact"/>
        <w:rPr>
          <w:sz w:val="20"/>
          <w:szCs w:val="20"/>
          <w:color w:val="auto"/>
        </w:rPr>
      </w:pPr>
    </w:p>
    <w:p>
      <w:pPr>
        <w:ind w:right="48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2029.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67" w:lineRule="exact"/>
        <w:rPr>
          <w:sz w:val="20"/>
          <w:szCs w:val="20"/>
          <w:color w:val="auto"/>
        </w:rPr>
      </w:pPr>
    </w:p>
    <w:p>
      <w:pPr>
        <w:jc w:val="both"/>
        <w:ind w:right="220"/>
        <w:spacing w:after="0" w:line="249" w:lineRule="auto"/>
        <w:rPr>
          <w:sz w:val="20"/>
          <w:szCs w:val="20"/>
          <w:color w:val="auto"/>
        </w:rPr>
      </w:pPr>
      <w:r>
        <w:rPr>
          <w:rFonts w:ascii="Arial" w:cs="Arial" w:eastAsia="Arial" w:hAnsi="Arial"/>
          <w:sz w:val="17"/>
          <w:szCs w:val="17"/>
          <w:color w:val="auto"/>
        </w:rPr>
        <w:t>As of September 30, 2025,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3" w:lineRule="exact"/>
        <w:rPr>
          <w:sz w:val="20"/>
          <w:szCs w:val="20"/>
          <w:color w:val="auto"/>
        </w:rPr>
      </w:pPr>
    </w:p>
    <w:p>
      <w:pPr>
        <w:ind w:right="9280" w:firstLine="8"/>
        <w:spacing w:after="0" w:line="358"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b w:val="1"/>
          <w:bCs w:val="1"/>
          <w:i w:val="1"/>
          <w:iCs w:val="1"/>
          <w:color w:val="auto"/>
        </w:rPr>
        <w:t>Net Loss Per Share</w:t>
      </w:r>
    </w:p>
    <w:p>
      <w:pPr>
        <w:ind w:right="480"/>
        <w:spacing w:after="0" w:line="267" w:lineRule="auto"/>
        <w:rPr>
          <w:sz w:val="20"/>
          <w:szCs w:val="20"/>
          <w:color w:val="auto"/>
        </w:rPr>
      </w:pPr>
      <w:r>
        <w:rPr>
          <w:rFonts w:ascii="Arial" w:cs="Arial" w:eastAsia="Arial" w:hAnsi="Arial"/>
          <w:sz w:val="17"/>
          <w:szCs w:val="17"/>
          <w:color w:val="auto"/>
        </w:rPr>
        <w:t>Basic and diluted net loss per share attributable to common stockholders was computed by dividing net loss by the weighted-average common shares outstanding for the period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8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160"/>
              <w:spacing w:after="0" w:line="183" w:lineRule="exact"/>
              <w:rPr>
                <w:sz w:val="20"/>
                <w:szCs w:val="20"/>
                <w:color w:val="auto"/>
              </w:rPr>
            </w:pPr>
            <w:r>
              <w:rPr>
                <w:rFonts w:ascii="Arial" w:cs="Arial" w:eastAsia="Arial" w:hAnsi="Arial"/>
                <w:sz w:val="17"/>
                <w:szCs w:val="17"/>
                <w:color w:val="auto"/>
              </w:rPr>
              <w:t>Net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(11,269)</w:t>
            </w:r>
          </w:p>
        </w:tc>
        <w:tc>
          <w:tcPr>
            <w:tcW w:w="3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(10,646)</w:t>
            </w: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(8,686)</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(41,104)</w:t>
            </w:r>
          </w:p>
        </w:tc>
        <w:tc>
          <w:tcPr>
            <w:tcW w:w="0" w:type="dxa"/>
            <w:vAlign w:val="bottom"/>
          </w:tcPr>
          <w:p>
            <w:pPr>
              <w:spacing w:after="0"/>
              <w:rPr>
                <w:sz w:val="1"/>
                <w:szCs w:val="1"/>
                <w:color w:val="auto"/>
              </w:rPr>
            </w:pPr>
          </w:p>
        </w:tc>
      </w:tr>
      <w:tr>
        <w:trPr>
          <w:trHeight w:val="170"/>
        </w:trPr>
        <w:tc>
          <w:tcPr>
            <w:tcW w:w="5860" w:type="dxa"/>
            <w:vAlign w:val="bottom"/>
            <w:tcBorders>
              <w:top w:val="single" w:sz="8" w:color="CFF0FC"/>
            </w:tcBorders>
          </w:tcPr>
          <w:p>
            <w:pPr>
              <w:spacing w:after="0" w:line="170" w:lineRule="exact"/>
              <w:rPr>
                <w:sz w:val="20"/>
                <w:szCs w:val="20"/>
                <w:color w:val="auto"/>
              </w:rPr>
            </w:pPr>
            <w:r>
              <w:rPr>
                <w:rFonts w:ascii="Arial" w:cs="Arial" w:eastAsia="Arial" w:hAnsi="Arial"/>
                <w:sz w:val="17"/>
                <w:szCs w:val="17"/>
                <w:b w:val="1"/>
                <w:bCs w:val="1"/>
                <w:color w:val="auto"/>
              </w:rPr>
              <w:t>Denominator:</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60" w:type="dxa"/>
            <w:vAlign w:val="bottom"/>
            <w:shd w:val="clear" w:color="auto" w:fill="CFF0FC"/>
          </w:tcPr>
          <w:p>
            <w:pPr>
              <w:ind w:left="160"/>
              <w:spacing w:after="0" w:line="167" w:lineRule="exact"/>
              <w:rPr>
                <w:sz w:val="20"/>
                <w:szCs w:val="20"/>
                <w:color w:val="auto"/>
              </w:rPr>
            </w:pPr>
            <w:r>
              <w:rPr>
                <w:rFonts w:ascii="Arial" w:cs="Arial" w:eastAsia="Arial" w:hAnsi="Arial"/>
                <w:sz w:val="17"/>
                <w:szCs w:val="17"/>
                <w:color w:val="auto"/>
              </w:rPr>
              <w:t>Weighted-average shares of common stock</w:t>
            </w:r>
          </w:p>
        </w:tc>
        <w:tc>
          <w:tcPr>
            <w:tcW w:w="18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ind w:right="61"/>
              <w:spacing w:after="0"/>
              <w:rPr>
                <w:sz w:val="20"/>
                <w:szCs w:val="20"/>
                <w:color w:val="auto"/>
              </w:rPr>
            </w:pPr>
            <w:r>
              <w:rPr>
                <w:rFonts w:ascii="Arial" w:cs="Arial" w:eastAsia="Arial" w:hAnsi="Arial"/>
                <w:sz w:val="17"/>
                <w:szCs w:val="17"/>
                <w:color w:val="auto"/>
              </w:rPr>
              <w:t>54,894,347</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32,013,569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41"/>
              <w:spacing w:after="0"/>
              <w:rPr>
                <w:sz w:val="20"/>
                <w:szCs w:val="20"/>
                <w:color w:val="auto"/>
              </w:rPr>
            </w:pPr>
            <w:r>
              <w:rPr>
                <w:rFonts w:ascii="Arial" w:cs="Arial" w:eastAsia="Arial" w:hAnsi="Arial"/>
                <w:sz w:val="17"/>
                <w:szCs w:val="17"/>
                <w:color w:val="auto"/>
              </w:rPr>
              <w:t>52,305,013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30,369,129</w:t>
            </w:r>
          </w:p>
        </w:tc>
        <w:tc>
          <w:tcPr>
            <w:tcW w:w="0" w:type="dxa"/>
            <w:vAlign w:val="bottom"/>
          </w:tcPr>
          <w:p>
            <w:pPr>
              <w:spacing w:after="0"/>
              <w:rPr>
                <w:sz w:val="1"/>
                <w:szCs w:val="1"/>
                <w:color w:val="auto"/>
              </w:rPr>
            </w:pPr>
          </w:p>
        </w:tc>
      </w:tr>
      <w:tr>
        <w:trPr>
          <w:trHeight w:val="211"/>
        </w:trPr>
        <w:tc>
          <w:tcPr>
            <w:tcW w:w="5860" w:type="dxa"/>
            <w:vAlign w:val="bottom"/>
            <w:tcBorders>
              <w:bottom w:val="single" w:sz="8" w:color="CFF0FC"/>
            </w:tcBorders>
            <w:shd w:val="clear" w:color="auto" w:fill="CFF0FC"/>
          </w:tcPr>
          <w:p>
            <w:pPr>
              <w:ind w:left="300"/>
              <w:spacing w:after="0" w:line="150" w:lineRule="exact"/>
              <w:rPr>
                <w:sz w:val="20"/>
                <w:szCs w:val="20"/>
                <w:color w:val="auto"/>
              </w:rPr>
            </w:pPr>
            <w:r>
              <w:rPr>
                <w:rFonts w:ascii="Arial" w:cs="Arial" w:eastAsia="Arial" w:hAnsi="Arial"/>
                <w:sz w:val="17"/>
                <w:szCs w:val="17"/>
                <w:color w:val="auto"/>
              </w:rPr>
              <w:t>outstanding, basic and diluted</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160"/>
              <w:spacing w:after="0" w:line="170" w:lineRule="exact"/>
              <w:rPr>
                <w:sz w:val="20"/>
                <w:szCs w:val="20"/>
                <w:color w:val="auto"/>
              </w:rPr>
            </w:pPr>
            <w:r>
              <w:rPr>
                <w:rFonts w:ascii="Arial" w:cs="Arial" w:eastAsia="Arial" w:hAnsi="Arial"/>
                <w:sz w:val="17"/>
                <w:szCs w:val="17"/>
                <w:color w:val="auto"/>
              </w:rPr>
              <w:t>Net loss per share, basic and diluted</w:t>
            </w:r>
          </w:p>
        </w:tc>
        <w:tc>
          <w:tcPr>
            <w:tcW w:w="180" w:type="dxa"/>
            <w:vAlign w:val="bottom"/>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70" w:lineRule="exact"/>
              <w:rPr>
                <w:sz w:val="20"/>
                <w:szCs w:val="20"/>
                <w:color w:val="auto"/>
              </w:rPr>
            </w:pPr>
            <w:r>
              <w:rPr>
                <w:rFonts w:ascii="Arial" w:cs="Arial" w:eastAsia="Arial" w:hAnsi="Arial"/>
                <w:sz w:val="17"/>
                <w:szCs w:val="17"/>
                <w:color w:val="auto"/>
              </w:rPr>
              <w:t>(0.21)</w:t>
            </w:r>
          </w:p>
        </w:tc>
        <w:tc>
          <w:tcPr>
            <w:tcW w:w="320" w:type="dxa"/>
            <w:vAlign w:val="bottom"/>
            <w:gridSpan w:val="2"/>
          </w:tcPr>
          <w:p>
            <w:pPr>
              <w:jc w:val="right"/>
              <w:ind w:right="100"/>
              <w:spacing w:after="0" w:line="17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(0.33)</w:t>
            </w:r>
          </w:p>
        </w:tc>
        <w:tc>
          <w:tcPr>
            <w:tcW w:w="300" w:type="dxa"/>
            <w:vAlign w:val="bottom"/>
            <w:gridSpan w:val="2"/>
          </w:tcPr>
          <w:p>
            <w:pPr>
              <w:jc w:val="right"/>
              <w:ind w:right="100"/>
              <w:spacing w:after="0" w:line="17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(0.17)</w:t>
            </w:r>
          </w:p>
        </w:tc>
        <w:tc>
          <w:tcPr>
            <w:tcW w:w="300" w:type="dxa"/>
            <w:vAlign w:val="bottom"/>
            <w:gridSpan w:val="2"/>
          </w:tcPr>
          <w:p>
            <w:pPr>
              <w:jc w:val="right"/>
              <w:ind w:right="80"/>
              <w:spacing w:after="0" w:line="17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-530860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-513715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-530860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-513715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-530860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-513715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-153670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-153670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6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3540" w:type="dxa"/>
            <w:vAlign w:val="bottom"/>
            <w:gridSpan w:val="4"/>
          </w:tcPr>
          <w:p>
            <w:pPr>
              <w:ind w:left="900"/>
              <w:spacing w:after="0"/>
              <w:rPr>
                <w:sz w:val="20"/>
                <w:szCs w:val="20"/>
                <w:color w:val="auto"/>
              </w:rPr>
            </w:pPr>
            <w:r>
              <w:rPr>
                <w:rFonts w:ascii="Arial" w:cs="Arial" w:eastAsia="Arial" w:hAnsi="Arial"/>
                <w:sz w:val="14"/>
                <w:szCs w:val="14"/>
                <w:b w:val="1"/>
                <w:bCs w:val="1"/>
                <w:color w:val="auto"/>
              </w:rPr>
              <w:t>AS OF SEPTEMBER 30,</w:t>
            </w:r>
          </w:p>
        </w:tc>
      </w:tr>
      <w:tr>
        <w:trPr>
          <w:trHeight w:val="155"/>
        </w:trPr>
        <w:tc>
          <w:tcPr>
            <w:tcW w:w="770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right"/>
              <w:ind w:right="564"/>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Outstanding warrants for common stock</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7,507,708</w:t>
            </w:r>
          </w:p>
        </w:tc>
        <w:tc>
          <w:tcPr>
            <w:tcW w:w="18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7,507,708</w:t>
            </w:r>
          </w:p>
        </w:tc>
        <w:tc>
          <w:tcPr>
            <w:tcW w:w="12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7"/>
                <w:szCs w:val="17"/>
                <w:color w:val="auto"/>
              </w:rPr>
              <w:t>Outstanding stock options (as converted to common stock)</w:t>
            </w: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6,210,224</w:t>
            </w:r>
          </w:p>
        </w:tc>
        <w:tc>
          <w:tcPr>
            <w:tcW w:w="18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4,601,955</w:t>
            </w:r>
          </w:p>
        </w:tc>
        <w:tc>
          <w:tcPr>
            <w:tcW w:w="120" w:type="dxa"/>
            <w:vAlign w:val="bottom"/>
          </w:tcPr>
          <w:p>
            <w:pPr>
              <w:spacing w:after="0"/>
              <w:rPr>
                <w:sz w:val="16"/>
                <w:szCs w:val="16"/>
                <w:color w:val="auto"/>
              </w:rPr>
            </w:pPr>
          </w:p>
        </w:tc>
      </w:tr>
      <w:tr>
        <w:trPr>
          <w:trHeight w:val="189"/>
        </w:trPr>
        <w:tc>
          <w:tcPr>
            <w:tcW w:w="770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Unvested restricted stock</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1,233,032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7"/>
                <w:szCs w:val="17"/>
                <w:color w:val="auto"/>
              </w:rPr>
              <w:t>13,717,932</w:t>
            </w:r>
          </w:p>
        </w:tc>
        <w:tc>
          <w:tcPr>
            <w:tcW w:w="18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13,342,695</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16. Segment Reporting</w:t>
      </w:r>
    </w:p>
    <w:p>
      <w:pPr>
        <w:spacing w:after="0" w:line="10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operates in one business segment, which includes all activities related to the discovery, development, and potential commercialization of off-the-shelf viral immunotherapies that help patients fight cancer.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w:t>
      </w:r>
    </w:p>
    <w:p>
      <w:pPr>
        <w:spacing w:after="0" w:line="7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addition to the significant expense categories included within consolidated net loss presented on the Company's condensed consolidated statements of operations and comprehensive loss, see below for disaggregated amounts that comprise research and development and general and administrative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0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4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Operating expenses: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Research and development: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Clinical development</w:t>
            </w:r>
          </w:p>
        </w:tc>
        <w:tc>
          <w:tcPr>
            <w:tcW w:w="340" w:type="dxa"/>
            <w:vAlign w:val="bottom"/>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3,847</w:t>
            </w: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2,200</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8,143</w:t>
            </w: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3,947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Employee-related</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3,666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2,634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8,775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8,773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Facility and equipment costs</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674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385</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1,542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1,141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Pre-clinical research</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97</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361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298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FF0FC"/>
            </w:tcBorders>
            <w:shd w:val="clear" w:color="auto" w:fill="CFF0FC"/>
          </w:tcPr>
          <w:p>
            <w:pPr>
              <w:ind w:left="120"/>
              <w:spacing w:after="0" w:line="189" w:lineRule="exact"/>
              <w:rPr>
                <w:sz w:val="20"/>
                <w:szCs w:val="20"/>
                <w:color w:val="auto"/>
              </w:rPr>
            </w:pPr>
            <w:r>
              <w:rPr>
                <w:rFonts w:ascii="Arial" w:cs="Arial" w:eastAsia="Arial" w:hAnsi="Arial"/>
                <w:sz w:val="17"/>
                <w:szCs w:val="17"/>
                <w:color w:val="auto"/>
              </w:rPr>
              <w:t>Other research and development segment expenses</w:t>
            </w:r>
          </w:p>
        </w:tc>
        <w:tc>
          <w:tcPr>
            <w:tcW w:w="3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157</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100</w:t>
            </w:r>
          </w:p>
        </w:tc>
        <w:tc>
          <w:tcPr>
            <w:tcW w:w="2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647</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338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120"/>
              <w:spacing w:after="0" w:line="183" w:lineRule="exact"/>
              <w:rPr>
                <w:sz w:val="20"/>
                <w:szCs w:val="20"/>
                <w:color w:val="auto"/>
              </w:rPr>
            </w:pPr>
            <w:r>
              <w:rPr>
                <w:rFonts w:ascii="Arial" w:cs="Arial" w:eastAsia="Arial" w:hAnsi="Arial"/>
                <w:sz w:val="17"/>
                <w:szCs w:val="17"/>
                <w:b w:val="1"/>
                <w:bCs w:val="1"/>
                <w:color w:val="auto"/>
              </w:rPr>
              <w:t>Total research and development</w:t>
            </w:r>
          </w:p>
        </w:tc>
        <w:tc>
          <w:tcPr>
            <w:tcW w:w="3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8,461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7"/>
                <w:szCs w:val="17"/>
                <w:color w:val="auto"/>
              </w:rPr>
              <w:t>5,416</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7"/>
                <w:szCs w:val="17"/>
                <w:color w:val="auto"/>
              </w:rPr>
              <w:t>19,468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7"/>
                <w:szCs w:val="17"/>
                <w:color w:val="auto"/>
              </w:rPr>
              <w:t>14,497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b w:val="1"/>
                <w:bCs w:val="1"/>
                <w:color w:val="auto"/>
              </w:rPr>
              <w:t>General and administrative:</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Employee-related</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1,946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1,678</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5,607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5,184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Professional and consulting fees</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1,207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1,200</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4,445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4,076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Commercial readiness</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1,150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1,625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120"/>
              <w:spacing w:after="0" w:line="167" w:lineRule="exact"/>
              <w:rPr>
                <w:sz w:val="20"/>
                <w:szCs w:val="20"/>
                <w:color w:val="auto"/>
              </w:rPr>
            </w:pPr>
            <w:r>
              <w:rPr>
                <w:rFonts w:ascii="Arial" w:cs="Arial" w:eastAsia="Arial" w:hAnsi="Arial"/>
                <w:sz w:val="17"/>
                <w:szCs w:val="17"/>
                <w:color w:val="auto"/>
              </w:rPr>
              <w:t>Other general and administrative segment expenses</w:t>
            </w:r>
          </w:p>
        </w:tc>
        <w:tc>
          <w:tcPr>
            <w:tcW w:w="3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463</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1,369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1,473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(1)</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120"/>
              <w:spacing w:after="0" w:line="183" w:lineRule="exact"/>
              <w:rPr>
                <w:sz w:val="20"/>
                <w:szCs w:val="20"/>
                <w:color w:val="auto"/>
              </w:rPr>
            </w:pPr>
            <w:r>
              <w:rPr>
                <w:rFonts w:ascii="Arial" w:cs="Arial" w:eastAsia="Arial" w:hAnsi="Arial"/>
                <w:sz w:val="17"/>
                <w:szCs w:val="17"/>
                <w:b w:val="1"/>
                <w:bCs w:val="1"/>
                <w:color w:val="auto"/>
              </w:rPr>
              <w:t>Total general and administrative</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4,746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3,341</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13,046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10,733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4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7"/>
                <w:szCs w:val="17"/>
                <w:b w:val="1"/>
                <w:bCs w:val="1"/>
                <w:color w:val="auto"/>
              </w:rPr>
              <w:t>Total operating expenses</w:t>
            </w:r>
          </w:p>
        </w:tc>
        <w:tc>
          <w:tcPr>
            <w:tcW w:w="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13,207</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8,757</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32,514</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25,230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5"/>
                <w:szCs w:val="15"/>
                <w:color w:val="auto"/>
              </w:rPr>
            </w:pPr>
          </w:p>
        </w:tc>
        <w:tc>
          <w:tcPr>
            <w:tcW w:w="12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(13,207)</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(8,757)</w:t>
            </w: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(32,514)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(25,230)</w:t>
            </w: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Interest income</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953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236</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2,813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796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(161)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(487)</w:t>
            </w:r>
          </w:p>
        </w:tc>
        <w:tc>
          <w:tcPr>
            <w:tcW w:w="320" w:type="dxa"/>
            <w:vAlign w:val="bottom"/>
          </w:tcPr>
          <w:p>
            <w:pPr>
              <w:spacing w:after="0"/>
              <w:rPr>
                <w:sz w:val="16"/>
                <w:szCs w:val="16"/>
                <w:color w:val="auto"/>
              </w:rPr>
            </w:pPr>
          </w:p>
        </w:tc>
        <w:tc>
          <w:tcPr>
            <w:tcW w:w="12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(703)</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Change in fair value of warrant liability</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1,146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(1,638)</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21,718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(14,970)</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7"/>
                <w:szCs w:val="17"/>
                <w:b w:val="1"/>
                <w:bCs w:val="1"/>
                <w:color w:val="auto"/>
              </w:rPr>
              <w:t>Net loss</w:t>
            </w:r>
          </w:p>
        </w:tc>
        <w:tc>
          <w:tcPr>
            <w:tcW w:w="340" w:type="dxa"/>
            <w:vAlign w:val="bottom"/>
          </w:tcPr>
          <w:p>
            <w:pPr>
              <w:jc w:val="right"/>
              <w:ind w:right="155"/>
              <w:spacing w:after="0" w:line="183" w:lineRule="exact"/>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(11,269)</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(10,646)</w:t>
            </w:r>
          </w:p>
        </w:tc>
        <w:tc>
          <w:tcPr>
            <w:tcW w:w="320" w:type="dxa"/>
            <w:vAlign w:val="bottom"/>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(8,686)</w:t>
            </w:r>
          </w:p>
        </w:tc>
        <w:tc>
          <w:tcPr>
            <w:tcW w:w="68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(41,104)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-1739265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-1739265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-1739265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-899160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-899160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-899160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-642620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-642620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-642620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-153670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-153670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(1) Other general and administrative segment expenses primarily consist of insurance, occupancy, and information technology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102"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On October 14, 2025, the Company entered into a Loan and Security Agreement (the Trinity LSA) with the lenders party thereto (the Lenders) and Trinity Capital Inc., as administrative agent and collateral agent (the Agent).</w:t>
      </w:r>
    </w:p>
    <w:p>
      <w:pPr>
        <w:spacing w:after="0" w:line="5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Under the Trinity LSA, the Lenders agreed to extend debt capital to the Company, at the Company's request, in the form of a term loan, in tranches totaling an aggregate principal amount of up to $130.0 million as follows: (a) at closing, the aggregate principal amount of $50.0 million (the First Tranche), (b) until May 30, 2027, subject to the achievement of certain regulatory, clinical and operational milestones by March 31, 2027, the aggregate principal amount of $20.0 million (the Second Tranche), (c) following funding of the Second Tranche, until February 28, 2028, subject to the achievement of certain regulatory and operational milestones by December 31, 2027, the aggregate principal amount of $30.0 million (the Third Tranche), and (d) following funding of the Third Tranche, in Lenders’ sole discretion, the aggregate principal amount of $30.0 million (the Fourth Tranche and collectively with the First Tranche, the Second Tranche and the Third Tranche, the Tranches). The obligations of the Lenders to extend such debt capital are subject to certain conditions precedent described in the Trinity LSA. The Company is required to pay a commitment fee of</w:t>
      </w:r>
    </w:p>
    <w:p>
      <w:pPr>
        <w:spacing w:after="0" w:line="3" w:lineRule="exact"/>
        <w:rPr>
          <w:sz w:val="20"/>
          <w:szCs w:val="20"/>
          <w:color w:val="auto"/>
        </w:rPr>
      </w:pPr>
    </w:p>
    <w:p>
      <w:pPr>
        <w:jc w:val="both"/>
        <w:ind w:right="380"/>
        <w:spacing w:after="0"/>
        <w:rPr>
          <w:sz w:val="20"/>
          <w:szCs w:val="20"/>
          <w:color w:val="auto"/>
        </w:rPr>
      </w:pPr>
      <w:r>
        <w:rPr>
          <w:rFonts w:ascii="Arial" w:cs="Arial" w:eastAsia="Arial" w:hAnsi="Arial"/>
          <w:sz w:val="17"/>
          <w:szCs w:val="17"/>
          <w:color w:val="auto"/>
        </w:rPr>
        <w:t>1.0% of the amount drawn, plus related documentation and funding fees, in connection with each drawdown. On October 14, 2025, (the Closing Date), the Company drew down the First Tranche. The Company’s obligations under the facility are secured by a first priority security interest in substantially all assets of the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line="244" w:lineRule="auto"/>
        <w:rPr>
          <w:sz w:val="20"/>
          <w:szCs w:val="20"/>
          <w:color w:val="auto"/>
        </w:rPr>
      </w:pPr>
      <w:r>
        <w:rPr>
          <w:rFonts w:ascii="Arial" w:cs="Arial" w:eastAsia="Arial" w:hAnsi="Arial"/>
          <w:sz w:val="17"/>
          <w:szCs w:val="17"/>
          <w:color w:val="auto"/>
        </w:rPr>
        <w:t>All Tranches will mature on October 1, 2030 (the Maturity Date), unless earlier accelerated under the terms of the Trinity LSA. At maturity, the Company is required to repay the then-outstanding principal amount, together with any accrued and unpaid interest thereon. In addition, at maturity or early termination of the Trinity LSA, the Company is required to pay the Lenders an additional 4.25% of the amounts drawn down by the Company under the Trinity LSA.</w:t>
      </w:r>
    </w:p>
    <w:p>
      <w:pPr>
        <w:spacing w:after="0" w:line="6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Interest accrues on the Tranches that the Company has drawn down at a floating rate per annum, calculated based on a 360-day year, equal to the greater of (a) the sum of (i) The Wall Street Journal Prime Rate and (ii) 3.0%, and (b) 9.75%. The initial interest rate is 10.25% per annum. For the first 36 months after the Closing Date, the Company is required to make monthly payments of interest only in arrears. Upon the achievement of a certain commercial milestone by June 30, 2028, the Interest Only Period will be extended by twelve months. In the event of such extension of the Interest Only Period, the duration of the Amortization Period will decrease by the same amount. In any event, the total term of all Tranches shall not exceed 60 months.</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Company may voluntarily prepay the outstanding loan balance at any time, in whole or in part, subject to the payment of prepayment premiums and payment of the Exit Fee on the principal amount then prepaid.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if prepayment occurs on or before the Maturity Date, the premium shall equal 1.0% of the principal being repaid.</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Trinity LSA contains customary affirmative and negative covenants, including with respect to notice obligations, limitations on new indebtedness, liens, investments and transactions with affiliates of the Company, restrictions on the payment of dividends, maintenance of collateral and accounts and maintenance of insurance. The Trinity LSA also contains financial covenants requiring, if the Company’s market capitalization is less than $550 million, the Company to maintain minimum cash and cash equivalents pledged to secure the obligations under the Trinity LSA, less certain accounts payable, of at least (i) beginning from July 1, 2026 through the date, that the Company has raised at least $95 million in unrestricted net cash proceeds from one or more bona fide equity financings and/or upfront proceeds from business development after the Closing Date, 67.5% of all of the aggregate principal amount of outstanding obligations under the Trinity LSA, and (ii) beginning from the earlier of (x) October 1, 2027 and (ii) the date upon which the Company receives written notice of certain regulatory outcomes, through the date that the Company obtains certain regulatory approvals, 75% of the aggregate outstanding principal amount of the obligations under the Trinity LSA.</w:t>
      </w:r>
    </w:p>
    <w:p>
      <w:pPr>
        <w:spacing w:after="0" w:line="79" w:lineRule="exact"/>
        <w:rPr>
          <w:sz w:val="20"/>
          <w:szCs w:val="20"/>
          <w:color w:val="auto"/>
        </w:rPr>
      </w:pPr>
    </w:p>
    <w:p>
      <w:pPr>
        <w:ind w:right="1820"/>
        <w:spacing w:after="0" w:line="364" w:lineRule="auto"/>
        <w:rPr>
          <w:sz w:val="20"/>
          <w:szCs w:val="20"/>
          <w:color w:val="auto"/>
        </w:rPr>
      </w:pPr>
      <w:r>
        <w:rPr>
          <w:rFonts w:ascii="Arial" w:cs="Arial" w:eastAsia="Arial" w:hAnsi="Arial"/>
          <w:sz w:val="17"/>
          <w:szCs w:val="17"/>
          <w:color w:val="auto"/>
        </w:rPr>
        <w:t xml:space="preserve">The Company used a portion of the proceeds from the First Tranche to repay the SVB Loan Agreement on the Closing Date. </w:t>
      </w:r>
      <w:r>
        <w:rPr>
          <w:rFonts w:ascii="Arial" w:cs="Arial" w:eastAsia="Arial" w:hAnsi="Arial"/>
          <w:sz w:val="17"/>
          <w:szCs w:val="17"/>
          <w:b w:val="1"/>
          <w:bCs w:val="1"/>
          <w:i w:val="1"/>
          <w:iCs w:val="1"/>
          <w:color w:val="auto"/>
        </w:rPr>
        <w:t>Lender Warrants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connection with the drawdown of any Tranche, the Company is required to issue to the Lenders warrants (the Lender Warrants) to purchase shares of the Company’s common stock, $0.01 par value per share (the Common Stock). The exercise price for the Lender Warrants shall be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 In connection with the drawdown of the First Tranche, the Company issued a Lender Warrant to purchase up to 254,642 shares of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Amendment</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 October 14, 2025, the Company entered into an amendment to the terms of the Series B Warrants and the Conditional Series B Warrants which, among other things, extends the expiration date from November 2025 to September 2027. The Company expects the amendment to result in an increase to the recorded fair value of the warrant liability in the fourth quarter of 2025.</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2"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immunization against the injected tumor and uninjected distant metastases. Our biological multimodal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responses in our preclinical studies and clinical trials that may indicate the potential of our product candidates to induce systemic immune response against distal, uninjected tumors, also known as an “abscopal” effect.</w:t>
      </w:r>
    </w:p>
    <w:p>
      <w:pPr>
        <w:spacing w:after="0" w:line="73"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Our most advanced product candidate, CAN-2409 (aglatimagene besadenovec), is an off-the-shelf adenovirus product candidate which is administered in conjunction with the prodrug valacyclovir, that has generated promising clinical activity across a range of solid tumor indications. CAN-2409 is being studied in the following ongoing clinical trials:</w:t>
      </w:r>
    </w:p>
    <w:p>
      <w:pPr>
        <w:spacing w:after="0" w:line="6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112" w:lineRule="exact"/>
        <w:rPr>
          <w:rFonts w:ascii="Times New Roman" w:cs="Times New Roman" w:eastAsia="Times New Roman" w:hAnsi="Times New Roman"/>
          <w:sz w:val="17"/>
          <w:szCs w:val="17"/>
          <w:color w:val="auto"/>
        </w:rPr>
      </w:pPr>
    </w:p>
    <w:p>
      <w:pPr>
        <w:ind w:left="1540" w:right="20" w:hanging="509"/>
        <w:spacing w:after="0" w:line="2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pivotal phase 3 randomized, double-blind, placebo-controlled clinical trial in the United States under a Special Protocol Assessment (SPA) with the U.S. Food and Drug Administration (FDA) evaluating patients with newly diagnosed, localized prostate cancer who have an intermediate or high-risk for progression. The FDA previously granted Fast Track Designation for the use of CAN-2409 for the treatment of localized, primary prostate cancer in combination with radiation therapy to improve the local control rate.</w:t>
      </w:r>
    </w:p>
    <w:p>
      <w:pPr>
        <w:spacing w:after="0" w:line="71" w:lineRule="exact"/>
        <w:rPr>
          <w:rFonts w:ascii="Times New Roman" w:cs="Times New Roman" w:eastAsia="Times New Roman" w:hAnsi="Times New Roman"/>
          <w:sz w:val="17"/>
          <w:szCs w:val="17"/>
          <w:color w:val="auto"/>
        </w:rPr>
      </w:pPr>
    </w:p>
    <w:p>
      <w:pPr>
        <w:ind w:left="1540" w:right="60"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The primary goal of curative treatment for localized prostate cancer is complete tumor eradication, as outlined by National Comprehensive Cancer Network (NCCN) guidelines. However, up to 30% of intermediate-to-high-risk patients experience recurrence despite radical therapy, and salvage treatments often carry significant side effects and limited efficacy. Recurrence beyond two years post-treatment is strongly linked to need for salvage anti-cancer therapies, higher rates of metastasis, and prostate cancer-specific mortality after prolonged follow up (&gt;10 years). Studies also show that patients prioritize the perception of being cancer-free and are often willing to risk long-term complications to achieve this. Fear of recurrence remains prevalent, especially after biochemical failure (Hoffman RM et al. Cancer 2003;97:1653-62 ; Jayadevappa R et al. J Clin Oncol 2019;37:964-73 ; Nilsson R et al. Eur Urol Open Sci 2021;25:44-51). Therefore, this study aimed to assess whether adding CAN-2409 plus valacyclovir to standard of care (SoC) radiotherapy could improve disease-free survival (DFS) in patients pursuing curative treatment—a primary endpoint established in the SPA with the FDA. We completed enrollment of this trial in September 2021.</w:t>
      </w:r>
    </w:p>
    <w:p>
      <w:pPr>
        <w:spacing w:after="0" w:line="72" w:lineRule="exact"/>
        <w:rPr>
          <w:rFonts w:ascii="Times New Roman" w:cs="Times New Roman" w:eastAsia="Times New Roman" w:hAnsi="Times New Roman"/>
          <w:sz w:val="17"/>
          <w:szCs w:val="17"/>
          <w:color w:val="auto"/>
        </w:rPr>
      </w:pPr>
    </w:p>
    <w:p>
      <w:pPr>
        <w:ind w:left="2040" w:hanging="505"/>
        <w:spacing w:after="0" w:line="239" w:lineRule="auto"/>
        <w:tabs>
          <w:tab w:leader="none" w:pos="204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announced positive topline data from our phase 3 clinical trial. This randomized, double-blind, placebo-controlled, multicenter clinical trial enrolled 745 patients (intent to treat population (ITT)) to evaluate the effectiveness and safety of CAN-2409 plus prodrug (valacyclovir) viral immunotherapy in combination with SoC external beam radiation therapy to improve DFS in patients with intermediate-to-high-risk, localized prostate cancer. Patients were randomized 2:1 (496 in CAN-2409+prodrug and 249 in placebo +prodrug). Both arms received standard of care external beam radiation therapy (EBRT) +/- short course androgen deprivation therapy (ADT) (≤6 months) and were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5" w:name="page26"/>
    <w:bookmarkEnd w:id="25"/>
    <w:p>
      <w:pPr>
        <w:ind w:left="1014" w:right="20"/>
        <w:spacing w:after="0" w:line="234" w:lineRule="auto"/>
        <w:rPr>
          <w:sz w:val="20"/>
          <w:szCs w:val="20"/>
          <w:color w:val="auto"/>
        </w:rPr>
      </w:pPr>
      <w:r>
        <w:rPr>
          <w:rFonts w:ascii="Arial" w:cs="Arial" w:eastAsia="Arial" w:hAnsi="Arial"/>
          <w:sz w:val="17"/>
          <w:szCs w:val="17"/>
          <w:color w:val="auto"/>
        </w:rPr>
        <w:t xml:space="preserve">stratified by NCCN risk group and ADT use. Three intraprostatic injections of CAN-2409 (5x10 </w:t>
      </w:r>
      <w:r>
        <w:rPr>
          <w:rFonts w:ascii="Arial" w:cs="Arial" w:eastAsia="Arial" w:hAnsi="Arial"/>
          <w:sz w:val="22"/>
          <w:szCs w:val="22"/>
          <w:color w:val="auto"/>
          <w:vertAlign w:val="superscript"/>
        </w:rPr>
        <w:t>11</w:t>
      </w:r>
      <w:r>
        <w:rPr>
          <w:rFonts w:ascii="Arial" w:cs="Arial" w:eastAsia="Arial" w:hAnsi="Arial"/>
          <w:sz w:val="17"/>
          <w:szCs w:val="17"/>
          <w:color w:val="auto"/>
        </w:rPr>
        <w:t>vp/2mL) or placebo were administered, each followed by 14 days of prodrug.</w:t>
      </w:r>
    </w:p>
    <w:p>
      <w:pPr>
        <w:spacing w:after="0" w:line="73" w:lineRule="exact"/>
        <w:rPr>
          <w:sz w:val="20"/>
          <w:szCs w:val="20"/>
          <w:color w:val="auto"/>
        </w:rPr>
      </w:pPr>
    </w:p>
    <w:p>
      <w:pPr>
        <w:ind w:left="1014" w:right="160" w:hanging="505"/>
        <w:spacing w:after="0" w:line="249" w:lineRule="auto"/>
        <w:tabs>
          <w:tab w:leader="none" w:pos="101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median follow-up time for the recruited population was 50.3 months. The primary outcome measure, DFS, included the evaluation of post-treatment biopsies, performed at two years from the end of radiation, for the presence of tumor recurrence. Local or systemic recurrence and death from any cause were also part of the primary endpoint.</w:t>
      </w:r>
    </w:p>
    <w:p>
      <w:pPr>
        <w:spacing w:after="0" w:line="65" w:lineRule="exact"/>
        <w:rPr>
          <w:rFonts w:ascii="Times New Roman" w:cs="Times New Roman" w:eastAsia="Times New Roman" w:hAnsi="Times New Roman"/>
          <w:sz w:val="17"/>
          <w:szCs w:val="17"/>
          <w:color w:val="auto"/>
        </w:rPr>
      </w:pPr>
    </w:p>
    <w:p>
      <w:pPr>
        <w:ind w:left="1014" w:hanging="505"/>
        <w:spacing w:after="0"/>
        <w:tabs>
          <w:tab w:leader="none" w:pos="101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study met its primary endpoint, demonstrating a statistically significant improvement in DFS in patients in the CAN-</w:t>
      </w:r>
    </w:p>
    <w:p>
      <w:pPr>
        <w:spacing w:after="0" w:line="8" w:lineRule="exact"/>
        <w:rPr>
          <w:rFonts w:ascii="Times New Roman" w:cs="Times New Roman" w:eastAsia="Times New Roman" w:hAnsi="Times New Roman"/>
          <w:sz w:val="17"/>
          <w:szCs w:val="17"/>
          <w:color w:val="auto"/>
        </w:rPr>
      </w:pPr>
    </w:p>
    <w:p>
      <w:pPr>
        <w:ind w:left="1014"/>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2409 arm compared to the placebo arm. Key topline results include:</w:t>
      </w:r>
    </w:p>
    <w:p>
      <w:pPr>
        <w:spacing w:after="0" w:line="85" w:lineRule="exact"/>
        <w:rPr>
          <w:rFonts w:ascii="Times New Roman" w:cs="Times New Roman" w:eastAsia="Times New Roman" w:hAnsi="Times New Roman"/>
          <w:sz w:val="17"/>
          <w:szCs w:val="17"/>
          <w:color w:val="auto"/>
        </w:rPr>
      </w:pPr>
    </w:p>
    <w:p>
      <w:pPr>
        <w:ind w:left="1534" w:right="100" w:hanging="516"/>
        <w:spacing w:after="0" w:line="243" w:lineRule="auto"/>
        <w:tabs>
          <w:tab w:leader="none" w:pos="1534"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primary endpoint, as agreed with the FDA under a SPA, was met: statistically significant improvement in DFS for CAN-2409 plus radiation therapy (n=496) vs. placebo plus radiation therapy (n=249) (p=0.0155; HR 0.70;95% CI; 0.52 to 0.94). Median DFS was not reached for the CAN-2409 treatment arm vs. 86.1 months in the placebo arm</w:t>
      </w:r>
    </w:p>
    <w:p>
      <w:pPr>
        <w:spacing w:after="0" w:line="71" w:lineRule="exact"/>
        <w:rPr>
          <w:rFonts w:ascii="Times New Roman" w:cs="Times New Roman" w:eastAsia="Times New Roman" w:hAnsi="Times New Roman"/>
          <w:sz w:val="17"/>
          <w:szCs w:val="17"/>
          <w:color w:val="auto"/>
        </w:rPr>
      </w:pPr>
    </w:p>
    <w:p>
      <w:pPr>
        <w:ind w:left="1534" w:hanging="516"/>
        <w:spacing w:after="0"/>
        <w:tabs>
          <w:tab w:leader="none" w:pos="1534"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This result was supported by secondary and exploratory endpoints:</w:t>
      </w:r>
    </w:p>
    <w:p>
      <w:pPr>
        <w:spacing w:after="0" w:line="114" w:lineRule="exact"/>
        <w:rPr>
          <w:rFonts w:ascii="Times New Roman" w:cs="Times New Roman" w:eastAsia="Times New Roman" w:hAnsi="Times New Roman"/>
          <w:sz w:val="17"/>
          <w:szCs w:val="17"/>
          <w:color w:val="auto"/>
        </w:rPr>
      </w:pPr>
    </w:p>
    <w:p>
      <w:pPr>
        <w:ind w:left="2034" w:right="46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improvement in prostate cancer-specific DFS (exclusion of non-prostate cancer related deaths) in the CAN-2409 arm vs. placebo (p=0.0046; HR 0.62, 95% CI 0.44 to 0.87)</w:t>
      </w:r>
    </w:p>
    <w:p>
      <w:pPr>
        <w:spacing w:after="0" w:line="51" w:lineRule="exact"/>
        <w:rPr>
          <w:rFonts w:ascii="Times New Roman" w:cs="Times New Roman" w:eastAsia="Times New Roman" w:hAnsi="Times New Roman"/>
          <w:sz w:val="17"/>
          <w:szCs w:val="17"/>
          <w:color w:val="auto"/>
        </w:rPr>
      </w:pPr>
    </w:p>
    <w:p>
      <w:pPr>
        <w:ind w:left="2034" w:right="50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Exploratory subset analysis showed that prostate cancer-specific improvement in DFS was observed, independent of the use of short-term ADT</w:t>
      </w:r>
    </w:p>
    <w:p>
      <w:pPr>
        <w:spacing w:after="0" w:line="51" w:lineRule="exact"/>
        <w:rPr>
          <w:rFonts w:ascii="Times New Roman" w:cs="Times New Roman" w:eastAsia="Times New Roman" w:hAnsi="Times New Roman"/>
          <w:sz w:val="17"/>
          <w:szCs w:val="17"/>
          <w:color w:val="auto"/>
        </w:rPr>
      </w:pPr>
    </w:p>
    <w:p>
      <w:pPr>
        <w:jc w:val="right"/>
        <w:ind w:left="2034" w:right="360" w:hanging="509"/>
        <w:spacing w:after="0" w:line="2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increase in the proportion of patients achieving a prostate-specific antigen (PSA) nadir (&lt;0.2 ng/ml) was observed in the CAN-2409 arm compared to the placebo control arm (67.1% vs.</w:t>
      </w:r>
    </w:p>
    <w:p>
      <w:pPr>
        <w:spacing w:after="0" w:line="1" w:lineRule="exact"/>
        <w:rPr>
          <w:rFonts w:ascii="Times New Roman" w:cs="Times New Roman" w:eastAsia="Times New Roman" w:hAnsi="Times New Roman"/>
          <w:sz w:val="17"/>
          <w:szCs w:val="17"/>
          <w:color w:val="auto"/>
        </w:rPr>
      </w:pPr>
    </w:p>
    <w:p>
      <w:pPr>
        <w:ind w:left="2034"/>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58.6%, respectively; p=0.0164)</w:t>
      </w:r>
    </w:p>
    <w:p>
      <w:pPr>
        <w:spacing w:after="0" w:line="85" w:lineRule="exact"/>
        <w:rPr>
          <w:rFonts w:ascii="Times New Roman" w:cs="Times New Roman" w:eastAsia="Times New Roman" w:hAnsi="Times New Roman"/>
          <w:sz w:val="17"/>
          <w:szCs w:val="17"/>
          <w:color w:val="auto"/>
        </w:rPr>
      </w:pPr>
    </w:p>
    <w:p>
      <w:pPr>
        <w:ind w:left="2034" w:right="2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increase in the proportion of patients with a pathological complete response in 2-year post-treatment biopsies (80.4% in the CAN-2409 arm vs. 63.6% observed in the control arm; p=0.0015)</w:t>
      </w:r>
    </w:p>
    <w:p>
      <w:pPr>
        <w:spacing w:after="0" w:line="51" w:lineRule="exact"/>
        <w:rPr>
          <w:rFonts w:ascii="Times New Roman" w:cs="Times New Roman" w:eastAsia="Times New Roman" w:hAnsi="Times New Roman"/>
          <w:sz w:val="17"/>
          <w:szCs w:val="17"/>
          <w:color w:val="auto"/>
        </w:rPr>
      </w:pPr>
    </w:p>
    <w:p>
      <w:pPr>
        <w:ind w:left="1014" w:right="260" w:hanging="505"/>
        <w:spacing w:after="0" w:line="249" w:lineRule="auto"/>
        <w:tabs>
          <w:tab w:leader="none" w:pos="101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CAN-2409 was generally well tolerated. The most common CAN-2409-related adverse events were flu-like symptoms, fever and chills, which were generally mild to moderate in severity and self-limited. There was no increase in serious adverse events after CAN-2409 administration vs. placebo.</w:t>
      </w:r>
    </w:p>
    <w:p>
      <w:pPr>
        <w:spacing w:after="0" w:line="65" w:lineRule="exact"/>
        <w:rPr>
          <w:rFonts w:ascii="Times New Roman" w:cs="Times New Roman" w:eastAsia="Times New Roman" w:hAnsi="Times New Roman"/>
          <w:sz w:val="17"/>
          <w:szCs w:val="17"/>
          <w:color w:val="auto"/>
        </w:rPr>
      </w:pPr>
    </w:p>
    <w:p>
      <w:pPr>
        <w:ind w:left="1014" w:hanging="505"/>
        <w:spacing w:after="0" w:line="249" w:lineRule="auto"/>
        <w:tabs>
          <w:tab w:leader="none" w:pos="101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May 2025, after submission of the topline data to the FDA, we announced that the FDA granted Regenerative Medicine Advanced Therapy (RMAT) designation for CAN-2409 for the treatment of newly diagnosed, localized prostate cancer in patients with intermediate-to-high-risk disease.</w:t>
      </w:r>
    </w:p>
    <w:p>
      <w:pPr>
        <w:spacing w:after="0" w:line="65" w:lineRule="exact"/>
        <w:rPr>
          <w:rFonts w:ascii="Times New Roman" w:cs="Times New Roman" w:eastAsia="Times New Roman" w:hAnsi="Times New Roman"/>
          <w:sz w:val="17"/>
          <w:szCs w:val="17"/>
          <w:color w:val="auto"/>
        </w:rPr>
      </w:pPr>
    </w:p>
    <w:p>
      <w:pPr>
        <w:jc w:val="both"/>
        <w:ind w:left="1014" w:right="260" w:hanging="505"/>
        <w:spacing w:after="0" w:line="249" w:lineRule="auto"/>
        <w:tabs>
          <w:tab w:leader="none" w:pos="101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June 2025, the results from the positive phase 3 clinical trial of CAN-2409 in patients with intermediate-to-high-risk, localized prostate cancer were presented in an oral session at the 2025 American Society of Clinical Oncology Annual Meeting.</w:t>
      </w:r>
    </w:p>
    <w:p>
      <w:pPr>
        <w:spacing w:after="0" w:line="65" w:lineRule="exact"/>
        <w:rPr>
          <w:rFonts w:ascii="Times New Roman" w:cs="Times New Roman" w:eastAsia="Times New Roman" w:hAnsi="Times New Roman"/>
          <w:sz w:val="17"/>
          <w:szCs w:val="17"/>
          <w:color w:val="auto"/>
        </w:rPr>
      </w:pPr>
    </w:p>
    <w:p>
      <w:pPr>
        <w:ind w:left="1014" w:right="100" w:hanging="505"/>
        <w:spacing w:after="0" w:line="238" w:lineRule="auto"/>
        <w:tabs>
          <w:tab w:leader="none" w:pos="101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September 2025, we presented subgroup analysis of the phase 3 clinical trial during the 2025 Annual Meeting of the American Society for Radiation Oncology (ASTRO). The data demonstrated that the efficacy of CAN-2409 on DFS and prostate-specific DFS was independent of the type of radiotherapy used (conventional EBRT vs. moderate hypofractionated EBRT). For moderate EBRT, the hazard ratio (HR) was 0.52 (95% CI: 0.30–0.93), and for conventional EBRT, the HR was 0.76 (95% CI: 0.53–1.07). Subgroup analyses of prostate cancer-specific DFS demonstrated that CAN-2409 outperformed standard of care across all categories, with HRs ranging from 0.49 in intermediate-favorable to 0.69 in high-risk patients.</w:t>
      </w:r>
    </w:p>
    <w:p>
      <w:pPr>
        <w:spacing w:after="0" w:line="73" w:lineRule="exact"/>
        <w:rPr>
          <w:rFonts w:ascii="Times New Roman" w:cs="Times New Roman" w:eastAsia="Times New Roman" w:hAnsi="Times New Roman"/>
          <w:sz w:val="17"/>
          <w:szCs w:val="17"/>
          <w:color w:val="auto"/>
        </w:rPr>
      </w:pPr>
    </w:p>
    <w:p>
      <w:pPr>
        <w:ind w:left="1014" w:right="40" w:hanging="505"/>
        <w:spacing w:after="0" w:line="239" w:lineRule="auto"/>
        <w:tabs>
          <w:tab w:leader="none" w:pos="1014"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announce supportive data on prostate cancer-specific outcomes (prostate cancer-specific DFS, time to salvage anti-cancer therapy, and time to metastasis) after extended follow-up in the second quarter of 2026. In addition, we expect to announce immunological biomarker data from a supportive experimental medicine clinical trial of CAN-2409 in localized prostate cancer in the third quarter of 2026. We are in ongoing dialogue with the FDA in preparation for the Company’s anticipated submission of a Biologics License Application for CAN-2409 in prostate cancer in the fourth quarter of 2026.</w:t>
      </w:r>
    </w:p>
    <w:p>
      <w:pPr>
        <w:spacing w:after="0" w:line="73" w:lineRule="exact"/>
        <w:rPr>
          <w:sz w:val="20"/>
          <w:szCs w:val="20"/>
          <w:color w:val="auto"/>
        </w:rPr>
      </w:pPr>
    </w:p>
    <w:p>
      <w:pPr>
        <w:ind w:left="514" w:right="220" w:hanging="514"/>
        <w:spacing w:after="0" w:line="266" w:lineRule="auto"/>
        <w:tabs>
          <w:tab w:leader="none" w:pos="514"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double-blind, placebo-controlled clinical trial in the United States evaluating patients with low-to-intermediate risk, localized prostate cancer undergoing active surveillance. We completed enrollment of this trial in May 2019.</w:t>
      </w:r>
    </w:p>
    <w:p>
      <w:pPr>
        <w:spacing w:after="0" w:line="51" w:lineRule="exact"/>
        <w:rPr>
          <w:rFonts w:ascii="Times New Roman" w:cs="Times New Roman" w:eastAsia="Times New Roman" w:hAnsi="Times New Roman"/>
          <w:sz w:val="17"/>
          <w:szCs w:val="17"/>
          <w:color w:val="auto"/>
        </w:rPr>
      </w:pPr>
    </w:p>
    <w:p>
      <w:pPr>
        <w:ind w:left="1014" w:right="440" w:hanging="505"/>
        <w:spacing w:after="0" w:line="266" w:lineRule="auto"/>
        <w:tabs>
          <w:tab w:leader="none" w:pos="1014"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reported that this phase 2 clinical trial of CAN-2409 monotherapy in 190 patients with low-to-intermediate risk localized prostate cancer undergoing active surveillance showed a trend</w:t>
      </w:r>
    </w:p>
    <w:p>
      <w:pPr>
        <w:spacing w:after="0" w:line="393" w:lineRule="exact"/>
        <w:rPr>
          <w:sz w:val="20"/>
          <w:szCs w:val="20"/>
          <w:color w:val="auto"/>
        </w:rPr>
      </w:pPr>
    </w:p>
    <w:p>
      <w:pPr>
        <w:ind w:left="449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1346" w:top="1092" w:right="359" w:bottom="1440" w:gutter="0" w:footer="0" w:header="0"/>
        </w:sectPr>
      </w:pPr>
    </w:p>
    <w:bookmarkStart w:id="26" w:name="page27"/>
    <w:bookmarkEnd w:id="26"/>
    <w:p>
      <w:pPr>
        <w:ind w:left="1523"/>
        <w:spacing w:after="0" w:line="237" w:lineRule="auto"/>
        <w:rPr>
          <w:sz w:val="20"/>
          <w:szCs w:val="20"/>
          <w:color w:val="auto"/>
        </w:rPr>
      </w:pPr>
      <w:r>
        <w:rPr>
          <w:rFonts w:ascii="Arial" w:cs="Arial" w:eastAsia="Arial" w:hAnsi="Arial"/>
          <w:sz w:val="17"/>
          <w:szCs w:val="17"/>
          <w:color w:val="auto"/>
        </w:rPr>
        <w:t>toward improvement in time to radical treatment and the percentage of patients achieving negative (prostate cancer-free) biopsies at 1-year post-treatment. However, these differences did not reach statistical significance, which might be explained by 1) the fact that the study was not statistically powered for the primary endpoint (progression-free survival), 2) ~70% of patients had low-risk disease (which makes it more difficult to detect a treatment effect), 3) patients received only 2 administrations of CAN-2409 rather than 3 as used in the phase 3 clinical trial described above, and 4) patients did not receive radiotherapy (preclinical models of prostate cancer have shown synergy between CAN-2409 and radiotherapy in this specific indication). CAN-2409 was generally well tolerated. The most common CAN-2409-related adverse events were flu-like symptoms, fever and chills, which were generally mild to moderate in severity and self-limited.</w:t>
      </w:r>
    </w:p>
    <w:p>
      <w:pPr>
        <w:spacing w:after="0" w:line="78" w:lineRule="exact"/>
        <w:rPr>
          <w:sz w:val="20"/>
          <w:szCs w:val="20"/>
          <w:color w:val="auto"/>
        </w:rPr>
      </w:pPr>
    </w:p>
    <w:p>
      <w:pPr>
        <w:ind w:left="503" w:hanging="503"/>
        <w:spacing w:after="0"/>
        <w:tabs>
          <w:tab w:leader="none" w:pos="503"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sz w:val="20"/>
          <w:szCs w:val="20"/>
          <w:color w:val="auto"/>
        </w:rPr>
      </w:pPr>
    </w:p>
    <w:p>
      <w:pPr>
        <w:ind w:left="723" w:right="60" w:hanging="289"/>
        <w:spacing w:after="0" w:line="236" w:lineRule="auto"/>
        <w:tabs>
          <w:tab w:leader="none" w:pos="723"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2a clinical trial in the United States evaluating CAN-2409 plus valacyclovir in combination with continued PD-(L)1 checkpoint inhibitors in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unresectable stage III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second-line chemotherapy (Reckamp K et al. J Clin Onc 2022;40:2295-2306). The aim of the CAN-2409 immunotherapy antitumor strategy is to improve overall survival beyond the median of 12 months in patients treated with two CAN-2409 injections and raise the long tail of survival.</w:t>
      </w:r>
    </w:p>
    <w:p>
      <w:pPr>
        <w:spacing w:after="0" w:line="78" w:lineRule="exact"/>
        <w:rPr>
          <w:sz w:val="20"/>
          <w:szCs w:val="20"/>
          <w:color w:val="auto"/>
        </w:rPr>
      </w:pPr>
    </w:p>
    <w:p>
      <w:pPr>
        <w:ind w:left="1023" w:hanging="514"/>
        <w:spacing w:after="0"/>
        <w:tabs>
          <w:tab w:leader="none" w:pos="1023"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March 2025, we announced overall survival data from this phase 2a clinical trial of CAN-2409 in NSCLC:</w:t>
      </w:r>
    </w:p>
    <w:p>
      <w:pPr>
        <w:spacing w:after="0" w:line="114" w:lineRule="exact"/>
        <w:rPr>
          <w:rFonts w:ascii="Times New Roman" w:cs="Times New Roman" w:eastAsia="Times New Roman" w:hAnsi="Times New Roman"/>
          <w:sz w:val="17"/>
          <w:szCs w:val="17"/>
          <w:color w:val="auto"/>
        </w:rPr>
      </w:pPr>
    </w:p>
    <w:p>
      <w:pPr>
        <w:ind w:left="1523" w:right="240" w:hanging="505"/>
        <w:spacing w:after="0" w:line="266" w:lineRule="auto"/>
        <w:tabs>
          <w:tab w:leader="none" w:pos="1523"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an inadequate response to immune checkpoint inhibitor (ICI) treatment who received 2 CAN-2409 plus valacyclovir courses (Cohort 1+2, per protocol population, n=46), mOS was 24.5 months.</w:t>
      </w:r>
    </w:p>
    <w:p>
      <w:pPr>
        <w:spacing w:after="0" w:line="51" w:lineRule="exact"/>
        <w:rPr>
          <w:rFonts w:ascii="Times New Roman" w:cs="Times New Roman" w:eastAsia="Times New Roman" w:hAnsi="Times New Roman"/>
          <w:sz w:val="17"/>
          <w:szCs w:val="17"/>
          <w:color w:val="auto"/>
        </w:rPr>
      </w:pPr>
    </w:p>
    <w:p>
      <w:pPr>
        <w:ind w:left="1523" w:right="60" w:hanging="505"/>
        <w:spacing w:after="0" w:line="243" w:lineRule="auto"/>
        <w:tabs>
          <w:tab w:leader="none" w:pos="1523"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progressive disease, despite ICI treatment (Cohort 2, per protocol population, n=41), mOS was 21.5 months, which is markedly longer than the 9.8–11.8 months of survival reported in published literature in a similar patient population receiving standard of care of docetaxel second-line chemotherapy (Paz-Ares LG et al, J Clin Oncol 2024;42:2860-2872 ; Ahn MJ et al, J Clin Onc 2024;43:260-272).</w:t>
      </w:r>
    </w:p>
    <w:p>
      <w:pPr>
        <w:spacing w:after="0" w:line="71" w:lineRule="exact"/>
        <w:rPr>
          <w:rFonts w:ascii="Times New Roman" w:cs="Times New Roman" w:eastAsia="Times New Roman" w:hAnsi="Times New Roman"/>
          <w:sz w:val="17"/>
          <w:szCs w:val="17"/>
          <w:color w:val="auto"/>
        </w:rPr>
      </w:pPr>
    </w:p>
    <w:p>
      <w:pPr>
        <w:jc w:val="both"/>
        <w:ind w:left="1523" w:right="100" w:hanging="505"/>
        <w:spacing w:after="0" w:line="249" w:lineRule="auto"/>
        <w:tabs>
          <w:tab w:leader="none" w:pos="1523"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37% of patients with progressive disease at enrollment were still alive &gt; 24 months after CAN-2409 treatment at the time of the March 3, 2025 data cut, suggesting a long tail of survival. 14/15 patients with overall survival &gt; 24 months and 9/9 patients with overall survival &gt; 30 months had non-squamous NSCLC.</w:t>
      </w:r>
    </w:p>
    <w:p>
      <w:pPr>
        <w:spacing w:after="0" w:line="65" w:lineRule="exact"/>
        <w:rPr>
          <w:rFonts w:ascii="Times New Roman" w:cs="Times New Roman" w:eastAsia="Times New Roman" w:hAnsi="Times New Roman"/>
          <w:sz w:val="17"/>
          <w:szCs w:val="17"/>
          <w:color w:val="auto"/>
        </w:rPr>
      </w:pPr>
    </w:p>
    <w:p>
      <w:pPr>
        <w:ind w:left="1523" w:right="300" w:hanging="505"/>
        <w:spacing w:after="0" w:line="266" w:lineRule="auto"/>
        <w:tabs>
          <w:tab w:leader="none" w:pos="1523"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non-squamous NSCLC and progressive disease despite ICI (Cohort 2, per protocol population, n=33), observed mOS was 25.4 months after CAN-2409 treatment.</w:t>
      </w:r>
    </w:p>
    <w:p>
      <w:pPr>
        <w:spacing w:after="0" w:line="51"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CAN-2409 continued to exhibit a generally favorable safety and tolerability profile during the extended follow-up period.</w:t>
      </w:r>
    </w:p>
    <w:p>
      <w:pPr>
        <w:spacing w:after="0" w:line="114" w:lineRule="exact"/>
        <w:rPr>
          <w:rFonts w:ascii="Times New Roman" w:cs="Times New Roman" w:eastAsia="Times New Roman" w:hAnsi="Times New Roman"/>
          <w:sz w:val="17"/>
          <w:szCs w:val="17"/>
          <w:color w:val="auto"/>
        </w:rPr>
      </w:pPr>
    </w:p>
    <w:p>
      <w:pPr>
        <w:ind w:left="1023" w:right="400" w:hanging="514"/>
        <w:spacing w:after="0" w:line="266" w:lineRule="auto"/>
        <w:tabs>
          <w:tab w:leader="none" w:pos="1023"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positive findings, we plan to initiate a pivotal phase 3 clinical trial of CAN-2409 in patients with progressive, metastatic, non-squamous NSCLC despite ICI treatment in the second quarter of 2026.</w:t>
      </w:r>
    </w:p>
    <w:p>
      <w:pPr>
        <w:spacing w:after="0" w:line="51" w:lineRule="exact"/>
        <w:rPr>
          <w:rFonts w:ascii="Times New Roman" w:cs="Times New Roman" w:eastAsia="Times New Roman" w:hAnsi="Times New Roman"/>
          <w:sz w:val="17"/>
          <w:szCs w:val="17"/>
          <w:color w:val="auto"/>
        </w:rPr>
      </w:pPr>
    </w:p>
    <w:p>
      <w:pPr>
        <w:ind w:left="1023" w:hanging="514"/>
        <w:spacing w:after="0"/>
        <w:tabs>
          <w:tab w:leader="none" w:pos="1023"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announce updated data on OS and long-term survival analysis in the first quarter of 2026.</w:t>
      </w:r>
    </w:p>
    <w:p>
      <w:pPr>
        <w:spacing w:after="0" w:line="116"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023" w:right="100" w:hanging="514"/>
        <w:spacing w:after="0" w:line="239" w:lineRule="auto"/>
        <w:tabs>
          <w:tab w:leader="none" w:pos="1023"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We conducted a randomized controlled phase 2a clinical trial in the United States and Mexico evaluating the activity of CAN-2409 in borderline resectable pancreatic ductal adenocarcinoma (PDAC). In December 2023, we announced that the FDA granted Fast Track Designation for CAN-2409 plus valacyclovir for the treatment of patients with PDAC to improve overall survival. In April 2024, we announced updated positive overall survival data, supported by biomarker data, and also announced that the FDA has granted Orphan Drug Designation for CAN-2409 for the treatment of PDAC. In July 2025, we announced that the European Medicines Agency (EMA) has granted Orphan Designation for CAN-2409 for the treatment of pancreatic cancer.</w:t>
      </w:r>
    </w:p>
    <w:p>
      <w:pPr>
        <w:spacing w:after="0" w:line="73" w:lineRule="exact"/>
        <w:rPr>
          <w:rFonts w:ascii="Times New Roman" w:cs="Times New Roman" w:eastAsia="Times New Roman" w:hAnsi="Times New Roman"/>
          <w:sz w:val="17"/>
          <w:szCs w:val="17"/>
          <w:color w:val="auto"/>
        </w:rPr>
      </w:pPr>
    </w:p>
    <w:p>
      <w:pPr>
        <w:ind w:left="1023" w:hanging="514"/>
        <w:spacing w:after="0"/>
        <w:tabs>
          <w:tab w:leader="none" w:pos="1023"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we announced the final analysis of this phase 2a clinical trial of CAN-2409 in borderline resectable PDAC:</w:t>
      </w:r>
    </w:p>
    <w:p>
      <w:pPr>
        <w:spacing w:after="0" w:line="114" w:lineRule="exact"/>
        <w:rPr>
          <w:rFonts w:ascii="Times New Roman" w:cs="Times New Roman" w:eastAsia="Times New Roman" w:hAnsi="Times New Roman"/>
          <w:sz w:val="17"/>
          <w:szCs w:val="17"/>
          <w:color w:val="auto"/>
        </w:rPr>
      </w:pPr>
    </w:p>
    <w:p>
      <w:pPr>
        <w:ind w:left="1523" w:right="180" w:hanging="505"/>
        <w:spacing w:after="0" w:line="266" w:lineRule="auto"/>
        <w:tabs>
          <w:tab w:leader="none" w:pos="1523"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median overall survival after enrollment was 31.4 months in the CAN-2409 group versus only 12.5 months in the control group.</w:t>
      </w:r>
    </w:p>
    <w:p>
      <w:pPr>
        <w:spacing w:after="0" w:line="393"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76" w:right="359" w:bottom="1440" w:gutter="0" w:footer="0" w:header="0"/>
        </w:sectPr>
      </w:pPr>
    </w:p>
    <w:bookmarkStart w:id="27" w:name="page28"/>
    <w:bookmarkEnd w:id="27"/>
    <w:p>
      <w:pPr>
        <w:ind w:left="2040" w:right="40" w:hanging="505"/>
        <w:spacing w:after="0"/>
        <w:tabs>
          <w:tab w:leader="none" w:pos="204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3 out of 7 patients who received CAN-2409 were still alive at the time of data cut-off (February 20, 2025) with survival of 66.0, 63.6, and 35.8 months, respectively, after enrollment; survival from the time of diagnosis was 73.5, 68.8 and 41.3 months, respectively, for these patients. In contrast, only one out of 6 patients randomized to SoC chemotherapy arm remained alive at the data cutoff; histologic analysis at resection showed intraepithelial neoplasia associated with improved prognosis in this patient.</w:t>
      </w:r>
    </w:p>
    <w:p>
      <w:pPr>
        <w:spacing w:after="0" w:line="74"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Median post-progression survival was 21.2 months in CAN-2409 treated patients vs. 6.4 months in the control arm.</w:t>
      </w:r>
    </w:p>
    <w:p>
      <w:pPr>
        <w:spacing w:after="0" w:line="114" w:lineRule="exact"/>
        <w:rPr>
          <w:rFonts w:ascii="Times New Roman" w:cs="Times New Roman" w:eastAsia="Times New Roman" w:hAnsi="Times New Roman"/>
          <w:sz w:val="17"/>
          <w:szCs w:val="17"/>
          <w:color w:val="auto"/>
        </w:rPr>
      </w:pPr>
    </w:p>
    <w:p>
      <w:pPr>
        <w:ind w:left="2040" w:right="240" w:hanging="505"/>
        <w:spacing w:after="0" w:line="266" w:lineRule="auto"/>
        <w:tabs>
          <w:tab w:leader="none" w:pos="204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In October 2025, we decided to pause on further clinical development of CAN-2409 in PDAC, in the context of portfolio prioritization, unless externally funded through a grant or other non-dilutive external funding.</w:t>
      </w:r>
    </w:p>
    <w:p>
      <w:pPr>
        <w:spacing w:after="0" w:line="9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lead HSV-based product candidate, CAN-3110 (linoserpaturev), is currently being evaluated in an ongoing investigator-sponsored phase 1b clinical trial in the initial target indication of recurrent high-grade glioma (HGG). Patients recruited in this study have previously failed SoC treatment and have a poor prognosis (expected overall survival &lt; 6-9 months). In February 2024, we announced that the FDA granted Fast Track Designation for CAN-3110 for the treatment of patients with recurrent HGG to improve overall survival. In May 2024, we also announced that the FDA granted Orphan Drug Designation for CAN-3110 for the treatment of recurrent HGG.</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In October 2023, we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overall survival associated with immune activation in patients with recurrent HGG treated with CAN-3110. Notably, new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CAN-3110. Clinical responses were observed in both injected and uninjected lesions in patients with multifocal disease. Significant tumor responses were observed in both arm A and arm B of this study.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CAN-3110 administration, had improved survival.</w:t>
      </w:r>
    </w:p>
    <w:p>
      <w:pPr>
        <w:spacing w:after="0" w:line="7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are conducting an extension of the clinical trial (arm C), in which patients with recurrent glioblastoma receive a repeat dosing regimen of CAN-3110 (up to six injections over four months). Clinical data from arm C will help evaluate whether multiple injections could further improve survival. This clinical trial extension is supported by the Break Through Cancer foundation. In October 2024, at the 16th Annual International Oncolytic Virotherapy Conference (IOVC), we presented initial clinical and biomarker data from Arm C of the CAN-3110 trial. The principal investigator reported improved survival compared to historical controls in patients receiving multiple injections of CAN-3110. Post-treatment biopsies showed a near absence of tumor cells with dense lymphocyte infiltration, particularly in patients with post-treatment MRI enhancement, consistent with radiologic pseudo-progression. These findings were confirmed in a Science Translational Medicine manuscript published in October 2025, which followed two patients from Arm C through 97 serial tumor biopsies. Follow-up samples revealed extensive immune-mediated remodeling of the tumor microenvironment, characterized by dense lymphocyte infiltration and extensive tumor necrosis (death). One patient achieved a complete pathological response, with clearance of tumor cells from post-treatment biopsies. In contrast, MRI scans for both patients showed apparent tumor enlargement (pseudo-progression), underscoring that conventional imaging criteria may underestimate CAN-3110’s immunologic activity. These results underscore the limitations of conventional imaging in evaluating the response to viral immunotherapy and highlight the importance of overall survival data, supported by histology.</w:t>
      </w:r>
    </w:p>
    <w:p>
      <w:pPr>
        <w:spacing w:after="0" w:line="77"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In October 2025, we also announced positive, final overall survival data for Arm A and Arm B as of August 15, 2025. The updated mOS was 11.8 months for arm A (n=41) (CI: 8.3–14.9) and 12.0 months for arm B (n=9) (CI: 10.0–NA) respectively, after a single injection of CAN-3110. One patient from arm A and one patient from arm B were still alive after prolonged follow-up (59.2 and 42.4 months, respectively, after CAN-3110 administration).</w:t>
      </w:r>
    </w:p>
    <w:p>
      <w:pPr>
        <w:spacing w:after="0" w:line="45"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At the time of data cutoff, 9 patients in arm C had received multiple administrations of CAN-3110. At the 1×10⁸ plaque-forming unit (PFU) dose, 3 patients received 4 injections, 1 patient received 5 injections, and 2 patients received 6 injections. At the 1×10⁷ PFU dose, 1 patient received 4 injections, and 2 patients received 5 injections. Median follow-up was 8.9 months. Four out of 9 patients were alive at the time of data cutoff (range 3.1-28.2 months after initiation of CAN-3110 treatment). Five patients had died, of which 3 died more than one year after initiation of CAN-3110 treatment (range 5.5-21.8 months). With a short follow up time for the most recently dosed patients and 2 additional patients still to be enrolled in arm C, we expect to present mature mOS data and an update on long-term survivors in the fourth quarter of 2026.</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8" w:name="page29"/>
    <w:bookmarkEnd w:id="28"/>
    <w:p>
      <w:pPr>
        <w:spacing w:after="0" w:line="244" w:lineRule="auto"/>
        <w:rPr>
          <w:sz w:val="20"/>
          <w:szCs w:val="20"/>
          <w:color w:val="auto"/>
        </w:rPr>
      </w:pPr>
      <w:r>
        <w:rPr>
          <w:rFonts w:ascii="Arial" w:cs="Arial" w:eastAsia="Arial" w:hAnsi="Arial"/>
          <w:sz w:val="17"/>
          <w:szCs w:val="17"/>
          <w:color w:val="auto"/>
        </w:rPr>
        <w:t>In November 2024, during the SITC 2024 Annual Meeting, we presented data demonstrating the antitumor activity of CAN-3110 in preclinical models of melanoma, a tumor characterized by high Nestin expression, frequent loss-of-function in CDKN2A, and alterations in the Ras-Raf signaling pathway. This data supports the potential to expand the evaluation of CAN-3110 into tumors beyond recurrent HGG, creating a potential pipeline in a product.</w:t>
      </w:r>
    </w:p>
    <w:p>
      <w:pPr>
        <w:spacing w:after="0" w:line="69"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We are also designing additional novel viral immunotherapy candidates using our proprietary enLIGHTEN™ Discovery Platform, a systematic, iterative HSV-based discovery platform leveraging human biology and advanced analytics to create new viral immunotherapy candidates for solid tumors.</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88"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In October 2024, during the 16th Annual IOVC, we presented data on a novel biological multimodal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the third preclinical candidate, encoding IL-12 and IL-15. Data included the ability of this asset to induce expansion and activation of natural killer and CD8+ T cells, resulting in significant inhibition of tumor growth and tumor regression in two different tumor models.</w:t>
      </w:r>
    </w:p>
    <w:p>
      <w:pPr>
        <w:spacing w:after="0" w:line="7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We currently own development and commercialization rights for all our programs in major markets, including the United States, Europe and Asia, allowing us to control development and seek approval in these areas as we prepare our commercialization efforts.</w:t>
      </w:r>
    </w:p>
    <w:p>
      <w:pPr>
        <w:spacing w:after="0" w:line="5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August 5, 2022, we filed a shelf registration statement on Form S-3 (as amended to date, the 2022 Shelf) with the U.S. Securities and Exchange Commission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ATM Program). The 2022 Shelf was declared effective by the SEC on August 12, 2022 and expired on August 12, 2025. As of August 12, 2025, we had sold and issued 3,923,829 shares of common stock under the 2022 ATM Program, with total net proceeds of $20.9 million.</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December 16, 2024,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(the 2024 Follow-On Offering). We received approximately $85.9 million in net proceeds from the 2024 Follow-On Offering after deducting underwriting discounts and commissions and offering expenses. During the nine months ended September 30, 2025, 3,328,064 shares of common stock were issued upon the exercise of the pre-funded warrants. As of September 30, 2025, all pre-funded warrants were exercised.</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On June 25, 2025, we issued and sold 3,221,395 shares of common stock at a price per share of $4.67 to purchasers including existing healthcare-focused institutional investors, executive officers, and directors of the Company in a registered direct offering for aggregate gross proceeds of approximately $15.0 million, before deducting offering expenses payable by us (the Registered Direct Offering). We received approximately $14.3 million in net proceeds from the Registered Direct Offering after deducting offering expenses.</w:t>
      </w:r>
    </w:p>
    <w:p>
      <w:pPr>
        <w:spacing w:after="0" w:line="6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August 14, 2025, we filed a shelf registration statement on Form S-3 (the 2025 Shelf) with the SEC, which covers the offering, issuance, and sale by us of up to an aggregate of $300.0 million of our common stock, preferred stock, debt securities, warrants and/or units of any combination thereof. We simultaneously entered into a sales agreement with Jefferies LLC, as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9" w:name="page30"/>
    <w:bookmarkEnd w:id="29"/>
    <w:p>
      <w:pPr>
        <w:ind w:right="180"/>
        <w:spacing w:after="0" w:line="249" w:lineRule="auto"/>
        <w:rPr>
          <w:sz w:val="20"/>
          <w:szCs w:val="20"/>
          <w:color w:val="auto"/>
        </w:rPr>
      </w:pPr>
      <w:r>
        <w:rPr>
          <w:rFonts w:ascii="Arial" w:cs="Arial" w:eastAsia="Arial" w:hAnsi="Arial"/>
          <w:sz w:val="17"/>
          <w:szCs w:val="17"/>
          <w:color w:val="auto"/>
        </w:rPr>
        <w:t>sales agent, to provide for the issuance and sale by us of up to $50.0 million of our common stock from time to time in “at-the-market” offerings under the 2025 Shelf (the 2025 ATM Program). The 2025 Shelf was declared effective by the SEC on August 22, 2025. As of September 30, 2025 and through November 5, 2025, we have not sold any shares of common stock under the 2025 ATM Program.</w:t>
      </w:r>
    </w:p>
    <w:p>
      <w:pPr>
        <w:spacing w:after="0" w:line="107"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Our cash and cash equivalents were $87.0 million as of September 30, 2025. In October 2025, we entered into a loan and security agreement described below within Liquidity and Capital Resources. We believe our existing cash and cash equivalents plus the proceeds from the loan and security agreement will enable us to fund our operating expenses and capital expenditure requirements into the first quarter of 2027.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00"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Periphagen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1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b w:val="1"/>
          <w:bCs w:val="1"/>
          <w:i w:val="1"/>
          <w:iCs w:val="1"/>
          <w:color w:val="auto"/>
        </w:rPr>
        <w:t>Mass General Brigham (MGB)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January 20, 2018, we entered into an exclusive option agreement (the Option Agreement) with MGB.</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i w:val="1"/>
          <w:iCs w:val="1"/>
          <w:color w:val="auto"/>
        </w:rPr>
        <w:t>Ventagen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a related party. The</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30" w:name="page31"/>
    <w:bookmarkEnd w:id="30"/>
    <w:p>
      <w:pPr>
        <w:spacing w:after="0" w:line="267" w:lineRule="auto"/>
        <w:rPr>
          <w:sz w:val="20"/>
          <w:szCs w:val="20"/>
          <w:color w:val="auto"/>
        </w:rPr>
      </w:pPr>
      <w:r>
        <w:rPr>
          <w:rFonts w:ascii="Arial" w:cs="Arial" w:eastAsia="Arial" w:hAnsi="Arial"/>
          <w:sz w:val="17"/>
          <w:szCs w:val="17"/>
          <w:color w:val="auto"/>
        </w:rPr>
        <w:t>Mexico, Belize, Guatemala, Honduras, El Salvador, Costa Rica, Nicaragua, Panama, Colombia and Bolivia. Ventagen is 49.5% owned by certain of our stockholders.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8"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86" w:lineRule="exact"/>
        <w:rPr>
          <w:sz w:val="20"/>
          <w:szCs w:val="20"/>
          <w:color w:val="auto"/>
        </w:rPr>
      </w:pPr>
    </w:p>
    <w:p>
      <w:pPr>
        <w:ind w:left="1020" w:right="4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51"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14"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7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7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14" w:lineRule="exact"/>
        <w:rPr>
          <w:rFonts w:ascii="Times New Roman" w:cs="Times New Roman" w:eastAsia="Times New Roman" w:hAnsi="Times New Roman"/>
          <w:sz w:val="17"/>
          <w:szCs w:val="17"/>
          <w:color w:val="auto"/>
        </w:rPr>
      </w:pPr>
    </w:p>
    <w:p>
      <w:pPr>
        <w:ind w:left="1020" w:right="62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31" w:name="page32"/>
    <w:bookmarkEnd w:id="31"/>
    <w:p>
      <w:pPr>
        <w:ind w:left="1020" w:right="10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CAN-2409 and CAN-3110;</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4"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ongoing geopolitical conflicts and related global economic sanctions, or tariffs or other trade restrictions;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4"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commercial readiness costs;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265"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primarily consists of amounts earned on investment of cash equivalents.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primarily consists of interest expense on our debt under our Loan Agreement with SVB.</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98"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On October 14, 2025, the Company entered into an amendment (the Warrant Amendment) with holders, including affiliates of Paul Manning and Chris Martell, who are directors of the Company, of the Series B Warrants and the Conditional Series B Warrants. Pursuant to the Warrant Amendment, the holders agreed (i) to extend the expiration date of the Series B Warrants and the Conditional Series B Warrants from November 2025 to September 2027; (ii) to irrevocably release the Company and its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2" w:name="page33"/>
    <w:bookmarkEnd w:id="32"/>
    <w:p>
      <w:pPr>
        <w:spacing w:after="0" w:line="237" w:lineRule="auto"/>
        <w:rPr>
          <w:sz w:val="20"/>
          <w:szCs w:val="20"/>
          <w:color w:val="auto"/>
        </w:rPr>
      </w:pPr>
      <w:r>
        <w:rPr>
          <w:rFonts w:ascii="Arial" w:cs="Arial" w:eastAsia="Arial" w:hAnsi="Arial"/>
          <w:sz w:val="17"/>
          <w:szCs w:val="17"/>
          <w:color w:val="auto"/>
        </w:rPr>
        <w:t>directors, officers and affiliates (collectively, the Releasees) from any and all claims that the holders may have against the Releasees related to any alleged breach of or wrongful act under that certain Series B Preferred Stock Purchase Agreement dated November 13, 2018 by and between the Company and PBM ADV Holdings, LLC (the Purchase Agreement) and the issuance of shares of the Company’s Series B preferred stock or existing warrants under the Purchase Agreement; (iii) to not, during the six months following the Warrant Amendment, (x) transfer or dispose of any shares of Common Stock or any securities convertible into or exercisable or exchangeable for Common Stock, or (y) enter into any swap or other arrangement that transfers to another any of the economic consequences of ownership of such securities, subject to certain exceptions set forth in the Warrant Amendment; and (iv) that, if requested by the underwriters in any equity financing transaction undertaken by the Company prior to September 30, 2027, to execute a standard lock-up agreement in connection with such equity financing.</w:t>
      </w:r>
    </w:p>
    <w:p>
      <w:pPr>
        <w:spacing w:after="0" w:line="7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and comprehensive loss.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of December 31, 2024, we had federal net operating loss carryforwards (NOLs) of approximately $111.6 million and state NOLs of approximately $101.9 million which may be available to offset future taxable income. Our federal NOLs include $8.8 million available to reduce future taxable income through 2037 and approximately $102.8 million of NOLs that do not expire and are available to reduce future taxable income indefinitely. The state NOLs are available to offset future taxable income through 2033. As of December 31, 2024, we also had federal and state research and development tax credit carryforwards of $5.0 million and $2.4 million, respectively, which are available to offset federal and state tax liabilities through 2043 and 2038, respectively.</w:t>
      </w:r>
    </w:p>
    <w:p>
      <w:pPr>
        <w:spacing w:after="0" w:line="74"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September 30, 2025 and December 31, 2024.</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September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8,461</w:t>
            </w:r>
          </w:p>
        </w:tc>
        <w:tc>
          <w:tcPr>
            <w:tcW w:w="6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5,416</w:t>
            </w: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4,746</w:t>
            </w:r>
          </w:p>
        </w:tc>
        <w:tc>
          <w:tcPr>
            <w:tcW w:w="1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3,341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13,207</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8,757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(13,207)</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(8,757)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953</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1,146</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(1,638)</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(11,269)</w:t>
            </w:r>
          </w:p>
        </w:tc>
        <w:tc>
          <w:tcPr>
            <w:tcW w:w="60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(10,646)</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-822325</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-822325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September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7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414"/>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60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(DECREASE)</w:t>
            </w: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w:t>
            </w:r>
          </w:p>
        </w:tc>
        <w:tc>
          <w:tcPr>
            <w:tcW w:w="980" w:type="dxa"/>
            <w:vAlign w:val="bottom"/>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3,847</w:t>
            </w:r>
          </w:p>
        </w:tc>
        <w:tc>
          <w:tcPr>
            <w:tcW w:w="114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2,200</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1,647</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Employee-related</w:t>
            </w:r>
          </w:p>
        </w:tc>
        <w:tc>
          <w:tcPr>
            <w:tcW w:w="98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3,666</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1,032</w:t>
            </w:r>
          </w:p>
        </w:tc>
      </w:tr>
      <w:tr>
        <w:trPr>
          <w:trHeight w:val="203"/>
        </w:trPr>
        <w:tc>
          <w:tcPr>
            <w:tcW w:w="6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loss on sale and disposal of fixed assets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520</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279</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Occupancy</w:t>
            </w:r>
          </w:p>
        </w:tc>
        <w:tc>
          <w:tcPr>
            <w:tcW w:w="98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154</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w:t>
            </w:r>
          </w:p>
        </w:tc>
      </w:tr>
      <w:tr>
        <w:trPr>
          <w:trHeight w:val="203"/>
        </w:trPr>
        <w:tc>
          <w:tcPr>
            <w:tcW w:w="6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Pre-clinical research</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20</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157</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57</w:t>
            </w:r>
          </w:p>
        </w:tc>
      </w:tr>
      <w:tr>
        <w:trPr>
          <w:trHeight w:val="216"/>
        </w:trPr>
        <w:tc>
          <w:tcPr>
            <w:tcW w:w="60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8,461</w:t>
            </w:r>
          </w:p>
        </w:tc>
        <w:tc>
          <w:tcPr>
            <w:tcW w:w="114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5,416</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3,045</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Research and development expenses increased $3.1 million from $5.4 million for the three months ended September 30, 2024 to $8.5 million for the three months ended September 30, 2025. The increase was primarily attributable to a $1.6 million increase in clinical development costs driven by increased manufacturing and regulatory costs for CAN-2409 programs, a $1.0 million increase in employee-related expenses, and a $0.3 million increase in depreciation, impairment and loss on sale and disposal of fixed assets.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September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574"/>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508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7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(DECREASE)</w:t>
            </w: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Employee-related</w:t>
            </w:r>
          </w:p>
        </w:tc>
        <w:tc>
          <w:tcPr>
            <w:tcW w:w="1080" w:type="dxa"/>
            <w:vAlign w:val="bottom"/>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1,946</w:t>
            </w:r>
          </w:p>
        </w:tc>
        <w:tc>
          <w:tcPr>
            <w:tcW w:w="900" w:type="dxa"/>
            <w:vAlign w:val="bottom"/>
            <w:gridSpan w:val="2"/>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1,678</w:t>
            </w:r>
          </w:p>
        </w:tc>
        <w:tc>
          <w:tcPr>
            <w:tcW w:w="4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268</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108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1,207</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readiness</w:t>
            </w:r>
          </w:p>
        </w:tc>
        <w:tc>
          <w:tcPr>
            <w:tcW w:w="10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1,150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108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235</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Occupancy</w:t>
            </w:r>
          </w:p>
        </w:tc>
        <w:tc>
          <w:tcPr>
            <w:tcW w:w="10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167</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131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36</w:t>
            </w:r>
          </w:p>
        </w:tc>
      </w:tr>
      <w:tr>
        <w:trPr>
          <w:trHeight w:val="216"/>
        </w:trPr>
        <w:tc>
          <w:tcPr>
            <w:tcW w:w="50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4,746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3,341</w:t>
            </w:r>
          </w:p>
        </w:tc>
        <w:tc>
          <w:tcPr>
            <w:tcW w:w="4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1,405</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1200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1200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1200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1200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General and administrative expenses increased $1.4 million from $3.3 million for the three months ended September 30, 2024 to $4.7 million for the three months ended September 30, 2025. The increase was primarily attributable to a $1.2 million increase in commercial readiness costs and a $0.3 million increase in employee-related expenses.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i w:val="1"/>
          <w:iCs w:val="1"/>
          <w:color w:val="auto"/>
        </w:rPr>
        <w:t>Interest Income</w:t>
      </w:r>
    </w:p>
    <w:p>
      <w:pPr>
        <w:spacing w:after="0" w:line="1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Interest income was $1.0 million and $0.2 million for the three months ended September 30, 2025 and 2024, respectively, and primarily represents earnings on our cash equivalents. The increase in interest income is the result of interest being generated on a greater cash equivalents balance for the three months ended September 30, 2025 compared to the three months ended September 30, 2024.</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0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Interest expense was $0.2 million and $0.5 million for the three months ended September 30, 2025 and 2024, respectively, and represents interest expense on our outstanding debt obligations. The decrease in interest expense is the result of a lower outstanding balance on the term loan payable to Silicon Valley Bank (SVB) for the three months ended September 30, 2025 compared to the three months ended September 30, 2024.</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Warrant Liability</w:t>
      </w:r>
    </w:p>
    <w:p>
      <w:pPr>
        <w:spacing w:after="0" w:line="100"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The change in fair value of our warrant liability was a decrease of $1.1 million for the three months ended September 30, 2025, compared to an increase of $1.6 million for the three months ended September 30, 2024. The change in fair value of the warrant liability is primarily driven by the remaining contractual term, lower volatility and changes in the underlying value of our stock price.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nine months ended September 30, 2025 and 2024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19,468</w:t>
            </w:r>
          </w:p>
        </w:tc>
        <w:tc>
          <w:tcPr>
            <w:tcW w:w="24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14,497</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13,046</w:t>
            </w:r>
          </w:p>
        </w:tc>
        <w:tc>
          <w:tcPr>
            <w:tcW w:w="2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10,733</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32,514</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25,230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(32,514)</w:t>
            </w: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(25,230)</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2,813</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(703)</w:t>
            </w: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(1,700)</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21,718</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(14,970)</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36,688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(8,686)</w:t>
            </w: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(41,104)</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-822325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-822325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nine months ended September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57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96"/>
              </w:rPr>
              <w:t>2024</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3"/>
                <w:szCs w:val="13"/>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Employee-related</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8,775</w:t>
            </w:r>
          </w:p>
        </w:tc>
        <w:tc>
          <w:tcPr>
            <w:tcW w:w="900" w:type="dxa"/>
            <w:vAlign w:val="bottom"/>
            <w:gridSpan w:val="2"/>
            <w:shd w:val="clear" w:color="auto" w:fill="CFF0FC"/>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8,773</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Clinical development</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8,143</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3,947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4,196</w:t>
            </w:r>
          </w:p>
        </w:tc>
        <w:tc>
          <w:tcPr>
            <w:tcW w:w="100" w:type="dxa"/>
            <w:vAlign w:val="bottom"/>
          </w:tcPr>
          <w:p>
            <w:pPr>
              <w:spacing w:after="0"/>
              <w:rPr>
                <w:sz w:val="17"/>
                <w:szCs w:val="17"/>
                <w:color w:val="auto"/>
              </w:rPr>
            </w:pPr>
          </w:p>
        </w:tc>
      </w:tr>
      <w:tr>
        <w:trPr>
          <w:trHeight w:val="184"/>
        </w:trPr>
        <w:tc>
          <w:tcPr>
            <w:tcW w:w="5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Depreciation, impairment and loss on sale and disposal of fixed</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Pre-clinical research</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Recruiting</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00" w:type="dxa"/>
            <w:vAlign w:val="bottom"/>
          </w:tcPr>
          <w:p>
            <w:pPr>
              <w:spacing w:after="0"/>
              <w:rPr>
                <w:sz w:val="17"/>
                <w:szCs w:val="17"/>
                <w:color w:val="auto"/>
              </w:rPr>
            </w:pPr>
          </w:p>
        </w:tc>
      </w:tr>
      <w:tr>
        <w:trPr>
          <w:trHeight w:val="203"/>
        </w:trPr>
        <w:tc>
          <w:tcPr>
            <w:tcW w:w="5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19,468</w:t>
            </w:r>
          </w:p>
        </w:tc>
        <w:tc>
          <w:tcPr>
            <w:tcW w:w="90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14,497</w:t>
            </w:r>
          </w:p>
        </w:tc>
        <w:tc>
          <w:tcPr>
            <w:tcW w:w="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4,971</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-162560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Research and development expenses increased $5.0 million from $14.5 million for the nine months ended September 30, 2024 to $19.5 million for the nine months ended September 30, 2025. The increase was primarily attributable to a $4.2 million increase in clinical development costs driven by increased manufacturing and regulatory costs for CAN-2409 programs and a $0.4 million increase in depreciation, impairment and loss on the sale and disposal of fixed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nine months ended September 30, 2025 and 2024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3"/>
                <w:szCs w:val="13"/>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Employee-related</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5,607</w:t>
            </w:r>
          </w:p>
        </w:tc>
        <w:tc>
          <w:tcPr>
            <w:tcW w:w="70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5,184</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423</w:t>
            </w:r>
          </w:p>
        </w:tc>
        <w:tc>
          <w:tcPr>
            <w:tcW w:w="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4,445</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4,076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2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readiness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1,625</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1,625</w:t>
            </w:r>
          </w:p>
        </w:tc>
        <w:tc>
          <w:tcPr>
            <w:tcW w:w="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766</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Occupancy</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r>
      <w:tr>
        <w:trPr>
          <w:trHeight w:val="216"/>
        </w:trPr>
        <w:tc>
          <w:tcPr>
            <w:tcW w:w="66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13,046</w:t>
            </w:r>
          </w:p>
        </w:tc>
        <w:tc>
          <w:tcPr>
            <w:tcW w:w="70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10,733</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2,313</w:t>
            </w:r>
          </w:p>
        </w:tc>
        <w:tc>
          <w:tcPr>
            <w:tcW w:w="120" w:type="dxa"/>
            <w:vAlign w:val="bottom"/>
            <w:shd w:val="clear" w:color="auto" w:fill="CFF0FC"/>
          </w:tcPr>
          <w:p>
            <w:pPr>
              <w:spacing w:after="0"/>
              <w:rPr>
                <w:sz w:val="18"/>
                <w:szCs w:val="18"/>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General and administrative expenses increased $2.3 million from $10.7 million for the nine months ended September 30, 2024 to $13.0 million for the nine months ended September 30, 2025. The increase was primarily attributable to a $1.6 million increase in commercial readiness costs, a $0.4 million increase in employee-related expenses, and a $0.4 million increase in professional and consulting fees.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Interest income was $2.8 million and $0.8 million for the nine months ended September 30, 2025 and 2024, respectively, and primarily represents earnings on our cash equivalents. The increase in interest income is the result of interest being generated on a greater cash equivalents balance for the nine months ended September 30, 2025 compared to the nine months ended September 30, 2024.</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0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Interest expense was $0.7 million and $1.7 million for the nine months ended September 30, 2025 and 2024, respectively, and represents interest expense on our outstanding debt obligations. The decrease in interest expense is the result of a lower outstanding balance on the term loan payable to SVB for the nine months ended September 30, 2025 compared to the nine months ended September 30, 2024.</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Warrant Liability</w:t>
      </w:r>
    </w:p>
    <w:p>
      <w:pPr>
        <w:spacing w:after="0" w:line="100" w:lineRule="exact"/>
        <w:rPr>
          <w:sz w:val="20"/>
          <w:szCs w:val="20"/>
          <w:color w:val="auto"/>
        </w:rPr>
      </w:pPr>
    </w:p>
    <w:p>
      <w:pPr>
        <w:jc w:val="both"/>
        <w:ind w:right="400"/>
        <w:spacing w:after="0" w:line="249" w:lineRule="auto"/>
        <w:rPr>
          <w:sz w:val="20"/>
          <w:szCs w:val="20"/>
          <w:color w:val="auto"/>
        </w:rPr>
      </w:pPr>
      <w:r>
        <w:rPr>
          <w:rFonts w:ascii="Arial" w:cs="Arial" w:eastAsia="Arial" w:hAnsi="Arial"/>
          <w:sz w:val="17"/>
          <w:szCs w:val="17"/>
          <w:color w:val="auto"/>
        </w:rPr>
        <w:t>The change in fair value of our warrant liability was a decrease of $21.7 million for the nine months ended September 30, 2025, compared to an increase of $1.6 million for the nine months ended September 30, 2024. The change in fair value of the warrant liability is primarily driven by the remaining contractual term, lower volatility and changes in the underlying value of our stock price.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As of September 30, 2025, we had cash and cash equivalents of $87.0 million. In October 2025, we entered into a loan and security agreement described below. Based on current plans and assumptions, we expect that our existing cash and cash equivalents plus the proceeds from the loan and security agreement will be sufficient to fund our current operating plan into the first quarter of 2027, including the initiation of a pivotal phase 3 clinical trial of CAN-2409 in NSCLC in the second quarter of 2026. We will require additional capital to complete the phase 3 trial for CAN-2409 in NSCLC or to further advance the development of CAN-3110 beyond the current trials and to complete the clinical development of, or commercialize, any of our product candidates or programs.</w:t>
      </w:r>
    </w:p>
    <w:p>
      <w:pPr>
        <w:spacing w:after="0" w:line="7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September 30, 2025, we have raised approximately $291.6 million of gross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6" w:name="page37"/>
    <w:bookmarkEnd w:id="36"/>
    <w:p>
      <w:pPr>
        <w:ind w:right="80"/>
        <w:spacing w:after="0" w:line="249" w:lineRule="auto"/>
        <w:rPr>
          <w:sz w:val="20"/>
          <w:szCs w:val="20"/>
          <w:color w:val="auto"/>
        </w:rPr>
      </w:pPr>
      <w:r>
        <w:rPr>
          <w:rFonts w:ascii="Arial" w:cs="Arial" w:eastAsia="Arial" w:hAnsi="Arial"/>
          <w:sz w:val="17"/>
          <w:szCs w:val="17"/>
          <w:color w:val="auto"/>
        </w:rPr>
        <w:t>proceeds from such transactions, including $15.6 million of government grants, $66.1 million from the sale of convertible preferred stock, $207.6 million from the sale of our common stock and accompanying pre-funded warrants, and $2.3 million from stock option exercises. Our cash and cash equivalents totaled $87.0 million as of September 30, 2025. We had $5.2 million of debt as of September 30, 2025.</w:t>
      </w:r>
    </w:p>
    <w:p>
      <w:pPr>
        <w:spacing w:after="0" w:line="6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 February 24, 2022, we entered into a Loan Agreement with SVB pursuant to which SVB agreed to provide term loans to us in an aggregate principal amount of $20.0 million. We borrowed $20.0 million upon entering into the Loan Agreement. The term loans are secured by substantially all of our properties, rights and assets, except for our intellectual property, which is subject to a negative pledge under the Loan Agreement.</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 As of September 30, 2025, $4.2 million of indebtedness was outstanding under the Loan Agreement.</w:t>
      </w:r>
    </w:p>
    <w:p>
      <w:pPr>
        <w:spacing w:after="0" w:line="74"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We used a portion of the proceeds from the First Tranche of the Trinity LSA (defined below) to repay the Loan Agreement in full on October 14, 2025.</w:t>
      </w:r>
    </w:p>
    <w:p>
      <w:pPr>
        <w:spacing w:after="0" w:line="5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On August 5, 2022, we filed the 2022 Shelf with the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Shelf was declared effective by the SEC on August 12, 2022 and expired on August 12, 2025. As of August 12, 2025, we had sold and issued 3,923,829 shares of common stock under the 2022 ATM Program, with total net proceeds of $20.9 million.</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connection with the 2024 Follow-On Offering,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We received approximately $85.9 million in net proceeds from the 2024 Follow-On Offering after deducting underwriting discounts and commissions and offering expenses. During the nine months ended September 30, 2025, 3,328,064 shares of common stock were issued upon exercise of the pre-funded warrants. As of September 30, 2025, all pre-funded warrants were exercised.</w:t>
      </w:r>
    </w:p>
    <w:p>
      <w:pPr>
        <w:spacing w:after="0" w:line="115" w:lineRule="exact"/>
        <w:rPr>
          <w:sz w:val="20"/>
          <w:szCs w:val="20"/>
          <w:color w:val="auto"/>
        </w:rPr>
      </w:pPr>
    </w:p>
    <w:p>
      <w:pPr>
        <w:ind w:right="640"/>
        <w:spacing w:after="0" w:line="249" w:lineRule="auto"/>
        <w:rPr>
          <w:sz w:val="20"/>
          <w:szCs w:val="20"/>
          <w:color w:val="auto"/>
        </w:rPr>
      </w:pPr>
      <w:r>
        <w:rPr>
          <w:rFonts w:ascii="Arial" w:cs="Arial" w:eastAsia="Arial" w:hAnsi="Arial"/>
          <w:sz w:val="17"/>
          <w:szCs w:val="17"/>
          <w:color w:val="auto"/>
        </w:rPr>
        <w:t>In connection with the Registered Direct Offering, we issued and sold 3,221,395 shares of common stock at a price per share of $4.67 to the purchasers for aggregate gross proceeds of approximately $15.0 million, before deducting offering expenses payable by us. We received approximately $14.3 million in net proceeds from the Registered Direct Offering after deducting offering expenses.</w:t>
      </w:r>
    </w:p>
    <w:p>
      <w:pPr>
        <w:spacing w:after="0" w:line="6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On August 14, 2025, we filed the 2025 Shelf with the SEC, which covers the offering, issuance, and sale by us of up to an aggregate of $300.0 million of our common stock, preferred stock, debt securities, warrants and/or units of any combination thereof. We simultaneously entered into a sales agreement with Jefferies LLC, as sales agent, to provide for the issuance and sale by us of up to $50.0 million of our common stock from time to time in “at-the-market” offerings under the 2025 Shelf. The 2025 Shelf was declared effective by the SEC on August 22, 2025. As of September 30, 2025 and through November 5, 2025, we have not sold any shares of common stock under the 2025 ATM Program.</w:t>
      </w:r>
    </w:p>
    <w:p>
      <w:pPr>
        <w:spacing w:after="0" w:line="72"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color w:val="auto"/>
        </w:rPr>
        <w:t>On October 14, 2025, we entered into a Loan and Security Agreement (the Trinity LSA) with the lenders party thereto (the Lenders) and Trinity Capital Inc., as administrative agent and collateral agent (the Agent).</w:t>
      </w:r>
    </w:p>
    <w:p>
      <w:pPr>
        <w:spacing w:after="0" w:line="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Under the Trinity LSA, the Lenders agreed to extend debt capital to us, at our request, in the form of a term loan, in tranches totaling an aggregate principal amount of up to $130.0 million as follows: (a) at closing, the aggregate principal amount of $50.0 million (the First Tranche), (b) until May 30, 2027, subject to the achievement of certain regulatory, clinical and operational milestones by March 31, 2027, the aggregate principal amount of $20.0 million (the Second Tranche), (c) following funding of the Second Tranche, until February 28, 2028, subject to the achievement of certain regulatory and operational milestones by December 31, 2027, the aggregate principal amount of $30.0 million (the Third Tranche), and (d) following funding of the Third Tranche, in Lenders’ sole discretion, the aggregate principal amount of $30.0 million (the Fourth Tranche and collectively with the First Tranche, the Second Tranche and the Third Tranche, the Tranches). The obligations of the Lenders to extend such debt capital are subject to certain conditions precedent described in the Trinity LSA. We are required to pay a commitment fee of 1.0% of the amount drawn, plus related documentation and funding fees, in connection with each drawdown. On October 14, 2025, (the Closing Date), we drew down the First Tranche. Our obligations under the facility are secured by a first priority security interest in substantially all of our assets.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All Tranches will mature on October 1, 2030 (the Maturity Date), unless earlier accelerated under the terms of the Trinity LSA. At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7" w:name="page38"/>
    <w:bookmarkEnd w:id="37"/>
    <w:p>
      <w:pPr>
        <w:ind w:right="200"/>
        <w:spacing w:after="0" w:line="249" w:lineRule="auto"/>
        <w:rPr>
          <w:sz w:val="20"/>
          <w:szCs w:val="20"/>
          <w:color w:val="auto"/>
        </w:rPr>
      </w:pPr>
      <w:r>
        <w:rPr>
          <w:rFonts w:ascii="Arial" w:cs="Arial" w:eastAsia="Arial" w:hAnsi="Arial"/>
          <w:sz w:val="17"/>
          <w:szCs w:val="17"/>
          <w:color w:val="auto"/>
        </w:rPr>
        <w:t>maturity, we are required to repay the then-outstanding principal amount, together with any accrued and unpaid interest thereon. In addition, at maturity or early termination of the Trinity LSA, we are is required to pay the Lenders an additional 4.25% of the amounts drawn down by us under the Trinity LSA.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Interest accrues on the Tranches that we have drawn down at a floating rate per annum, calculated based on a 360-day year, equal to the greater of</w:t>
      </w:r>
    </w:p>
    <w:p>
      <w:pPr>
        <w:spacing w:after="0" w:line="10" w:lineRule="exact"/>
        <w:rPr>
          <w:sz w:val="20"/>
          <w:szCs w:val="20"/>
          <w:color w:val="auto"/>
        </w:rPr>
      </w:pPr>
    </w:p>
    <w:p>
      <w:pPr>
        <w:ind w:right="60" w:firstLine="8"/>
        <w:spacing w:after="0" w:line="238" w:lineRule="auto"/>
        <w:tabs>
          <w:tab w:leader="none" w:pos="25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sum of (i) The Wall Street Journal Prime Rate and (ii) 3.0%, and (b) 9.75%. The initial interest rate is 10.25% per annum. For the first 36 months after the Closing Date, we are required to make monthly payments of interest only in arrears. Upon the achievement of a certain commercial milestone by June 30, 2028, the Interest Only Period will be extended by twelve months. In the event of such extension of the Interest Only Period, the duration of the Amortization Period will decrease by the same amount. In any event, the total term of all Tranches shall not exceed 60 months.</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may voluntarily prepay the outstanding loan balance at any time, in whole or in part, subject to the payment of prepayment premiums and payment of the Exit Fee on the principal amount then prepaid.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if prepayment occurs on or before the Maturity Date, the premium shall equal 1.0% of the principal being repaid.</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Trinity LSA contains customary affirmative and negative covenants, including with respect to notice obligations, limitations on new indebtedness, liens, investments and transactions with our affiliates, restrictions on the payment of dividends, maintenance of collateral and accounts and maintenance of insurance. The Trinity LSA also contains financial covenants requiring, if our market capitalization is less than $550 million, we maintain minimum cash and cash equivalents pledged to secure the obligations under the Trinity LSA, less certain accounts payable, of at least (i) beginning from July 1, 2026 through the date, that we have raised at least $95 million in unrestricted net cash proceeds from one or more bona fide equity financings and/or upfront proceeds from business development after the Closing Date, 67.5% of all of the aggregate principal amount of outstanding obligations under the Trinity LSA, and (ii) beginning from the earlier of (x) October 1, 2027 and (ii) the date upon which we receive written notice of certain regulatory outcomes, through the date that the we obtain certain regulatory approvals, 75% of the aggregate outstanding principal amount of the obligations under the Trinity LSA.</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connection with the drawdown of any Tranche, we are required to issue to the Lenders warrants (the Lender Warrants) to purchase shares of our common stock, $0.01 par value per share. The exercise price for the Lender Warrants shall be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 In connection with the drawdown of the First Tranche, we issued a Lender Warrant to purchase up to 254,642 shares of Common Stock.</w:t>
      </w:r>
    </w:p>
    <w:p>
      <w:pPr>
        <w:spacing w:after="0" w:line="7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of September 30, 2025, we had an accumulated deficit of $200.9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9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(27,743)</w:t>
            </w:r>
          </w:p>
        </w:tc>
        <w:tc>
          <w:tcPr>
            <w:tcW w:w="800" w:type="dxa"/>
            <w:vAlign w:val="bottom"/>
            <w:gridSpan w:val="2"/>
            <w:shd w:val="clear" w:color="auto" w:fill="CFF0FC"/>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5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12,203</w:t>
            </w: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196"/>
        </w:trPr>
        <w:tc>
          <w:tcPr>
            <w:tcW w:w="5120" w:type="dxa"/>
            <w:vAlign w:val="bottom"/>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29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(15,691)</w:t>
            </w:r>
          </w:p>
        </w:tc>
        <w:tc>
          <w:tcPr>
            <w:tcW w:w="80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580" w:type="dxa"/>
            <w:vAlign w:val="bottom"/>
            <w:vMerge w:val="restart"/>
          </w:tcPr>
          <w:p>
            <w:pPr>
              <w:jc w:val="right"/>
              <w:ind w:right="1890"/>
              <w:spacing w:after="0"/>
              <w:rPr>
                <w:sz w:val="20"/>
                <w:szCs w:val="20"/>
                <w:color w:val="auto"/>
              </w:rPr>
            </w:pPr>
            <w:r>
              <w:rPr>
                <w:rFonts w:ascii="Arial" w:cs="Arial" w:eastAsia="Arial" w:hAnsi="Arial"/>
                <w:sz w:val="18"/>
                <w:szCs w:val="18"/>
                <w:color w:val="auto"/>
              </w:rPr>
              <w:t>31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51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-1207770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8" w:name="page39"/>
    <w:bookmarkEnd w:id="38"/>
    <w:p>
      <w:pPr>
        <w:ind w:right="5360"/>
        <w:spacing w:after="0" w:line="372" w:lineRule="auto"/>
        <w:rPr>
          <w:sz w:val="20"/>
          <w:szCs w:val="20"/>
          <w:color w:val="auto"/>
        </w:rPr>
      </w:pPr>
      <w:r>
        <w:rPr>
          <w:rFonts w:ascii="Arial" w:cs="Arial" w:eastAsia="Arial" w:hAnsi="Arial"/>
          <w:sz w:val="18"/>
          <w:szCs w:val="18"/>
          <w:b w:val="1"/>
          <w:bCs w:val="1"/>
          <w:i w:val="1"/>
          <w:iCs w:val="1"/>
          <w:color w:val="auto"/>
        </w:rPr>
        <w:t>Cash Flows for the nine months ended September 30, 2025 and 2024 Operating Activities</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Net cash used in operating activities for the nine months ended September 30, 2025 was $27.7 million, consisting primarily of net loss of $8.7 million and non-cash income of $17.7 million, primarily related to the $21.7 million change in the fair value of our warrant liability and partially offset by non-cash stock compensation. Net cash used in operating activities was also impacted by $1.4 million in changes in operating assets and liabilities, primarily driven by an increase of $1.7 million in prepaid expenses and other current assets and a decrease of $0.4 million in lease liability, partially offset by an increase of $0.8 million in accounts payable.</w:t>
      </w:r>
    </w:p>
    <w:p>
      <w:pPr>
        <w:spacing w:after="0" w:line="7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Net cash used in operating activities for the nine months ended September 30, 2024 was $21.2 million, primarily consisting of a net loss of $41.1 million as we incurred expenses associated with our clinical programs and incurred costs associated with operating as a public company. We had non-cash charges of $20.3 million primarily related to the $15.0 million change in the fair value of our warrant liability and non-cash stock compensation. Net cash used in operating activities was also impacted by $0.4 million in changes in operating assets and liabilities, primarily driven by a decrease of $0.4 million in lease liability.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Net cash used in investing activities for the nine months ended September 30, 2025 was $0.2 million and consisted primarily of the purchase of fixed assets.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nine months ended September 30, 2024 was $13,000 and consisted of the purchase of fixed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Net cash provided by financing activities for the nine months ended September 30, 2025 was $12.2 million and consisted primarily of $14.3 million of net proceeds from the issuance of common stock in the Registered Direct Offering, after deducting expenses payable by us, $5.0 million of net proceeds from the issuance of common stock under our 2022 ATM Program, and $0.5 million of proceeds from option exercises, partially offset by $7.5 million of principal payments on our term loan with SVB.</w:t>
      </w:r>
    </w:p>
    <w:p>
      <w:pPr>
        <w:spacing w:after="0" w:line="69"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Net cash provided by financing activities for the nine months ended September 30, 2024 was $2.4 million and consisted of $7.7 million of net proceeds from the issuance of common stock under our 2022 ATM Program and $1.3 million of proceeds from option exercises, partially offset by $6.7 million of principal payments on our term loan with SVB.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98"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potential marketing approval and potential commercialization. We also expect to incur additional costs associated with operating as a public company.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potential commercial manufacturing of our product candidate CAN-2409 and the development, construction and qualification of our clinical manufacturing capabilities, internally or through CDMOs for our product candidate CAN-3110;</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pursue preparatory activities for potential launch and commercialization for CAN-2409 in localized prostate cancer;</w:t>
      </w:r>
    </w:p>
    <w:p>
      <w:pPr>
        <w:spacing w:after="0" w:line="114" w:lineRule="exact"/>
        <w:rPr>
          <w:rFonts w:ascii="Times New Roman" w:cs="Times New Roman" w:eastAsia="Times New Roman" w:hAnsi="Times New Roman"/>
          <w:sz w:val="17"/>
          <w:szCs w:val="17"/>
          <w:color w:val="auto"/>
        </w:rPr>
      </w:pPr>
    </w:p>
    <w:p>
      <w:pPr>
        <w:ind w:left="1020" w:right="42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51"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52"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We believe that our existing cash and cash equivalents as of September 30, 2025 plus the proceeds from the Trinity LSA, will enable us to fund our operating expenses and capital expense requirements into the first quarter of 2027. We have based this estimate on assumptions that may prove to be incorrect, and we could utilize our available capital resources sooner than we currently expect.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4" w:right="359" w:bottom="1440" w:gutter="0" w:footer="0" w:header="0"/>
        </w:sectPr>
      </w:pPr>
    </w:p>
    <w:bookmarkStart w:id="39" w:name="page40"/>
    <w:bookmarkEnd w:id="39"/>
    <w:p>
      <w:pPr>
        <w:ind w:right="16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5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6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14" w:lineRule="exact"/>
        <w:rPr>
          <w:rFonts w:ascii="Times New Roman" w:cs="Times New Roman" w:eastAsia="Times New Roman" w:hAnsi="Times New Roman"/>
          <w:sz w:val="17"/>
          <w:szCs w:val="17"/>
          <w:color w:val="auto"/>
        </w:rPr>
      </w:pPr>
    </w:p>
    <w:p>
      <w:pPr>
        <w:ind w:left="1020" w:right="98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5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51"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September 30, 2025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right"/>
              <w:ind w:right="796"/>
              <w:spacing w:after="0" w:line="147"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99"/>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76"/>
              <w:spacing w:after="0"/>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76"/>
              <w:spacing w:after="0"/>
              <w:rPr>
                <w:sz w:val="20"/>
                <w:szCs w:val="20"/>
                <w:color w:val="auto"/>
              </w:rPr>
            </w:pPr>
            <w:r>
              <w:rPr>
                <w:rFonts w:ascii="Arial" w:cs="Arial" w:eastAsia="Arial" w:hAnsi="Arial"/>
                <w:sz w:val="14"/>
                <w:szCs w:val="14"/>
                <w:b w:val="1"/>
                <w:bCs w:val="1"/>
                <w:color w:val="auto"/>
              </w:rPr>
              <w:t>3 TO 5</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24"/>
                <w:szCs w:val="24"/>
                <w:color w:val="auto"/>
                <w:vertAlign w:val="superscript"/>
              </w:rPr>
              <w:t>(1)</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63"/>
        </w:trPr>
        <w:tc>
          <w:tcPr>
            <w:tcW w:w="5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27"/>
              <w:spacing w:after="0" w:line="164"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4"/>
              <w:spacing w:after="0" w:line="163" w:lineRule="exact"/>
              <w:rPr>
                <w:sz w:val="20"/>
                <w:szCs w:val="20"/>
                <w:color w:val="auto"/>
              </w:rPr>
            </w:pPr>
            <w:r>
              <w:rPr>
                <w:rFonts w:ascii="Arial" w:cs="Arial" w:eastAsia="Arial" w:hAnsi="Arial"/>
                <w:sz w:val="18"/>
                <w:szCs w:val="18"/>
                <w:color w:val="auto"/>
              </w:rPr>
              <w:t>2,441</w:t>
            </w:r>
          </w:p>
        </w:tc>
        <w:tc>
          <w:tcPr>
            <w:tcW w:w="140" w:type="dxa"/>
            <w:vAlign w:val="bottom"/>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line="163" w:lineRule="exact"/>
              <w:rPr>
                <w:sz w:val="20"/>
                <w:szCs w:val="20"/>
                <w:color w:val="auto"/>
              </w:rPr>
            </w:pPr>
            <w:r>
              <w:rPr>
                <w:rFonts w:ascii="Arial" w:cs="Arial" w:eastAsia="Arial" w:hAnsi="Arial"/>
                <w:sz w:val="18"/>
                <w:szCs w:val="18"/>
                <w:color w:val="auto"/>
              </w:rPr>
              <w:t>622</w:t>
            </w:r>
          </w:p>
        </w:tc>
        <w:tc>
          <w:tcPr>
            <w:tcW w:w="120" w:type="dxa"/>
            <w:vAlign w:val="bottom"/>
          </w:tcPr>
          <w:p>
            <w:pPr>
              <w:spacing w:after="0"/>
              <w:rPr>
                <w:sz w:val="14"/>
                <w:szCs w:val="14"/>
                <w:color w:val="auto"/>
              </w:rPr>
            </w:pPr>
          </w:p>
        </w:tc>
        <w:tc>
          <w:tcPr>
            <w:tcW w:w="220" w:type="dxa"/>
            <w:vAlign w:val="bottom"/>
          </w:tcPr>
          <w:p>
            <w:pPr>
              <w:jc w:val="right"/>
              <w:ind w:right="30"/>
              <w:spacing w:after="0" w:line="16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line="163" w:lineRule="exact"/>
              <w:rPr>
                <w:sz w:val="20"/>
                <w:szCs w:val="20"/>
                <w:color w:val="auto"/>
              </w:rPr>
            </w:pPr>
            <w:r>
              <w:rPr>
                <w:rFonts w:ascii="Arial" w:cs="Arial" w:eastAsia="Arial" w:hAnsi="Arial"/>
                <w:sz w:val="18"/>
                <w:szCs w:val="18"/>
                <w:color w:val="auto"/>
              </w:rPr>
              <w:t>1,234</w:t>
            </w:r>
          </w:p>
        </w:tc>
        <w:tc>
          <w:tcPr>
            <w:tcW w:w="120" w:type="dxa"/>
            <w:vAlign w:val="bottom"/>
          </w:tcPr>
          <w:p>
            <w:pPr>
              <w:spacing w:after="0"/>
              <w:rPr>
                <w:sz w:val="14"/>
                <w:szCs w:val="14"/>
                <w:color w:val="auto"/>
              </w:rPr>
            </w:pPr>
          </w:p>
        </w:tc>
        <w:tc>
          <w:tcPr>
            <w:tcW w:w="220" w:type="dxa"/>
            <w:vAlign w:val="bottom"/>
          </w:tcPr>
          <w:p>
            <w:pPr>
              <w:jc w:val="right"/>
              <w:ind w:right="30"/>
              <w:spacing w:after="0" w:line="16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line="163"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5"/>
        </w:trPr>
        <w:tc>
          <w:tcPr>
            <w:tcW w:w="5860" w:type="dxa"/>
            <w:vAlign w:val="bottom"/>
          </w:tcPr>
          <w:p>
            <w:pPr>
              <w:spacing w:after="0" w:line="236" w:lineRule="exact"/>
              <w:rPr>
                <w:sz w:val="20"/>
                <w:szCs w:val="20"/>
                <w:color w:val="auto"/>
              </w:rPr>
            </w:pPr>
            <w:r>
              <w:rPr>
                <w:rFonts w:ascii="Arial" w:cs="Arial" w:eastAsia="Arial" w:hAnsi="Arial"/>
                <w:sz w:val="18"/>
                <w:szCs w:val="18"/>
                <w:color w:val="auto"/>
              </w:rPr>
              <w:t xml:space="preserve">Loan Agreement with SVB </w:t>
            </w:r>
            <w:r>
              <w:rPr>
                <w:rFonts w:ascii="Arial" w:cs="Arial" w:eastAsia="Arial" w:hAnsi="Arial"/>
                <w:sz w:val="22"/>
                <w:szCs w:val="22"/>
                <w:color w:val="auto"/>
                <w:vertAlign w:val="superscript"/>
              </w:rPr>
              <w:t>(2)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4,303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 xml:space="preserve">Periphagen Note </w:t>
            </w:r>
            <w:r>
              <w:rPr>
                <w:rFonts w:ascii="Arial" w:cs="Arial" w:eastAsia="Arial" w:hAnsi="Arial"/>
                <w:sz w:val="22"/>
                <w:szCs w:val="22"/>
                <w:color w:val="auto"/>
                <w:vertAlign w:val="superscript"/>
              </w:rPr>
              <w:t>(3)</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1,352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1,352</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8,096</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line="196" w:lineRule="exact"/>
              <w:rPr>
                <w:sz w:val="20"/>
                <w:szCs w:val="20"/>
                <w:color w:val="auto"/>
              </w:rPr>
            </w:pPr>
            <w:r>
              <w:rPr>
                <w:rFonts w:ascii="Arial" w:cs="Arial" w:eastAsia="Arial" w:hAnsi="Arial"/>
                <w:sz w:val="18"/>
                <w:szCs w:val="18"/>
                <w:color w:val="auto"/>
              </w:rPr>
              <w:t>4,925</w:t>
            </w:r>
          </w:p>
        </w:tc>
        <w:tc>
          <w:tcPr>
            <w:tcW w:w="3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line="196" w:lineRule="exact"/>
              <w:rPr>
                <w:sz w:val="20"/>
                <w:szCs w:val="20"/>
                <w:color w:val="auto"/>
              </w:rPr>
            </w:pPr>
            <w:r>
              <w:rPr>
                <w:rFonts w:ascii="Arial" w:cs="Arial" w:eastAsia="Arial" w:hAnsi="Arial"/>
                <w:sz w:val="18"/>
                <w:szCs w:val="18"/>
                <w:color w:val="auto"/>
              </w:rPr>
              <w:t>2,586</w:t>
            </w:r>
          </w:p>
        </w:tc>
        <w:tc>
          <w:tcPr>
            <w:tcW w:w="3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line="196"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-161925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-161925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0" w:lineRule="exact"/>
        <w:rPr>
          <w:sz w:val="20"/>
          <w:szCs w:val="20"/>
          <w:color w:val="auto"/>
        </w:rPr>
      </w:pPr>
    </w:p>
    <w:p>
      <w:pPr>
        <w:ind w:left="380" w:right="100" w:hanging="372"/>
        <w:spacing w:after="0" w:line="215" w:lineRule="auto"/>
        <w:tabs>
          <w:tab w:leader="none" w:pos="38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Represents future minimum lease payments under our operating lease for office and laboratory space at our Needham, Massachusetts facility. Our facility lease, as amended, extends to August of 2029.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0" w:name="page41"/>
    <w:bookmarkEnd w:id="40"/>
    <w:p>
      <w:pPr>
        <w:ind w:left="380" w:hanging="372"/>
        <w:spacing w:after="0"/>
        <w:tabs>
          <w:tab w:leader="none" w:pos="38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Represents future principal, interest payments, and the final payment fee on our Loan Agreement with SVB, which matures on January 1, 2026.</w:t>
      </w:r>
    </w:p>
    <w:p>
      <w:pPr>
        <w:ind w:left="380" w:right="820" w:hanging="372"/>
        <w:spacing w:after="0" w:line="207" w:lineRule="auto"/>
        <w:tabs>
          <w:tab w:leader="none" w:pos="38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Represents a $1.0 million promissory note plus interest under the terms of our asset purchase agreements with Periphagen, Inc. The promissory note is due upon maturity in November 2027.</w:t>
      </w:r>
    </w:p>
    <w:p>
      <w:pPr>
        <w:spacing w:after="0" w:line="73"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See our condensed consolidated financial statements and related footnotes elsewhere in this Form 10-Q for additional information on these agreements.</w:t>
      </w:r>
    </w:p>
    <w:p>
      <w:pPr>
        <w:spacing w:after="0" w:line="5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generally accepted accounting principles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7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During the three and nine months ended September 30, 2025, there were no material changes to our critical accounting estimates as reported in our Annual Report on Form 10-K for the year ended December 31, 2024. For a full discussion of these estimates, see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within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year ended December 31,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is disclosed in Note 2 to our condensed consolidated financial statements included elsewhere in this Form 10-Q.</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w:t>
      </w:r>
    </w:p>
    <w:p>
      <w:pPr>
        <w:spacing w:after="0" w:line="1" w:lineRule="exact"/>
        <w:rPr>
          <w:sz w:val="20"/>
          <w:szCs w:val="20"/>
          <w:color w:val="auto"/>
        </w:rPr>
      </w:pPr>
    </w:p>
    <w:p>
      <w:pPr>
        <w:ind w:right="80" w:firstLine="8"/>
        <w:spacing w:after="0" w:line="248" w:lineRule="auto"/>
        <w:tabs>
          <w:tab w:leader="none" w:pos="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2025.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may become involved in litigation or other legal proceedings.</w:t>
      </w:r>
    </w:p>
    <w:p>
      <w:pPr>
        <w:spacing w:after="0" w:line="10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7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The risk factors denoted with a “*” are newly added or have been materially updated from those included in our Annual Report on Form 10-K for the year ended December 31, 2024.</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laws of the State of Delaware in June 2003. Since inception, we have focused substantially all of our efforts and financial resources on raising</w:t>
      </w:r>
    </w:p>
    <w:p>
      <w:pPr>
        <w:spacing w:after="0" w:line="232" w:lineRule="auto"/>
        <w:rPr>
          <w:sz w:val="20"/>
          <w:szCs w:val="20"/>
          <w:color w:val="auto"/>
        </w:rPr>
      </w:pPr>
      <w:r>
        <w:rPr>
          <w:rFonts w:ascii="Arial" w:cs="Arial" w:eastAsia="Arial" w:hAnsi="Arial"/>
          <w:sz w:val="17"/>
          <w:szCs w:val="17"/>
          <w:color w:val="auto"/>
        </w:rPr>
        <w:t>capital and developing our initial product candidates. To date, we have financed our operations primarily through the issuance and sale of our</w:t>
      </w:r>
    </w:p>
    <w:p>
      <w:pPr>
        <w:spacing w:after="0" w:line="232" w:lineRule="auto"/>
        <w:rPr>
          <w:sz w:val="20"/>
          <w:szCs w:val="20"/>
          <w:color w:val="auto"/>
        </w:rPr>
      </w:pPr>
      <w:r>
        <w:rPr>
          <w:rFonts w:ascii="Arial" w:cs="Arial" w:eastAsia="Arial" w:hAnsi="Arial"/>
          <w:sz w:val="17"/>
          <w:szCs w:val="17"/>
          <w:color w:val="auto"/>
        </w:rPr>
        <w:t>convertible preferred stock to outside investors in private equity financings and from the proceeds of the sale of our common stock and</w:t>
      </w:r>
    </w:p>
    <w:p>
      <w:pPr>
        <w:spacing w:after="0" w:line="232" w:lineRule="auto"/>
        <w:rPr>
          <w:sz w:val="20"/>
          <w:szCs w:val="20"/>
          <w:color w:val="auto"/>
        </w:rPr>
      </w:pPr>
      <w:r>
        <w:rPr>
          <w:rFonts w:ascii="Arial" w:cs="Arial" w:eastAsia="Arial" w:hAnsi="Arial"/>
          <w:sz w:val="17"/>
          <w:szCs w:val="17"/>
          <w:color w:val="auto"/>
        </w:rPr>
        <w:t>accompanying pre-funded warrants. From our inception through September 30, 2025, we raised an aggregate of $273.7 million of gross proceeds</w:t>
      </w:r>
    </w:p>
    <w:p>
      <w:pPr>
        <w:spacing w:after="0" w:line="232" w:lineRule="auto"/>
        <w:rPr>
          <w:sz w:val="20"/>
          <w:szCs w:val="20"/>
          <w:color w:val="auto"/>
        </w:rPr>
      </w:pPr>
      <w:r>
        <w:rPr>
          <w:rFonts w:ascii="Arial" w:cs="Arial" w:eastAsia="Arial" w:hAnsi="Arial"/>
          <w:sz w:val="17"/>
          <w:szCs w:val="17"/>
          <w:color w:val="auto"/>
        </w:rPr>
        <w:t>from such transactions. In addition, in February 2022, we borrowed $20.0 million under the four-year loan and security agreement (the Loan</w:t>
      </w:r>
    </w:p>
    <w:p>
      <w:pPr>
        <w:spacing w:after="0" w:line="232" w:lineRule="auto"/>
        <w:rPr>
          <w:sz w:val="20"/>
          <w:szCs w:val="20"/>
          <w:color w:val="auto"/>
        </w:rPr>
      </w:pPr>
      <w:r>
        <w:rPr>
          <w:rFonts w:ascii="Arial" w:cs="Arial" w:eastAsia="Arial" w:hAnsi="Arial"/>
          <w:sz w:val="17"/>
          <w:szCs w:val="17"/>
          <w:color w:val="auto"/>
        </w:rPr>
        <w:t>Agreement) with Silicon Valley Bank (SVB). On October 14, 2025, we entered into a Loan and Security Agreement (the Trinity LSA) with the lenders</w:t>
      </w:r>
    </w:p>
    <w:p>
      <w:pPr>
        <w:spacing w:after="0" w:line="232" w:lineRule="auto"/>
        <w:rPr>
          <w:sz w:val="20"/>
          <w:szCs w:val="20"/>
          <w:color w:val="auto"/>
        </w:rPr>
      </w:pPr>
      <w:r>
        <w:rPr>
          <w:rFonts w:ascii="Arial" w:cs="Arial" w:eastAsia="Arial" w:hAnsi="Arial"/>
          <w:sz w:val="17"/>
          <w:szCs w:val="17"/>
          <w:color w:val="auto"/>
        </w:rPr>
        <w:t>party thereto and Trinity Capital Inc. (Trinity), as administrative agent and collateral agent and in October 2025 we borrowed $50.0 million under the</w:t>
      </w:r>
    </w:p>
    <w:p>
      <w:pPr>
        <w:spacing w:after="0" w:line="232" w:lineRule="auto"/>
        <w:rPr>
          <w:sz w:val="20"/>
          <w:szCs w:val="20"/>
          <w:color w:val="auto"/>
        </w:rPr>
      </w:pPr>
      <w:r>
        <w:rPr>
          <w:rFonts w:ascii="Arial" w:cs="Arial" w:eastAsia="Arial" w:hAnsi="Arial"/>
          <w:sz w:val="17"/>
          <w:szCs w:val="17"/>
          <w:color w:val="auto"/>
        </w:rPr>
        <w:t>Trinity LSA pursuant to the First Tranche at closing. We used a portion of the proceeds from the First Tranche of the Trinity LSA to repay the Loan</w:t>
      </w:r>
    </w:p>
    <w:p>
      <w:pPr>
        <w:spacing w:after="0" w:line="232" w:lineRule="auto"/>
        <w:rPr>
          <w:sz w:val="20"/>
          <w:szCs w:val="20"/>
          <w:color w:val="auto"/>
        </w:rPr>
      </w:pPr>
      <w:r>
        <w:rPr>
          <w:rFonts w:ascii="Arial" w:cs="Arial" w:eastAsia="Arial" w:hAnsi="Arial"/>
          <w:sz w:val="17"/>
          <w:szCs w:val="17"/>
          <w:color w:val="auto"/>
        </w:rPr>
        <w:t>Agreement in full on October 14, 2025. As of September 30, 2025, our cash and cash equivalents were $87.0 million. We had an accumulated deficit</w:t>
      </w:r>
    </w:p>
    <w:p>
      <w:pPr>
        <w:spacing w:after="0" w:line="232" w:lineRule="auto"/>
        <w:rPr>
          <w:sz w:val="20"/>
          <w:szCs w:val="20"/>
          <w:color w:val="auto"/>
        </w:rPr>
      </w:pPr>
      <w:r>
        <w:rPr>
          <w:rFonts w:ascii="Arial" w:cs="Arial" w:eastAsia="Arial" w:hAnsi="Arial"/>
          <w:sz w:val="17"/>
          <w:szCs w:val="17"/>
          <w:color w:val="auto"/>
        </w:rPr>
        <w:t>of $200.9 million as of September 30, 2025. For the nine months ended September 30, 2025 and 2024, we reported net loss of $8.7 million and</w:t>
      </w:r>
    </w:p>
    <w:p>
      <w:pPr>
        <w:spacing w:after="0" w:line="232" w:lineRule="auto"/>
        <w:rPr>
          <w:sz w:val="20"/>
          <w:szCs w:val="20"/>
          <w:color w:val="auto"/>
        </w:rPr>
      </w:pPr>
      <w:r>
        <w:rPr>
          <w:rFonts w:ascii="Arial" w:cs="Arial" w:eastAsia="Arial" w:hAnsi="Arial"/>
          <w:sz w:val="17"/>
          <w:szCs w:val="17"/>
          <w:color w:val="auto"/>
        </w:rPr>
        <w:t>$41.1 million, respectively. We have no products approved for commercial sale and therefore have never generated any revenue from product sales,</w:t>
      </w:r>
    </w:p>
    <w:p>
      <w:pPr>
        <w:spacing w:after="0" w:line="232" w:lineRule="auto"/>
        <w:rPr>
          <w:sz w:val="20"/>
          <w:szCs w:val="20"/>
          <w:color w:val="auto"/>
        </w:rPr>
      </w:pPr>
      <w:r>
        <w:rPr>
          <w:rFonts w:ascii="Arial" w:cs="Arial" w:eastAsia="Arial" w:hAnsi="Arial"/>
          <w:sz w:val="17"/>
          <w:szCs w:val="17"/>
          <w:color w:val="auto"/>
        </w:rPr>
        <w:t>and we do not expect to do so in the foreseeable future. We have not obtained regulatory approvals for any of our product candidates, and even if</w:t>
      </w:r>
    </w:p>
    <w:p>
      <w:pPr>
        <w:spacing w:after="0" w:line="232" w:lineRule="auto"/>
        <w:rPr>
          <w:sz w:val="20"/>
          <w:szCs w:val="20"/>
          <w:color w:val="auto"/>
        </w:rPr>
      </w:pPr>
      <w:r>
        <w:rPr>
          <w:rFonts w:ascii="Arial" w:cs="Arial" w:eastAsia="Arial" w:hAnsi="Arial"/>
          <w:sz w:val="17"/>
          <w:szCs w:val="17"/>
          <w:color w:val="auto"/>
        </w:rPr>
        <w:t>our clinical development efforts result in positive data, our product candidates may not receive regulatory approval or be successfully introduced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marketed at prices that would permit us to operate profitably.</w:t>
      </w:r>
    </w:p>
    <w:p>
      <w:pPr>
        <w:spacing w:after="0" w:line="8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3" w:name="page44"/>
    <w:bookmarkEnd w:id="43"/>
    <w:p>
      <w:pPr>
        <w:ind w:right="70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020" w:right="2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 or changes in trade policy, tariffs or other trade restrictions;</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ind w:left="1020" w:right="280" w:hanging="503"/>
        <w:spacing w:after="0" w:line="249"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4" w:name="page45"/>
    <w:bookmarkEnd w:id="44"/>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114"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We will need to raise substantial additional funding, which may not be available on acceptable terms, or at all. If we are unable to raise capital when needed, we would be forced to delay, reduce or eliminate some of our product development programs or commercialization efforts or initiate steps to cease operations.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expect that our existing cash and cash equivalents plus the proceeds from the Trinity LSA will be sufficient to fund our current operating plan into the first quarter of 2027. However, our future capital requirements will depend on and could increase significantly as a result of many factors, including:</w:t>
      </w:r>
    </w:p>
    <w:p>
      <w:pPr>
        <w:spacing w:after="0" w:line="67" w:lineRule="exact"/>
        <w:rPr>
          <w:sz w:val="20"/>
          <w:szCs w:val="20"/>
          <w:color w:val="auto"/>
        </w:rPr>
      </w:pPr>
    </w:p>
    <w:p>
      <w:pPr>
        <w:ind w:left="1020" w:right="6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jc w:val="both"/>
        <w:ind w:left="1020" w:right="60" w:hanging="503"/>
        <w:spacing w:after="0" w:line="249"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and NSCLC as well as for CAN-3110 in our initial target indication of recurrent glioblastoma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1020" w:right="240" w:hanging="503"/>
        <w:spacing w:after="0" w:line="249"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5" w:name="page46"/>
    <w:bookmarkEnd w:id="45"/>
    <w:p>
      <w:pPr>
        <w:ind w:left="1020" w:right="68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1020" w:right="38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If we are unable to obtain adequate funding on a timely basis or on terms acceptable to us, we may be required to revise our business plan and strategy and potentially curtail, delay, or discontinue one or more of our clinical trials, our research efforts, product development, future commercialization efforts or we may be unable to expand our operations or otherwise capitalize on our business opportunities, or we may be required to initiate steps to cease operations. As a result, our business, financial condition and results of operations could be materially affected.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10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On October 14, 2025, we entered into the Trinity LSA, pursuant to which Trinity has agreed to provide term loans to us in tranches totaling an aggregate principal amount of up to $130.0 million, as described in the Trinity LSA. Our indebtedness could have important consequences to our stockholders. For example, it:</w:t>
      </w:r>
    </w:p>
    <w:p>
      <w:pPr>
        <w:spacing w:after="0" w:line="6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Trinity LSA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Trinity LSA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6" w:name="page47"/>
    <w:bookmarkEnd w:id="46"/>
    <w:p>
      <w:pPr>
        <w:ind w:right="4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10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 portion of our outstanding debt under the Trinity LSA,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$50 million loan outstanding pursuant to a $130 million term loan facility with Trinity, which was entered into in October 2025.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Similar impacts have occurred in the past, such as during the 2008-2010 financial crisis.</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6"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6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7" w:name="page48"/>
    <w:bookmarkEnd w:id="47"/>
    <w:p>
      <w:pPr>
        <w:ind w:left="1020" w:right="54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early stages of clinical development for CAN-3110, it is likely, as is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8" w:name="page49"/>
    <w:bookmarkEnd w:id="48"/>
    <w:p>
      <w:pPr>
        <w:ind w:right="100"/>
        <w:spacing w:after="0" w:line="241" w:lineRule="auto"/>
        <w:rPr>
          <w:sz w:val="20"/>
          <w:szCs w:val="20"/>
          <w:color w:val="auto"/>
        </w:rPr>
      </w:pPr>
      <w:r>
        <w:rPr>
          <w:rFonts w:ascii="Arial" w:cs="Arial" w:eastAsia="Arial" w:hAnsi="Arial"/>
          <w:sz w:val="17"/>
          <w:szCs w:val="17"/>
          <w:color w:val="auto"/>
        </w:rPr>
        <w:t>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7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to date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recurrent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79"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4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9" w:name="page50"/>
    <w:bookmarkEnd w:id="49"/>
    <w:p>
      <w:pPr>
        <w:ind w:right="100"/>
        <w:spacing w:after="0" w:line="244"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6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3"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7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w:t>
      </w:r>
    </w:p>
    <w:p>
      <w:pPr>
        <w:spacing w:after="0" w:line="5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talimogene laherparepvec (Imlygic, Amgen) and nadofaragene firadenovec-vncg (Adstiladrin, Ferring Pharmaceuticals) have received FDA approval, regulatory agencies have reviewed relatively few viral immunotherapy product candidates such as CAN-2409 and CAN-3110. This may lengthen the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0" w:name="page51"/>
    <w:bookmarkEnd w:id="50"/>
    <w:p>
      <w:pPr>
        <w:ind w:right="400"/>
        <w:spacing w:after="0" w:line="249" w:lineRule="auto"/>
        <w:rPr>
          <w:sz w:val="20"/>
          <w:szCs w:val="20"/>
          <w:color w:val="auto"/>
        </w:rPr>
      </w:pPr>
      <w:r>
        <w:rPr>
          <w:rFonts w:ascii="Arial" w:cs="Arial" w:eastAsia="Arial" w:hAnsi="Arial"/>
          <w:sz w:val="17"/>
          <w:szCs w:val="17"/>
          <w:color w:val="auto"/>
        </w:rPr>
        <w:t>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67" w:lineRule="exact"/>
        <w:rPr>
          <w:sz w:val="20"/>
          <w:szCs w:val="20"/>
          <w:color w:val="auto"/>
        </w:rPr>
      </w:pPr>
    </w:p>
    <w:p>
      <w:pPr>
        <w:jc w:val="both"/>
        <w:ind w:right="6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which investigated CAN-2409 in prostate cancer was a disease-free survival (DFS) endpoint. While this endpoint has not been utilized in prior trials, it was discussed and agreed by the FDA during the process resulting in the Special Protocol Assessment (SPA). The FDA may change its views on the clinical relevance of this endpoint because of evolving standards of care and contemporary disease management guidelines, or other emerging clinical or scientific information. However, even if this endpoint is accepted as a basis for approval in the United States, we cannot be certain that regulators outside of the United States will accept the endpoint or will not require us to conduct additional validation studies to support the suitability of such endpoints for approval in these jurisdictions.</w:t>
      </w:r>
    </w:p>
    <w:p>
      <w:pPr>
        <w:spacing w:after="0" w:line="73"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1" w:name="page52"/>
    <w:bookmarkEnd w:id="51"/>
    <w:p>
      <w:pPr>
        <w:ind w:right="100"/>
        <w:spacing w:after="0" w:line="236" w:lineRule="auto"/>
        <w:rPr>
          <w:sz w:val="20"/>
          <w:szCs w:val="20"/>
          <w:color w:val="auto"/>
        </w:rPr>
      </w:pPr>
      <w:r>
        <w:rPr>
          <w:rFonts w:ascii="Arial" w:cs="Arial" w:eastAsia="Arial" w:hAnsi="Arial"/>
          <w:sz w:val="17"/>
          <w:szCs w:val="17"/>
          <w:color w:val="auto"/>
        </w:rPr>
        <w:t>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3"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76"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1020" w:right="46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2" w:name="page53"/>
    <w:bookmarkEnd w:id="52"/>
    <w:p>
      <w:pPr>
        <w:ind w:right="260"/>
        <w:spacing w:after="0" w:line="244" w:lineRule="auto"/>
        <w:rPr>
          <w:sz w:val="20"/>
          <w:szCs w:val="20"/>
          <w:color w:val="auto"/>
        </w:rPr>
      </w:pPr>
      <w:r>
        <w:rPr>
          <w:rFonts w:ascii="Arial" w:cs="Arial" w:eastAsia="Arial" w:hAnsi="Arial"/>
          <w:sz w:val="17"/>
          <w:szCs w:val="17"/>
          <w:color w:val="auto"/>
        </w:rPr>
        <w:t>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69"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1"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3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1020" w:right="180" w:hanging="503"/>
        <w:spacing w:after="0" w:line="249"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1020" w:right="62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6" w:right="399" w:bottom="1440" w:gutter="0" w:footer="0" w:header="0"/>
        </w:sectPr>
      </w:pPr>
    </w:p>
    <w:bookmarkStart w:id="53" w:name="page54"/>
    <w:bookmarkEnd w:id="53"/>
    <w:p>
      <w:pPr>
        <w:jc w:val="both"/>
        <w:ind w:right="40"/>
        <w:spacing w:after="0" w:line="249" w:lineRule="auto"/>
        <w:rPr>
          <w:sz w:val="20"/>
          <w:szCs w:val="20"/>
          <w:color w:val="auto"/>
        </w:rPr>
      </w:pPr>
      <w:r>
        <w:rPr>
          <w:rFonts w:ascii="Arial" w:cs="Arial" w:eastAsia="Arial" w:hAnsi="Arial"/>
          <w:sz w:val="17"/>
          <w:szCs w:val="17"/>
          <w:color w:val="auto"/>
        </w:rPr>
        <w:t>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67"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CG Oncology, J&amp;J,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For example, regulatory authorities may question the clinical relevance of data derived from our clinical trials because of evolving standards of care and contemporary disease management guidelines. It is possible that CAN-2409, CAN-3110 and future product candidates will never obtain the appropriate regulatory approvals necessary for us to commence product sales.</w:t>
      </w:r>
    </w:p>
    <w:p>
      <w:pPr>
        <w:spacing w:after="0" w:line="73"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54" w:name="page55"/>
    <w:bookmarkEnd w:id="54"/>
    <w:p>
      <w:pPr>
        <w:ind w:right="4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or if the FDA has a different interpretation of the safety data from our clinical trials than we do,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5"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2"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5" w:name="page56"/>
    <w:bookmarkEnd w:id="55"/>
    <w:p>
      <w:pPr>
        <w:ind w:right="120"/>
        <w:spacing w:after="0" w:line="244" w:lineRule="auto"/>
        <w:rPr>
          <w:sz w:val="20"/>
          <w:szCs w:val="20"/>
          <w:color w:val="auto"/>
        </w:rPr>
      </w:pPr>
      <w:r>
        <w:rPr>
          <w:rFonts w:ascii="Arial" w:cs="Arial" w:eastAsia="Arial" w:hAnsi="Arial"/>
          <w:sz w:val="17"/>
          <w:szCs w:val="17"/>
          <w:color w:val="auto"/>
        </w:rPr>
        <w:t>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subsequently made minor changes to the protocol to include the use of hypofractionated radiotherapy. This change in the protocol was not considered an amendment to the SPA by the FDA.</w:t>
      </w:r>
    </w:p>
    <w:p>
      <w:pPr>
        <w:spacing w:after="0" w:line="6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 For example, the FDA may change its views on a SPA agreement based on factors such as data that would call into question the clinical relevance of previously agreed-upon efficacy endpoints, identification of safety concerns related to a product or its pharmacologic class, or paradigm shifts in disease diagnosis or management.</w:t>
      </w:r>
    </w:p>
    <w:p>
      <w:pPr>
        <w:spacing w:after="0" w:line="74"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some indications for CAN-2409 and CAN-3110, or if received for any other future product candidates, may not lead to a faster development or regulatory review or approval process, and does not increase the likelihood that our product candidates will receive marketing approval for the designated indications.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valacyclovir for the treatment of patients with pancreatic ductal adenocarcinoma (PDAC) to improve overall survival. CAN-3110 was also granted Fast Track Designation for the treatment of patients with recurrent HGG to improve overall survival. We may also seek Fast Track Designation for certain of our future product candidates in specific indications, as appropriate. However, there is no assurance that the FDA will grant this status to our proposed product candidates. Marketing applications filed by sponsors of products with Fast Track Designation are eligible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additional indications for CAN-2409 and CAN-3110, we may not experience a faster development process, review or approval compared to conventional FDA procedures, and receiving a Fast Track Designation does not provide assurance of ultimate FDA approval. In addition, the FDA may withdraw Fast Track Designation at any time if it believes that the designation is no longer supported by data from our clinical development program. Drugs and biologics for indications designated as Fast Track therapies by the FDA may also be eligible for other expedited programs, including accelerated approval.</w:t>
      </w:r>
    </w:p>
    <w:p>
      <w:pPr>
        <w:spacing w:after="0" w:line="8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some indications of our product candidates, may not lead to a faster development or regulatory review or approval process and it does not increase the likelihood that our product candidates will receive marketing approval for the designated indications.</w:t>
      </w:r>
    </w:p>
    <w:p>
      <w:pPr>
        <w:spacing w:after="0" w:line="4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for indications designated as Breakthrough Therapies by the FDA may also be eligible for other expedited approval programs, including accelerated approval.</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Designation as a Breakthrough Therapy is within the discretion of the FDA, and the FDA has not granted Breakthrough Therapy Designation to any of our product candidates.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the FDA may withdraw Breakthrough Therapy Designation at any time if it believes that the designation is no longer supported by data from our clinical development program. In addition, even if one or more of our product candidate indications qualify as Breakthrough Therapies, the FDA may later decide that the product no longer meets the conditions for qualification.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6" w:name="page57"/>
    <w:bookmarkEnd w:id="56"/>
    <w:p>
      <w:pPr>
        <w:ind w:right="20"/>
        <w:spacing w:after="0" w:line="244" w:lineRule="auto"/>
        <w:rPr>
          <w:sz w:val="20"/>
          <w:szCs w:val="20"/>
          <w:color w:val="auto"/>
        </w:rPr>
      </w:pPr>
      <w:r>
        <w:rPr>
          <w:rFonts w:ascii="Arial" w:cs="Arial" w:eastAsia="Arial" w:hAnsi="Arial"/>
          <w:sz w:val="17"/>
          <w:szCs w:val="17"/>
          <w:b w:val="1"/>
          <w:bCs w:val="1"/>
          <w:i w:val="1"/>
          <w:iCs w:val="1"/>
          <w:color w:val="auto"/>
        </w:rPr>
        <w:t>We have received Orphan Drug Designation from the FDA and the EMA for CAN-2409 for the treatment of pancreatic cancer and for CAN-3110 for the treatment of recurrent HGG. We may seek Orphan Drug Designation from regulatory authorities in other jurisdictions for CAN-2409 and CAN-3110,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received Orphan Drug Designation from the FDA and the EMA for CAN-2409 for the treatment of pancreatic cancer and for CAN-3110 for the treatment of recurrent HGG. Even if CAN-2409 or CAN-3110 were to obtain orphan drug exclusivity for this use upon marketing approval by the FDA, the benefit of that exclusivity may be revoked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9"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b w:val="1"/>
          <w:bCs w:val="1"/>
          <w:i w:val="1"/>
          <w:iCs w:val="1"/>
          <w:color w:val="auto"/>
        </w:rPr>
        <w:t>*We have received Regenerative Medicine Advanced Therapy Designation from the FDA for CAN-2409 for the treatment of newly diagnosed localized prostate cancer in patients with intermediate-to-high-risk disease. This may not lead to a faster development or regulatory review or approval process, and does not increase the likelihood that CAN-2409, or any other product candidates that receive such designation, will receive marketing approval for the designated indications.</w:t>
      </w:r>
    </w:p>
    <w:p>
      <w:pPr>
        <w:spacing w:after="0" w:line="5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have received Regenerative Medicine Advanced Therapy (RMAT) Designation for CAN-2409 for the treatment of newly diagnosed localized prostate cancer in patients with intermediate-to-high-risk disease. We may also seek RMAT Designation for certain of our future product candidates in specific indications, as appropriate. However, there is no assurance that the FDA will grant this status to our proposed product candidates. The features of RMAT Designation include all of the features of Breakthrough Therapy Designation, including early interactions to discuss potential surrogate or intermediate endpoints. Marketing applications filed by sponsors of products with RMAT Designation may be eligible for accelerated approval, but RMAT Designation does not assure eligibility for accelerated approval, nor does it assure a faster development process or ultimate marketing approval by the FDA. The FDA has broad discretion whether or not to grant RMAT Designation, so even if we believe a particular product candidate is eligible for this designation, there can be no assurance that the FDA would decide to grant it. In addition, the FDA may withdraw RMAT Designation at any time if it believes the designation is no longer supported.</w:t>
      </w:r>
    </w:p>
    <w:p>
      <w:pPr>
        <w:spacing w:after="0" w:line="79"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83"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or if our ongoing or future interactions with the FDA or other regulatory authorities do not result in such agency’s agreement with our approach to seek approval for CAN-2409, CAN-3110 and future product candidates, we will not be able to commercialize such product candidates in the United States or in other jurisdictions. If significant delays in obtaining approval for and commercializing such product candidates occur in any jurisdictions, our business, financial condition, results of operations, stock price and prospects will be materially harmed. Even if CAN-2409, CAN-3110 and future product candidates are approved, they may:</w:t>
      </w:r>
    </w:p>
    <w:p>
      <w:pPr>
        <w:spacing w:after="0" w:line="73" w:lineRule="exact"/>
        <w:rPr>
          <w:sz w:val="20"/>
          <w:szCs w:val="20"/>
          <w:color w:val="auto"/>
        </w:rPr>
      </w:pPr>
    </w:p>
    <w:p>
      <w:pPr>
        <w:ind w:left="1020" w:right="120" w:hanging="503"/>
        <w:spacing w:after="0" w:line="266"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personnel, and substantial changes in leadership, personnel,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Disruptions at the FDA and other agencies, including substantial leadership, personnel, and policy changes, may also slow the time necessary for new product candidates to be reviewed and/or approved by necessary government agencies, which would adversely affect our business. For example, the U.S. federal government has shut down several times and certain regulatory agencies, such as the FDA and the SEC, have had to furlough critical FDA, SEC and other government employees and stop critical activities. If a prolonged government shutdown or substantial leadership, personnel, and policy changes occur,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8" w:name="page59"/>
    <w:bookmarkEnd w:id="58"/>
    <w:p>
      <w:pPr>
        <w:spacing w:after="0" w:line="238" w:lineRule="auto"/>
        <w:rPr>
          <w:sz w:val="20"/>
          <w:szCs w:val="20"/>
          <w:color w:val="auto"/>
        </w:rPr>
      </w:pPr>
      <w:r>
        <w:rPr>
          <w:rFonts w:ascii="Arial" w:cs="Arial" w:eastAsia="Arial" w:hAnsi="Arial"/>
          <w:sz w:val="17"/>
          <w:szCs w:val="17"/>
          <w:color w:val="auto"/>
        </w:rPr>
        <w:t>Without appropriate funding to federal agencies, our business operations related to our product development for the U.S. market could be impacted. Inadequate funding for the FDA, the SEC and other government agencies, including from government shutdowns, or other disruptions to these agencies’ operations, could hinder their ability to hire and retain key leadership and other personnel and otherwise prevent those agencies from performing normal business functions on which the operation of our business may rely, which could negatively impact our business. The Trump administration has issued executive orders and taken other measures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the SEC and other agencies.</w:t>
      </w:r>
    </w:p>
    <w:p>
      <w:pPr>
        <w:spacing w:after="0" w:line="74"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Trump administration also has sought to modify or revise the requirements and policies of the FDA and other regulatory agencies with jurisdiction over our product candidates, and these changes introduce uncertainty, which could present new challenges and/or opportunities as we navigate development of our product candidates. Any delay in obtaining, or our inability to obtain, applicable regulatory approvals would delay or prevent development and commercialization of our product candidates and could materially adversely impact our business and prospects.</w:t>
      </w:r>
    </w:p>
    <w:p>
      <w:pPr>
        <w:spacing w:after="0" w:line="69" w:lineRule="exact"/>
        <w:rPr>
          <w:sz w:val="20"/>
          <w:szCs w:val="20"/>
          <w:color w:val="auto"/>
        </w:rPr>
      </w:pPr>
    </w:p>
    <w:p>
      <w:pPr>
        <w:jc w:val="both"/>
        <w:ind w:right="14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 For certain commercial prescription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7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1020" w:right="620" w:hanging="503"/>
        <w:spacing w:after="0" w:line="266" w:lineRule="auto"/>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1020" w:right="920" w:hanging="503"/>
        <w:spacing w:after="0" w:line="266" w:lineRule="auto"/>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9" w:name="page60"/>
    <w:bookmarkEnd w:id="59"/>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0" w:name="page61"/>
    <w:bookmarkEnd w:id="60"/>
    <w:p>
      <w:pPr>
        <w:ind w:right="20"/>
        <w:spacing w:after="0" w:line="234"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authority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1" w:name="page62"/>
    <w:bookmarkEnd w:id="61"/>
    <w:p>
      <w:pPr>
        <w:ind w:right="20"/>
        <w:spacing w:after="0" w:line="239"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on healthcare laws and regulations that may impact our company, see “</w:t>
      </w:r>
      <w:r>
        <w:rPr>
          <w:rFonts w:ascii="Arial" w:cs="Arial" w:eastAsia="Arial" w:hAnsi="Arial"/>
          <w:sz w:val="17"/>
          <w:szCs w:val="17"/>
          <w:i w:val="1"/>
          <w:iCs w:val="1"/>
          <w:color w:val="auto"/>
        </w:rPr>
        <w:t>Business – Health Reform</w:t>
      </w:r>
      <w:r>
        <w:rPr>
          <w:rFonts w:ascii="Arial" w:cs="Arial" w:eastAsia="Arial" w:hAnsi="Arial"/>
          <w:sz w:val="17"/>
          <w:szCs w:val="17"/>
          <w:color w:val="auto"/>
        </w:rPr>
        <w:t>” in our Annual Report on Form 10-K for the year ended December 31, 2024.</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2" w:name="page63"/>
    <w:bookmarkEnd w:id="62"/>
    <w:p>
      <w:pPr>
        <w:ind w:right="120"/>
        <w:spacing w:after="0" w:line="235" w:lineRule="auto"/>
        <w:rPr>
          <w:sz w:val="20"/>
          <w:szCs w:val="20"/>
          <w:color w:val="auto"/>
        </w:rPr>
      </w:pPr>
      <w:r>
        <w:rPr>
          <w:rFonts w:ascii="Arial" w:cs="Arial" w:eastAsia="Arial" w:hAnsi="Arial"/>
          <w:sz w:val="17"/>
          <w:szCs w:val="17"/>
          <w:color w:val="auto"/>
        </w:rPr>
        <w:t>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7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(the OBBBA),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3" w:name="page64"/>
    <w:bookmarkEnd w:id="63"/>
    <w:p>
      <w:pPr>
        <w:ind w:left="1020" w:right="50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For more information on healthcare laws and regulations that may impact our company,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2024.</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any approved product would depend on a number of factors, including:</w:t>
      </w:r>
    </w:p>
    <w:p>
      <w:pPr>
        <w:spacing w:after="0" w:line="10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4" w:name="page65"/>
    <w:bookmarkEnd w:id="64"/>
    <w:p>
      <w:pPr>
        <w:ind w:right="6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 For more information on healthcare laws and regulations that may impact our company, see “</w:t>
      </w:r>
      <w:r>
        <w:rPr>
          <w:rFonts w:ascii="Arial" w:cs="Arial" w:eastAsia="Arial" w:hAnsi="Arial"/>
          <w:sz w:val="17"/>
          <w:szCs w:val="17"/>
          <w:i w:val="1"/>
          <w:iCs w:val="1"/>
          <w:color w:val="auto"/>
        </w:rPr>
        <w:t>Business – Other Healthcare Laws</w:t>
      </w:r>
      <w:r>
        <w:rPr>
          <w:rFonts w:ascii="Arial" w:cs="Arial" w:eastAsia="Arial" w:hAnsi="Arial"/>
          <w:sz w:val="17"/>
          <w:szCs w:val="17"/>
          <w:color w:val="auto"/>
        </w:rPr>
        <w:t xml:space="preserve"> </w:t>
      </w:r>
      <w:r>
        <w:rPr>
          <w:rFonts w:ascii="Arial" w:cs="Arial" w:eastAsia="Arial" w:hAnsi="Arial"/>
          <w:sz w:val="17"/>
          <w:szCs w:val="17"/>
          <w:i w:val="1"/>
          <w:iCs w:val="1"/>
          <w:color w:val="auto"/>
        </w:rPr>
        <w:t>and Compliance Requirements</w:t>
      </w:r>
      <w:r>
        <w:rPr>
          <w:rFonts w:ascii="Arial" w:cs="Arial" w:eastAsia="Arial" w:hAnsi="Arial"/>
          <w:sz w:val="17"/>
          <w:szCs w:val="17"/>
          <w:color w:val="auto"/>
        </w:rPr>
        <w:t>” in our Annual Report on Form 10-K for the year ended December 31, 2024.</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7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relying on a legal basis or condition for the processing of personal data, where required obtaining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5" w:name="page66"/>
    <w:bookmarkEnd w:id="65"/>
    <w:p>
      <w:pPr>
        <w:ind w:right="40"/>
        <w:spacing w:after="0" w:line="267" w:lineRule="auto"/>
        <w:rPr>
          <w:sz w:val="20"/>
          <w:szCs w:val="20"/>
          <w:color w:val="auto"/>
        </w:rPr>
      </w:pPr>
      <w:r>
        <w:rPr>
          <w:rFonts w:ascii="Arial" w:cs="Arial" w:eastAsia="Arial" w:hAnsi="Arial"/>
          <w:sz w:val="17"/>
          <w:szCs w:val="17"/>
          <w:color w:val="auto"/>
        </w:rPr>
        <w:t>overall risk exposure as we may no longer be able to take a unified approach across the EEA and the UK, and we will need to amend our processes and procedures to align with the new framework.</w:t>
      </w:r>
    </w:p>
    <w:p>
      <w:pPr>
        <w:spacing w:after="0" w:line="5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in the United States, federal and state governments are increasingly passing stringent privacy laws. At the federal level,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Regulators and legislators in the United States are also increasingly scrutinizing and restricting certain personal information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information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7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certain state laws govern privacy and security of personal information. For example, in California, the California Consumer Privacy Act (CCPA), which went into effect January 1, 2020, established a comprehensive privacy framework for covered businesses by creating an expanded definition of personal information, established new individual privacy rights for California consumers (as defined in the law) and placed increased privacy and security obligations on entities handling personal data of consumers or households, including by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While clinical trial data and information governed by HIPAA are currently exempt from f the CCPA, other personal information we process may be subject to the law and possible changes to the CCPA may broaden its scope. Additionally, , the California Privacy Rights Act (CPRA) was passed in November 2020 and as of January 1, 2023, has imposed additional obligations on companies covered by the legislation. The CPRA significantly modified the CCPA, including by expanding consumers’ rights with respect to certain sensitive personal information. The CPRA also created a new state agency that is vested with authority to implement and enforce the CCPA. The effects of the CCPA, as amended by the CPRA, may require us to modify our data collection or processing practices and policies and to incur substantial costs and expenses in an effort to comply with the legislation and decrease our potential exposure to regulatory enforcement and/or litigation.</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Similar laws have been passed and proposed in numerous other states.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State laws are changing rapidly and there are discussions in the U.S. Congress of new comprehensive federal data privacy laws to which we could become subject to, if enacted. All of these evolving compliance and operational requirements impose significant costs, such as costs related to organizational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6" w:name="page67"/>
    <w:bookmarkEnd w:id="66"/>
    <w:p>
      <w:pPr>
        <w:ind w:right="40"/>
        <w:spacing w:after="0" w:line="239" w:lineRule="auto"/>
        <w:rPr>
          <w:sz w:val="20"/>
          <w:szCs w:val="20"/>
          <w:color w:val="auto"/>
        </w:rPr>
      </w:pPr>
      <w:r>
        <w:rPr>
          <w:rFonts w:ascii="Arial" w:cs="Arial" w:eastAsia="Arial" w:hAnsi="Arial"/>
          <w:sz w:val="17"/>
          <w:szCs w:val="17"/>
          <w:color w:val="auto"/>
        </w:rPr>
        <w:t>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51"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may use and integrate artificial intelligence into our business processes. Use of this technology presents risks and challenges that could affect our business. If we enable or use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8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rapid evolution of artificial intelligence will require the application of significant resources to design, develop, test and maintain such systems to help ensure that artificial intelligence is implemented in accordance with applicable law and regulation and in a socially responsible manner and to minimize any real or perceived unintended harmful impacts. The use of certain artificial intelligence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Our vendors may in turn incorporate artificial intelligence tools into their offerings, and the providers of these artificial intelligence tools may not meet existing or</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sectPr>
      </w:pPr>
    </w:p>
    <w:bookmarkStart w:id="67" w:name="page68"/>
    <w:bookmarkEnd w:id="67"/>
    <w:p>
      <w:pPr>
        <w:spacing w:after="0" w:line="244" w:lineRule="auto"/>
        <w:rPr>
          <w:sz w:val="20"/>
          <w:szCs w:val="20"/>
          <w:color w:val="auto"/>
        </w:rPr>
      </w:pPr>
      <w:r>
        <w:rPr>
          <w:rFonts w:ascii="Arial" w:cs="Arial" w:eastAsia="Arial" w:hAnsi="Arial"/>
          <w:sz w:val="17"/>
          <w:szCs w:val="17"/>
          <w:color w:val="auto"/>
        </w:rPr>
        <w:t>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69"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certain of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72"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68" w:right="419" w:bottom="1440" w:gutter="0" w:footer="0" w:header="0"/>
        </w:sectPr>
      </w:pPr>
    </w:p>
    <w:bookmarkStart w:id="68" w:name="page69"/>
    <w:bookmarkEnd w:id="68"/>
    <w:p>
      <w:pPr>
        <w:ind w:right="20"/>
        <w:spacing w:after="0" w:line="237" w:lineRule="auto"/>
        <w:rPr>
          <w:sz w:val="20"/>
          <w:szCs w:val="20"/>
          <w:color w:val="auto"/>
        </w:rPr>
      </w:pPr>
      <w:r>
        <w:rPr>
          <w:rFonts w:ascii="Arial" w:cs="Arial" w:eastAsia="Arial" w:hAnsi="Arial"/>
          <w:sz w:val="17"/>
          <w:szCs w:val="17"/>
          <w:color w:val="auto"/>
        </w:rPr>
        <w:t>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6" w:lineRule="exact"/>
        <w:rPr>
          <w:sz w:val="20"/>
          <w:szCs w:val="20"/>
          <w:color w:val="auto"/>
        </w:rPr>
      </w:pPr>
    </w:p>
    <w:p>
      <w:pPr>
        <w:ind w:right="50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cybersecurity incidents or data breaches, which could result in a material disruption of our product candidates’ development programs.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data breach or cybersecurity incident were to result in a loss of or damage to our data or applications, or inappropriate disclosure of personal, confidential or proprietary information, we could incur liability and the further development of any of our product candidates could be delayed. Our contracts may not contain limitations of liability, and even where they do, there can be no assurance that limitations of liability in our contracts are sufficient to protect us from liabilities, damages, or claims related to our privacy and data security obligations. In addition, our liability and cyber insurance may not be sufficient in type or amount to cover us against claims related to cybersecurity incidents, cyber-attacks or other related liabilities, including data breaches.</w:t>
      </w:r>
    </w:p>
    <w:p>
      <w:pPr>
        <w:spacing w:after="0" w:line="73"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may also be carried out by employees or contractors unwittingly or acting with malicious intent. Cyber-attacks include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69" w:name="page70"/>
    <w:bookmarkEnd w:id="69"/>
    <w:p>
      <w:pPr>
        <w:ind w:right="20"/>
        <w:spacing w:after="0" w:line="236" w:lineRule="auto"/>
        <w:rPr>
          <w:sz w:val="20"/>
          <w:szCs w:val="20"/>
          <w:color w:val="auto"/>
        </w:rPr>
      </w:pPr>
      <w:r>
        <w:rPr>
          <w:rFonts w:ascii="Arial" w:cs="Arial" w:eastAsia="Arial" w:hAnsi="Arial"/>
          <w:sz w:val="17"/>
          <w:szCs w:val="17"/>
          <w:color w:val="auto"/>
        </w:rPr>
        <w:t>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breach or cybersecurity incident. Our business partners face similar risks, and any cybersecurity incident or data breach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a cyber attack is increased with employees working remotely. Remote work increases the risk we may be vulnerable to cybersecurity-related events such as phishing attacks and other security threats.</w:t>
      </w:r>
    </w:p>
    <w:p>
      <w:pPr>
        <w:spacing w:after="0" w:line="7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Like other companies in our industry, we, and our third party vendors, have experienced threats and cybersecurity incidents relating to our information technology systems and infrastructure. 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data breach, industrial espionage attacks or insider threat attacks which could result in financial, legal, business or reputational harm.</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a cybersecurity incident or data breach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required to notify relevant stakeholders (including affected individuals, investors and regulators). We could also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spacing w:after="0" w:line="76"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0" w:name="page71"/>
    <w:bookmarkEnd w:id="70"/>
    <w:p>
      <w:pPr>
        <w:ind w:right="40"/>
        <w:spacing w:after="0" w:line="244" w:lineRule="auto"/>
        <w:rPr>
          <w:sz w:val="20"/>
          <w:szCs w:val="20"/>
          <w:color w:val="auto"/>
        </w:rPr>
      </w:pPr>
      <w:r>
        <w:rPr>
          <w:rFonts w:ascii="Arial" w:cs="Arial" w:eastAsia="Arial" w:hAnsi="Arial"/>
          <w:sz w:val="17"/>
          <w:szCs w:val="17"/>
          <w:color w:val="auto"/>
        </w:rPr>
        <w:t>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9"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6"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1" w:name="page72"/>
    <w:bookmarkEnd w:id="71"/>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6"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4"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2" w:name="page73"/>
    <w:bookmarkEnd w:id="72"/>
    <w:p>
      <w:pPr>
        <w:ind w:right="80"/>
        <w:spacing w:after="0" w:line="241" w:lineRule="auto"/>
        <w:rPr>
          <w:sz w:val="20"/>
          <w:szCs w:val="20"/>
          <w:color w:val="auto"/>
        </w:rPr>
      </w:pPr>
      <w:r>
        <w:rPr>
          <w:rFonts w:ascii="Arial" w:cs="Arial" w:eastAsia="Arial" w:hAnsi="Arial"/>
          <w:sz w:val="17"/>
          <w:szCs w:val="17"/>
          <w:color w:val="auto"/>
        </w:rPr>
        <w:t>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w:t>
      </w:r>
      <w:r>
        <w:rPr>
          <w:rFonts w:ascii="Arial" w:cs="Arial" w:eastAsia="Arial" w:hAnsi="Arial"/>
          <w:sz w:val="17"/>
          <w:szCs w:val="17"/>
          <w:i w:val="1"/>
          <w:iCs w:val="1"/>
          <w:color w:val="auto"/>
        </w:rPr>
        <w:t>Business – Other Healthcare Laws and</w:t>
      </w:r>
      <w:r>
        <w:rPr>
          <w:rFonts w:ascii="Arial" w:cs="Arial" w:eastAsia="Arial" w:hAnsi="Arial"/>
          <w:sz w:val="17"/>
          <w:szCs w:val="17"/>
          <w:color w:val="auto"/>
        </w:rPr>
        <w:t xml:space="preserve"> </w:t>
      </w:r>
      <w:r>
        <w:rPr>
          <w:rFonts w:ascii="Arial" w:cs="Arial" w:eastAsia="Arial" w:hAnsi="Arial"/>
          <w:sz w:val="17"/>
          <w:szCs w:val="17"/>
          <w:i w:val="1"/>
          <w:iCs w:val="1"/>
          <w:color w:val="auto"/>
        </w:rPr>
        <w:t>Compliance Requirements</w:t>
      </w:r>
      <w:r>
        <w:rPr>
          <w:rFonts w:ascii="Arial" w:cs="Arial" w:eastAsia="Arial" w:hAnsi="Arial"/>
          <w:sz w:val="17"/>
          <w:szCs w:val="17"/>
          <w:color w:val="auto"/>
        </w:rPr>
        <w:t>” in our Annual Report on Form 10-K for the year ended December 31, 2024.</w:t>
      </w:r>
    </w:p>
    <w:p>
      <w:pPr>
        <w:spacing w:after="0" w:line="7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(the IRS) and the U.S. Treasury Department. For example, the OBBBA was signed into law on July 4, 2025 and made significant changes to U.S. federal tax law. Changes in tax law (which changes may have retroactive application) could adversely affect our business or financial condition. Any new taxes could adversely affect our business and financial performance.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Further, existing tax laws, statutes, rules, regulations or ordinances could be interpreted, changed, modified or applied adversely to us.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the Registered Direct Offering, the 2024 Follow-On Offering, the initial public offering (IPO), and other transactions that have occurred over the past three years, we may have experienced, an “ownership change.” We may also experience ownership changes in the future as a result of subsequent shifts in our stock ownership. As of December 31, 2024, we had U.S. federal and state net operating loss carryforwards of $111.6 million and $101.9 million, which begin to expire in 2028 and 2033, respectively, and which could be limited if we experience an “ownership change.”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2024, we had a U.S. federal net operating loss carryforward of $102.8 million which do not expire but is limited to an annual deduction equal to 80% of annual taxable income.</w:t>
      </w:r>
    </w:p>
    <w:p>
      <w:pPr>
        <w:spacing w:after="0" w:line="79"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2024.</w:t>
      </w:r>
    </w:p>
    <w:p>
      <w:pPr>
        <w:spacing w:after="0" w:line="7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4" w:name="page75"/>
    <w:bookmarkEnd w:id="74"/>
    <w:p>
      <w:pPr>
        <w:ind w:right="120"/>
        <w:spacing w:after="0" w:line="238" w:lineRule="auto"/>
        <w:rPr>
          <w:sz w:val="20"/>
          <w:szCs w:val="20"/>
          <w:color w:val="auto"/>
        </w:rPr>
      </w:pPr>
      <w:r>
        <w:rPr>
          <w:rFonts w:ascii="Arial" w:cs="Arial" w:eastAsia="Arial" w:hAnsi="Arial"/>
          <w:sz w:val="17"/>
          <w:szCs w:val="17"/>
          <w:color w:val="auto"/>
        </w:rPr>
        <w:t>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p>
    <w:p>
      <w:pPr>
        <w:spacing w:after="0" w:line="7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5" w:name="page76"/>
    <w:bookmarkEnd w:id="75"/>
    <w:p>
      <w:pPr>
        <w:ind w:right="100"/>
        <w:spacing w:after="0" w:line="267" w:lineRule="auto"/>
        <w:rPr>
          <w:sz w:val="20"/>
          <w:szCs w:val="20"/>
          <w:color w:val="auto"/>
        </w:rPr>
      </w:pPr>
      <w:r>
        <w:rPr>
          <w:rFonts w:ascii="Arial" w:cs="Arial" w:eastAsia="Arial" w:hAnsi="Arial"/>
          <w:sz w:val="17"/>
          <w:szCs w:val="17"/>
          <w:color w:val="auto"/>
        </w:rPr>
        <w:t>liabilities. We do not maintain insurance for environmental liability or toxic tort claims that may be asserted against us in connection with our storage or disposal of biological, hazardous or radioactive materials.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For certain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we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or will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on development and commercialization collaborators to develop and conduct clinical trials with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obtain regulatory approvals for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and if approved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market and sell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If such collaborators fail to perform as expected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the potential for us to generate future revenue from such product candidates would be significantly reduced and our business would be harmed</w:t>
      </w:r>
      <w:r>
        <w:rPr>
          <w:rFonts w:ascii="Arial" w:cs="Arial" w:eastAsia="Arial" w:hAnsi="Arial"/>
          <w:sz w:val="17"/>
          <w:szCs w:val="17"/>
          <w:i w:val="1"/>
          <w:iCs w:val="1"/>
          <w:color w:val="auto"/>
        </w:rPr>
        <w:t>.</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3"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6"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6" w:name="page77"/>
    <w:bookmarkEnd w:id="76"/>
    <w:p>
      <w:pPr>
        <w:ind w:right="20"/>
        <w:spacing w:after="0" w:line="238" w:lineRule="auto"/>
        <w:rPr>
          <w:sz w:val="20"/>
          <w:szCs w:val="20"/>
          <w:color w:val="auto"/>
        </w:rPr>
      </w:pPr>
      <w:r>
        <w:rPr>
          <w:rFonts w:ascii="Arial" w:cs="Arial" w:eastAsia="Arial" w:hAnsi="Arial"/>
          <w:sz w:val="17"/>
          <w:szCs w:val="17"/>
          <w:color w:val="auto"/>
        </w:rPr>
        <w:t>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r>
        <w:rPr>
          <w:rFonts w:ascii="Arial" w:cs="Arial" w:eastAsia="Arial" w:hAnsi="Arial"/>
          <w:sz w:val="17"/>
          <w:szCs w:val="17"/>
          <w:i w:val="1"/>
          <w:iCs w:val="1"/>
          <w:color w:val="auto"/>
        </w:rPr>
        <w:t>.</w:t>
      </w:r>
    </w:p>
    <w:p>
      <w:pPr>
        <w:spacing w:after="0" w:line="30"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6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Arial" w:cs="Arial" w:eastAsia="Arial" w:hAnsi="Arial"/>
          <w:sz w:val="17"/>
          <w:szCs w:val="17"/>
          <w:i w:val="1"/>
          <w:iCs w:val="1"/>
          <w:color w:val="auto"/>
        </w:rPr>
        <w:t>.</w:t>
      </w:r>
    </w:p>
    <w:p>
      <w:pPr>
        <w:spacing w:after="0" w:line="4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countries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7" w:name="page78"/>
    <w:bookmarkEnd w:id="77"/>
    <w:p>
      <w:pPr>
        <w:spacing w:after="0" w:line="239" w:lineRule="auto"/>
        <w:rPr>
          <w:sz w:val="20"/>
          <w:szCs w:val="20"/>
          <w:color w:val="auto"/>
        </w:rPr>
      </w:pPr>
      <w:r>
        <w:rPr>
          <w:rFonts w:ascii="Arial" w:cs="Arial" w:eastAsia="Arial" w:hAnsi="Arial"/>
          <w:sz w:val="17"/>
          <w:szCs w:val="17"/>
          <w:color w:val="auto"/>
        </w:rPr>
        <w:t>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78" w:name="page79"/>
    <w:bookmarkEnd w:id="78"/>
    <w:p>
      <w:pPr>
        <w:ind w:right="6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are also current geopolitical tensions with China that may affect our operations. For example, there have been Congressional legislative proposals (such as the previously considered bill titled the BIOSECURE Act) which would, among other things, prohibit U.S. federal funding in connection with biotechnology equipment or services produced or provided by “biotechnology companies of concern” and loans and grants to, and federal contracts with any entity that uses biotechnology equipment or services from one of these entities. Any additional executive action, legislative action or potential sanctions with China could materially impact one of our current partners, WuXi, and our agreement with them as it relates to our stability testing, or any agreement with other Chinese biotechnology companies. We continue to assess new legislation as it develops to determine the effect, if any, on our contractual relationships.</w:t>
      </w:r>
    </w:p>
    <w:p>
      <w:pPr>
        <w:spacing w:after="0" w:line="7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9" w:name="page80"/>
    <w:bookmarkEnd w:id="79"/>
    <w:p>
      <w:pPr>
        <w:ind w:right="2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72"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74"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In connection with the IPO, we adopted a written related-person transactions policy that sets forth our policies and procedures regarding the identification, review, consideration and oversight of related-person transactions.</w:t>
      </w:r>
    </w:p>
    <w:p>
      <w:pPr>
        <w:spacing w:after="0" w:line="5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which increases the possibility that a competitor will discover them or that our trade secrets will be misappropriated or disclosed</w:t>
      </w:r>
      <w:r>
        <w:rPr>
          <w:rFonts w:ascii="Arial" w:cs="Arial" w:eastAsia="Arial" w:hAnsi="Arial"/>
          <w:sz w:val="17"/>
          <w:szCs w:val="17"/>
          <w:i w:val="1"/>
          <w:iCs w:val="1"/>
          <w:color w:val="auto"/>
        </w:rPr>
        <w:t>.</w:t>
      </w:r>
    </w:p>
    <w:p>
      <w:pPr>
        <w:spacing w:after="0" w:line="3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0" w:name="page81"/>
    <w:bookmarkEnd w:id="80"/>
    <w:p>
      <w:pPr>
        <w:ind w:right="120"/>
        <w:spacing w:after="0" w:line="249" w:lineRule="auto"/>
        <w:rPr>
          <w:sz w:val="20"/>
          <w:szCs w:val="20"/>
          <w:color w:val="auto"/>
        </w:rPr>
      </w:pPr>
      <w:r>
        <w:rPr>
          <w:rFonts w:ascii="Arial" w:cs="Arial" w:eastAsia="Arial" w:hAnsi="Arial"/>
          <w:sz w:val="17"/>
          <w:szCs w:val="17"/>
          <w:color w:val="auto"/>
        </w:rPr>
        <w:t>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6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1" w:name="page82"/>
    <w:bookmarkEnd w:id="81"/>
    <w:p>
      <w:pPr>
        <w:ind w:right="120"/>
        <w:spacing w:after="0" w:line="241" w:lineRule="auto"/>
        <w:rPr>
          <w:sz w:val="20"/>
          <w:szCs w:val="20"/>
          <w:color w:val="auto"/>
        </w:rPr>
      </w:pPr>
      <w:r>
        <w:rPr>
          <w:rFonts w:ascii="Arial" w:cs="Arial" w:eastAsia="Arial" w:hAnsi="Arial"/>
          <w:sz w:val="17"/>
          <w:szCs w:val="17"/>
          <w:color w:val="auto"/>
        </w:rPr>
        <w:t>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2"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including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2" w:name="page83"/>
    <w:bookmarkEnd w:id="82"/>
    <w:p>
      <w:pPr>
        <w:ind w:right="380"/>
        <w:spacing w:after="0" w:line="267" w:lineRule="auto"/>
        <w:rPr>
          <w:sz w:val="20"/>
          <w:szCs w:val="20"/>
          <w:color w:val="auto"/>
        </w:rPr>
      </w:pPr>
      <w:r>
        <w:rPr>
          <w:rFonts w:ascii="Arial" w:cs="Arial" w:eastAsia="Arial" w:hAnsi="Arial"/>
          <w:sz w:val="17"/>
          <w:szCs w:val="17"/>
          <w:color w:val="auto"/>
        </w:rPr>
        <w:t>product candidates. Further, if we encounter delays in our clinical trials, the period of time during which we could market our product candidates under patent protection would be reduced.</w:t>
      </w:r>
    </w:p>
    <w:p>
      <w:pPr>
        <w:spacing w:after="0" w:line="1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For example, the United States Supreme Court has ruled on several recent patent cases, either narrowing the scope of patent protection available in certain circumstances or weakening the rights of patent owners in certain situations. While we do not believe that any of our patents will be found invalid based on these or other decisions, we cannot predict how future decisions by the courts, the U.S. Congress or the USPTO may impact the value of our patents. Furthermore, in 2022,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3" w:name="page84"/>
    <w:bookmarkEnd w:id="83"/>
    <w:p>
      <w:pPr>
        <w:ind w:right="80"/>
        <w:spacing w:after="0" w:line="244" w:lineRule="auto"/>
        <w:rPr>
          <w:sz w:val="20"/>
          <w:szCs w:val="20"/>
          <w:color w:val="auto"/>
        </w:rPr>
      </w:pPr>
      <w:r>
        <w:rPr>
          <w:rFonts w:ascii="Arial" w:cs="Arial" w:eastAsia="Arial" w:hAnsi="Arial"/>
          <w:sz w:val="17"/>
          <w:szCs w:val="17"/>
          <w:color w:val="auto"/>
        </w:rPr>
        <w:t>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6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4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4" w:name="page85"/>
    <w:bookmarkEnd w:id="84"/>
    <w:p>
      <w:pPr>
        <w:jc w:val="both"/>
        <w:ind w:left="1020" w:right="520" w:hanging="503"/>
        <w:spacing w:after="0" w:line="249"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4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5" w:name="page86"/>
    <w:bookmarkEnd w:id="85"/>
    <w:p>
      <w:pPr>
        <w:ind w:right="60"/>
        <w:spacing w:after="0" w:line="237" w:lineRule="auto"/>
        <w:rPr>
          <w:sz w:val="20"/>
          <w:szCs w:val="20"/>
          <w:color w:val="auto"/>
        </w:rPr>
      </w:pPr>
      <w:r>
        <w:rPr>
          <w:rFonts w:ascii="Arial" w:cs="Arial" w:eastAsia="Arial" w:hAnsi="Arial"/>
          <w:sz w:val="17"/>
          <w:szCs w:val="17"/>
          <w:color w:val="auto"/>
        </w:rPr>
        <w:t>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2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6" w:name="page87"/>
    <w:bookmarkEnd w:id="86"/>
    <w:p>
      <w:pPr>
        <w:ind w:right="4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0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7" w:name="page88"/>
    <w:bookmarkEnd w:id="87"/>
    <w:p>
      <w:pPr>
        <w:spacing w:after="0" w:line="239" w:lineRule="auto"/>
        <w:rPr>
          <w:sz w:val="20"/>
          <w:szCs w:val="20"/>
          <w:color w:val="auto"/>
        </w:rPr>
      </w:pPr>
      <w:r>
        <w:rPr>
          <w:rFonts w:ascii="Arial" w:cs="Arial" w:eastAsia="Arial" w:hAnsi="Arial"/>
          <w:sz w:val="17"/>
          <w:szCs w:val="17"/>
          <w:color w:val="auto"/>
        </w:rPr>
        <w:t>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7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4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8" w:name="page89"/>
    <w:bookmarkEnd w:id="88"/>
    <w:p>
      <w:pPr>
        <w:ind w:right="60"/>
        <w:spacing w:after="0" w:line="236" w:lineRule="auto"/>
        <w:rPr>
          <w:sz w:val="20"/>
          <w:szCs w:val="20"/>
          <w:color w:val="auto"/>
        </w:rPr>
      </w:pPr>
      <w:r>
        <w:rPr>
          <w:rFonts w:ascii="Arial" w:cs="Arial" w:eastAsia="Arial" w:hAnsi="Arial"/>
          <w:sz w:val="17"/>
          <w:szCs w:val="17"/>
          <w:color w:val="auto"/>
        </w:rPr>
        <w:t>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9"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9" w:name="page90"/>
    <w:bookmarkEnd w:id="89"/>
    <w:p>
      <w:pPr>
        <w:ind w:right="120"/>
        <w:spacing w:after="0" w:line="239" w:lineRule="auto"/>
        <w:rPr>
          <w:sz w:val="20"/>
          <w:szCs w:val="20"/>
          <w:color w:val="auto"/>
        </w:rPr>
      </w:pPr>
      <w:r>
        <w:rPr>
          <w:rFonts w:ascii="Arial" w:cs="Arial" w:eastAsia="Arial" w:hAnsi="Arial"/>
          <w:sz w:val="17"/>
          <w:szCs w:val="17"/>
          <w:color w:val="auto"/>
        </w:rPr>
        <w:t>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2045,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4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0" w:name="page91"/>
    <w:bookmarkEnd w:id="90"/>
    <w:p>
      <w:pPr>
        <w:ind w:right="14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2022 Shelf) pursuant to which we could issue up to $75.0 million in shares of common stock in sales deemed to be “at-the-market offerings” (the 2022 ATM Program) as defined by the Securities Act of 1933, as amended (Securities Act), and up to $200.0 million in shares of our common stock, preferred stock, debt securities, warrants and/or units. The 2022 Shelf expired on August 12, 2025. As of August 12, 2025, we had sold and issued 3,923,829 shares of common stock under the 2022 ATM Program, with total net proceeds of $20.9 million. In August 2025, we filed a registration statement on Form S-3 (the 2025</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91" w:name="page92"/>
    <w:bookmarkEnd w:id="91"/>
    <w:p>
      <w:pPr>
        <w:ind w:right="20"/>
        <w:spacing w:after="0" w:line="244" w:lineRule="auto"/>
        <w:rPr>
          <w:sz w:val="20"/>
          <w:szCs w:val="20"/>
          <w:color w:val="auto"/>
        </w:rPr>
      </w:pPr>
      <w:r>
        <w:rPr>
          <w:rFonts w:ascii="Arial" w:cs="Arial" w:eastAsia="Arial" w:hAnsi="Arial"/>
          <w:sz w:val="17"/>
          <w:szCs w:val="17"/>
          <w:color w:val="auto"/>
        </w:rPr>
        <w:t>Shelf) pursuant to which we may issue up to $50.0 million in shares of common stock in sales deemed to be “at-the-market offerings” (the 2025 ATM Program) as defined by the Securities Act, and up to $300.0 million in shares of our common stock, preferred stock, debt securities, warrants and/or units. As of November 5, 2025, we have not sold and issued any shares of common stock under the 2025 ATM Program. Any sale or issuance of securities pursuant to this registration statement or otherwise may result in dilution to our stockholders and may cause our stock price to decline.</w:t>
      </w:r>
    </w:p>
    <w:p>
      <w:pPr>
        <w:spacing w:after="0" w:line="6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60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our Annual Report on Form 10-K. In particular, we provided only two years of audited financial statements and a correspondingly reduced “Management’s Discussion and Analysis of Financial Condition and Results of Operations” disclosure, and did not include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2" w:name="page93"/>
    <w:bookmarkEnd w:id="92"/>
    <w:p>
      <w:pPr>
        <w:ind w:right="18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74"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93" w:name="page94"/>
    <w:bookmarkEnd w:id="93"/>
    <w:p>
      <w:pPr>
        <w:ind w:right="60"/>
        <w:spacing w:after="0" w:line="244" w:lineRule="auto"/>
        <w:rPr>
          <w:sz w:val="20"/>
          <w:szCs w:val="20"/>
          <w:color w:val="auto"/>
        </w:rPr>
      </w:pPr>
      <w:r>
        <w:rPr>
          <w:rFonts w:ascii="Arial" w:cs="Arial" w:eastAsia="Arial" w:hAnsi="Arial"/>
          <w:sz w:val="17"/>
          <w:szCs w:val="17"/>
          <w:color w:val="auto"/>
        </w:rPr>
        <w:t>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69"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November 5, 2025, we had a total of 54,898,303 shares of common stock outstanding.</w:t>
      </w:r>
    </w:p>
    <w:p>
      <w:pPr>
        <w:spacing w:after="0" w:line="5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25.7% of our outstanding common stock with entities and persons affiliated with PBM Capital Group, LLC (PBM Capital) beneficially owning approximately 17.7%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4"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4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4" w:name="page95"/>
    <w:bookmarkEnd w:id="94"/>
    <w:p>
      <w:pPr>
        <w:ind w:left="1020" w:right="260" w:hanging="503"/>
        <w:spacing w:after="0" w:line="249"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lose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these analysts cease to cover our stock, we could lose visibility in the market for our stock, which in turn could cause our stock price to decline.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68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6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 On October 14, 2025, we entered into an amendment to the terms of the Series B Warrants and the Conditional Series B Warrants which, among other things, extends the expiration date from November 2025 to September 2027. For more information, see “</w:t>
      </w:r>
      <w:r>
        <w:rPr>
          <w:rFonts w:ascii="Arial" w:cs="Arial" w:eastAsia="Arial" w:hAnsi="Arial"/>
          <w:sz w:val="17"/>
          <w:szCs w:val="17"/>
          <w:i w:val="1"/>
          <w:iCs w:val="1"/>
          <w:color w:val="auto"/>
        </w:rPr>
        <w:t>Components of Our Results of Operations</w:t>
      </w:r>
      <w:r>
        <w:rPr>
          <w:rFonts w:ascii="Arial" w:cs="Arial" w:eastAsia="Arial" w:hAnsi="Arial"/>
          <w:sz w:val="17"/>
          <w:szCs w:val="17"/>
          <w:color w:val="auto"/>
        </w:rPr>
        <w:t>” within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this Quarterly Report on Form 10-Q.</w:t>
      </w:r>
    </w:p>
    <w:p>
      <w:pPr>
        <w:spacing w:after="0" w:line="7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loss.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7160" w:firstLine="8"/>
        <w:spacing w:after="0" w:line="381" w:lineRule="auto"/>
        <w:tabs>
          <w:tab w:leader="none" w:pos="256"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Sales of Unregistered Equity Securities </w:t>
      </w:r>
      <w:r>
        <w:rPr>
          <w:rFonts w:ascii="Arial" w:cs="Arial" w:eastAsia="Arial" w:hAnsi="Arial"/>
          <w:sz w:val="17"/>
          <w:szCs w:val="17"/>
          <w:color w:val="auto"/>
        </w:rPr>
        <w:t>None.</w:t>
      </w:r>
    </w:p>
    <w:p>
      <w:pPr>
        <w:ind w:left="280" w:hanging="272"/>
        <w:spacing w:after="0"/>
        <w:tabs>
          <w:tab w:leader="none" w:pos="28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2" w:lineRule="exact"/>
        <w:rPr>
          <w:sz w:val="20"/>
          <w:szCs w:val="20"/>
          <w:color w:val="auto"/>
        </w:rPr>
      </w:pPr>
    </w:p>
    <w:p>
      <w:pPr>
        <w:ind w:right="7920" w:firstLine="8"/>
        <w:spacing w:after="0" w:line="391" w:lineRule="auto"/>
        <w:tabs>
          <w:tab w:leader="none" w:pos="25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0"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During the three months ended September 30, 2025, none of our directors or officers (as defined in Rule 16a-1(f) of the Securities Exchange Act of 1934, as amended) adopted, terminated or modified a Rule 10b5-1 trading arrangement or any “non-Rule 10b5-1 trading agreement” (as defined in Item 408(c) of Regulation S-K), except as set forth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 Number of</w:t>
            </w:r>
          </w:p>
        </w:tc>
      </w:t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Name and Position</w:t>
            </w:r>
          </w:p>
        </w:tc>
        <w:tc>
          <w:tcPr>
            <w:tcW w:w="120" w:type="dxa"/>
            <w:vAlign w:val="bottom"/>
          </w:tcPr>
          <w:p>
            <w:pPr>
              <w:spacing w:after="0"/>
              <w:rPr>
                <w:sz w:val="14"/>
                <w:szCs w:val="14"/>
                <w:color w:val="auto"/>
              </w:rPr>
            </w:pPr>
          </w:p>
        </w:tc>
        <w:tc>
          <w:tcPr>
            <w:tcW w:w="1960" w:type="dxa"/>
            <w:vAlign w:val="bottom"/>
          </w:tcPr>
          <w:p>
            <w:pPr>
              <w:ind w:left="540"/>
              <w:spacing w:after="0"/>
              <w:rPr>
                <w:sz w:val="20"/>
                <w:szCs w:val="20"/>
                <w:color w:val="auto"/>
              </w:rPr>
            </w:pPr>
            <w:r>
              <w:rPr>
                <w:rFonts w:ascii="Arial" w:cs="Arial" w:eastAsia="Arial" w:hAnsi="Arial"/>
                <w:sz w:val="14"/>
                <w:szCs w:val="14"/>
                <w:b w:val="1"/>
                <w:bCs w:val="1"/>
                <w:color w:val="auto"/>
              </w:rPr>
              <w:t>Type of Plan</w:t>
            </w:r>
          </w:p>
        </w:tc>
        <w:tc>
          <w:tcPr>
            <w:tcW w:w="12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Action Taken</w:t>
            </w:r>
          </w:p>
        </w:tc>
        <w:tc>
          <w:tcPr>
            <w:tcW w:w="120" w:type="dxa"/>
            <w:vAlign w:val="bottom"/>
          </w:tcPr>
          <w:p>
            <w:pPr>
              <w:spacing w:after="0"/>
              <w:rPr>
                <w:sz w:val="14"/>
                <w:szCs w:val="14"/>
                <w:color w:val="auto"/>
              </w:rPr>
            </w:pPr>
          </w:p>
        </w:tc>
        <w:tc>
          <w:tcPr>
            <w:tcW w:w="1780" w:type="dxa"/>
            <w:vAlign w:val="bottom"/>
          </w:tcPr>
          <w:p>
            <w:pPr>
              <w:ind w:left="420"/>
              <w:spacing w:after="0"/>
              <w:rPr>
                <w:sz w:val="20"/>
                <w:szCs w:val="20"/>
                <w:color w:val="auto"/>
              </w:rPr>
            </w:pPr>
            <w:r>
              <w:rPr>
                <w:rFonts w:ascii="Arial" w:cs="Arial" w:eastAsia="Arial" w:hAnsi="Arial"/>
                <w:sz w:val="14"/>
                <w:szCs w:val="14"/>
                <w:b w:val="1"/>
                <w:bCs w:val="1"/>
                <w:color w:val="auto"/>
              </w:rPr>
              <w:t>Date Adopted</w:t>
            </w:r>
          </w:p>
        </w:tc>
        <w:tc>
          <w:tcPr>
            <w:tcW w:w="10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Arial" w:cs="Arial" w:eastAsia="Arial" w:hAnsi="Arial"/>
                <w:sz w:val="14"/>
                <w:szCs w:val="14"/>
                <w:b w:val="1"/>
                <w:bCs w:val="1"/>
                <w:color w:val="auto"/>
              </w:rPr>
              <w:t>Date Terminated</w:t>
            </w: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Securities to Be Sold</w:t>
            </w:r>
          </w:p>
        </w:tc>
      </w:tr>
      <w:tr>
        <w:trPr>
          <w:trHeight w:val="177"/>
        </w:trPr>
        <w:tc>
          <w:tcPr>
            <w:tcW w:w="2620" w:type="dxa"/>
            <w:vAlign w:val="bottom"/>
            <w:tcBorders>
              <w:top w:val="single" w:sz="8" w:color="auto"/>
            </w:tcBorders>
            <w:shd w:val="clear" w:color="auto" w:fill="CFF0FC"/>
          </w:tcPr>
          <w:p>
            <w:pPr>
              <w:spacing w:after="0" w:line="177" w:lineRule="exact"/>
              <w:rPr>
                <w:sz w:val="20"/>
                <w:szCs w:val="20"/>
                <w:color w:val="auto"/>
              </w:rPr>
            </w:pPr>
            <w:r>
              <w:rPr>
                <w:rFonts w:ascii="Arial" w:cs="Arial" w:eastAsia="Arial" w:hAnsi="Arial"/>
                <w:sz w:val="18"/>
                <w:szCs w:val="18"/>
                <w:color w:val="auto"/>
              </w:rPr>
              <w:t>W. Garrett Nichols, M.D., M.S.</w:t>
            </w:r>
          </w:p>
        </w:tc>
        <w:tc>
          <w:tcPr>
            <w:tcW w:w="120" w:type="dxa"/>
            <w:vAlign w:val="bottom"/>
            <w:shd w:val="clear" w:color="auto" w:fill="CFF0FC"/>
          </w:tcPr>
          <w:p>
            <w:pPr>
              <w:spacing w:after="0"/>
              <w:rPr>
                <w:sz w:val="15"/>
                <w:szCs w:val="15"/>
                <w:color w:val="auto"/>
              </w:rPr>
            </w:pPr>
          </w:p>
        </w:tc>
        <w:tc>
          <w:tcPr>
            <w:tcW w:w="1960" w:type="dxa"/>
            <w:vAlign w:val="bottom"/>
            <w:tcBorders>
              <w:top w:val="single" w:sz="8" w:color="auto"/>
            </w:tcBorders>
            <w:shd w:val="clear" w:color="auto" w:fill="CFF0FC"/>
          </w:tcPr>
          <w:p>
            <w:pPr>
              <w:ind w:left="60"/>
              <w:spacing w:after="0" w:line="177" w:lineRule="exact"/>
              <w:rPr>
                <w:sz w:val="20"/>
                <w:szCs w:val="20"/>
                <w:color w:val="auto"/>
              </w:rPr>
            </w:pPr>
            <w:r>
              <w:rPr>
                <w:rFonts w:ascii="Arial" w:cs="Arial" w:eastAsia="Arial" w:hAnsi="Arial"/>
                <w:sz w:val="18"/>
                <w:szCs w:val="18"/>
                <w:color w:val="auto"/>
              </w:rPr>
              <w:t>Rule 10b5-1 trading</w:t>
            </w:r>
          </w:p>
        </w:tc>
        <w:tc>
          <w:tcPr>
            <w:tcW w:w="120" w:type="dxa"/>
            <w:vAlign w:val="bottom"/>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c>
          <w:tcPr>
            <w:tcW w:w="2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arrangement (1)</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Termination</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November 22, 2024</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August 15, 2025</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49,847</w:t>
            </w:r>
          </w:p>
        </w:tc>
        <w:tc>
          <w:tcPr>
            <w:tcW w:w="100" w:type="dxa"/>
            <w:vAlign w:val="bottom"/>
            <w:shd w:val="clear" w:color="auto" w:fill="CFF0FC"/>
          </w:tcPr>
          <w:p>
            <w:pPr>
              <w:spacing w:after="0"/>
              <w:rPr>
                <w:sz w:val="19"/>
                <w:szCs w:val="19"/>
                <w:color w:val="auto"/>
              </w:rPr>
            </w:pPr>
          </w:p>
        </w:tc>
      </w:tr>
    </w:tbl>
    <w:p>
      <w:pPr>
        <w:spacing w:after="0" w:line="59"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Intended to satisfy the affirmative defense conditions of Exchange Act Rule 10b5-1(c).</w:t>
      </w:r>
    </w:p>
    <w:p>
      <w:pPr>
        <w:spacing w:after="0" w:line="61" w:lineRule="exact"/>
        <w:rPr>
          <w:rFonts w:ascii="Arial" w:cs="Arial" w:eastAsia="Arial" w:hAnsi="Arial"/>
          <w:sz w:val="17"/>
          <w:szCs w:val="17"/>
          <w:color w:val="auto"/>
        </w:rPr>
      </w:pPr>
    </w:p>
    <w:p>
      <w:pPr>
        <w:ind w:right="440" w:firstLine="8"/>
        <w:spacing w:after="0" w:line="267" w:lineRule="auto"/>
        <w:tabs>
          <w:tab w:leader="none" w:pos="256"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of the date of termination of such Rule 10b5-1 trading arrangement, Dr. Nichols sold 47,034 shares of our common stock pursuant to the terms of such trading plan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gridSpan w:val="26"/>
          </w:tcPr>
          <w:p>
            <w:pPr>
              <w:ind w:left="2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60" w:type="dxa"/>
            <w:vAlign w:val="bottom"/>
          </w:tcPr>
          <w:p>
            <w:pPr>
              <w:jc w:val="center"/>
              <w:ind w:right="21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8"/>
                <w:szCs w:val="18"/>
                <w:color w:val="0000FF"/>
              </w:rPr>
            </w:pPr>
            <w:hyperlink r:id="rId280">
              <w:r>
                <w:rPr>
                  <w:rFonts w:ascii="Arial" w:cs="Arial" w:eastAsia="Arial" w:hAnsi="Arial"/>
                  <w:sz w:val="18"/>
                  <w:szCs w:val="18"/>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280">
              <w:r>
                <w:rPr>
                  <w:rFonts w:ascii="Arial" w:cs="Arial" w:eastAsia="Arial" w:hAnsi="Arial"/>
                  <w:sz w:val="18"/>
                  <w:szCs w:val="18"/>
                  <w:color w:val="0000FF"/>
                </w:rPr>
                <w:t>Registrant’s Current Report on Form 8-K filed with the SEC on July 30,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10"/>
              <w:spacing w:after="0" w:line="202" w:lineRule="exact"/>
              <w:rPr>
                <w:sz w:val="20"/>
                <w:szCs w:val="20"/>
                <w:color w:val="auto"/>
              </w:rPr>
            </w:pPr>
            <w:r>
              <w:rPr>
                <w:rFonts w:ascii="Arial" w:cs="Arial" w:eastAsia="Arial" w:hAnsi="Arial"/>
                <w:sz w:val="18"/>
                <w:szCs w:val="18"/>
                <w:color w:val="auto"/>
              </w:rPr>
              <w:t>3.2</w:t>
            </w: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960" w:type="dxa"/>
            <w:vAlign w:val="bottom"/>
            <w:gridSpan w:val="20"/>
            <w:vMerge w:val="restart"/>
          </w:tcPr>
          <w:p>
            <w:pPr>
              <w:spacing w:after="0" w:line="202" w:lineRule="exact"/>
              <w:rPr>
                <w:rFonts w:ascii="Arial" w:cs="Arial" w:eastAsia="Arial" w:hAnsi="Arial"/>
                <w:sz w:val="18"/>
                <w:szCs w:val="18"/>
                <w:color w:val="0000FF"/>
              </w:rPr>
            </w:pPr>
            <w:hyperlink r:id="rId281">
              <w:r>
                <w:rPr>
                  <w:rFonts w:ascii="Arial" w:cs="Arial" w:eastAsia="Arial" w:hAnsi="Arial"/>
                  <w:sz w:val="18"/>
                  <w:szCs w:val="18"/>
                  <w:color w:val="0000FF"/>
                </w:rPr>
                <w:t>reference to Exhibit 3.2 to the Registrant’s</w:t>
              </w:r>
            </w:hyperlink>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160" w:type="dxa"/>
            <w:vAlign w:val="bottom"/>
            <w:gridSpan w:val="9"/>
          </w:tcPr>
          <w:p>
            <w:pPr>
              <w:spacing w:after="0" w:line="182" w:lineRule="exact"/>
              <w:rPr>
                <w:rFonts w:ascii="Arial" w:cs="Arial" w:eastAsia="Arial" w:hAnsi="Arial"/>
                <w:sz w:val="18"/>
                <w:szCs w:val="18"/>
                <w:color w:val="0000FF"/>
                <w:w w:val="99"/>
              </w:rPr>
            </w:pPr>
            <w:hyperlink r:id="rId281">
              <w:r>
                <w:rPr>
                  <w:rFonts w:ascii="Arial" w:cs="Arial" w:eastAsia="Arial" w:hAnsi="Arial"/>
                  <w:sz w:val="18"/>
                  <w:szCs w:val="18"/>
                  <w:color w:val="0000FF"/>
                  <w:w w:val="99"/>
                </w:rPr>
                <w:t>Amended and Restated Bylaws of Candel Therapeutics, Inc. (incorporated by</w:t>
              </w:r>
            </w:hyperlink>
          </w:p>
        </w:tc>
        <w:tc>
          <w:tcPr>
            <w:tcW w:w="20" w:type="dxa"/>
            <w:vAlign w:val="bottom"/>
            <w:vMerge w:val="continue"/>
          </w:tcPr>
          <w:p>
            <w:pPr>
              <w:spacing w:after="0"/>
              <w:rPr>
                <w:sz w:val="15"/>
                <w:szCs w:val="15"/>
                <w:color w:val="auto"/>
              </w:rPr>
            </w:pPr>
          </w:p>
        </w:tc>
        <w:tc>
          <w:tcPr>
            <w:tcW w:w="396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5"/>
                <w:szCs w:val="15"/>
                <w:color w:val="auto"/>
              </w:rPr>
            </w:pPr>
          </w:p>
        </w:tc>
        <w:tc>
          <w:tcPr>
            <w:tcW w:w="95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Current Report on Form 8-K filed with the SEC on July 30,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0"/>
          </w:tcPr>
          <w:p>
            <w:pPr>
              <w:spacing w:after="0" w:line="196" w:lineRule="exact"/>
              <w:rPr>
                <w:rFonts w:ascii="Arial" w:cs="Arial" w:eastAsia="Arial" w:hAnsi="Arial"/>
                <w:sz w:val="18"/>
                <w:szCs w:val="18"/>
                <w:color w:val="0000FF"/>
              </w:rPr>
            </w:pPr>
            <w:hyperlink r:id="rId282">
              <w:r>
                <w:rPr>
                  <w:rFonts w:ascii="Arial" w:cs="Arial" w:eastAsia="Arial" w:hAnsi="Arial"/>
                  <w:sz w:val="18"/>
                  <w:szCs w:val="18"/>
                  <w:color w:val="0000FF"/>
                </w:rPr>
                <w:t>Amendment to Amended and Restated Bylaws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282">
              <w:r>
                <w:rPr>
                  <w:rFonts w:ascii="Arial" w:cs="Arial" w:eastAsia="Arial" w:hAnsi="Arial"/>
                  <w:sz w:val="18"/>
                  <w:szCs w:val="18"/>
                  <w:color w:val="0000FF"/>
                  <w:w w:val="99"/>
                </w:rPr>
                <w:t>Registrant's Current Report on Form 8-K filed with the SEC on May 30, 2024).</w:t>
              </w:r>
            </w:hyperlink>
          </w:p>
        </w:tc>
        <w:tc>
          <w:tcPr>
            <w:tcW w:w="362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jc w:val="center"/>
              <w:ind w:right="210"/>
              <w:spacing w:after="0" w:line="18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6180" w:type="dxa"/>
            <w:vAlign w:val="bottom"/>
            <w:gridSpan w:val="10"/>
          </w:tcPr>
          <w:p>
            <w:pPr>
              <w:spacing w:after="0" w:line="182" w:lineRule="exact"/>
              <w:rPr>
                <w:rFonts w:ascii="Arial" w:cs="Arial" w:eastAsia="Arial" w:hAnsi="Arial"/>
                <w:sz w:val="18"/>
                <w:szCs w:val="18"/>
                <w:color w:val="0000FF"/>
                <w:w w:val="99"/>
              </w:rPr>
            </w:pPr>
            <w:hyperlink r:id="rId283">
              <w:r>
                <w:rPr>
                  <w:rFonts w:ascii="Arial" w:cs="Arial" w:eastAsia="Arial" w:hAnsi="Arial"/>
                  <w:sz w:val="18"/>
                  <w:szCs w:val="18"/>
                  <w:color w:val="0000FF"/>
                  <w:w w:val="99"/>
                </w:rPr>
                <w:t>Specimen Common Stock Certificate (incorporated by reference to Exhibit 4.1</w:t>
              </w:r>
            </w:hyperlink>
          </w:p>
        </w:tc>
        <w:tc>
          <w:tcPr>
            <w:tcW w:w="40" w:type="dxa"/>
            <w:vAlign w:val="bottom"/>
          </w:tcPr>
          <w:p>
            <w:pPr>
              <w:spacing w:after="0"/>
              <w:rPr>
                <w:sz w:val="15"/>
                <w:szCs w:val="15"/>
                <w:color w:val="auto"/>
              </w:rPr>
            </w:pPr>
          </w:p>
        </w:tc>
        <w:tc>
          <w:tcPr>
            <w:tcW w:w="3920" w:type="dxa"/>
            <w:vAlign w:val="bottom"/>
            <w:gridSpan w:val="19"/>
          </w:tcPr>
          <w:p>
            <w:pPr>
              <w:jc w:val="right"/>
              <w:ind w:right="340"/>
              <w:spacing w:after="0" w:line="182" w:lineRule="exact"/>
              <w:rPr>
                <w:rFonts w:ascii="Arial" w:cs="Arial" w:eastAsia="Arial" w:hAnsi="Arial"/>
                <w:sz w:val="18"/>
                <w:szCs w:val="18"/>
                <w:color w:val="0000FF"/>
                <w:w w:val="99"/>
              </w:rPr>
            </w:pPr>
            <w:hyperlink r:id="rId283">
              <w:r>
                <w:rPr>
                  <w:rFonts w:ascii="Arial" w:cs="Arial" w:eastAsia="Arial" w:hAnsi="Arial"/>
                  <w:sz w:val="18"/>
                  <w:szCs w:val="18"/>
                  <w:color w:val="0000FF"/>
                  <w:w w:val="99"/>
                </w:rPr>
                <w:t>to the Registrant’s Registration Statement 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5"/>
                <w:szCs w:val="15"/>
                <w:color w:val="auto"/>
              </w:rPr>
            </w:pPr>
          </w:p>
        </w:tc>
        <w:tc>
          <w:tcPr>
            <w:tcW w:w="986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Form S-1/A (File No. 333- 257444) filed with the SEC on July 16,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0"/>
          </w:tcPr>
          <w:p>
            <w:pPr>
              <w:spacing w:after="0" w:line="196" w:lineRule="exact"/>
              <w:rPr>
                <w:rFonts w:ascii="Arial" w:cs="Arial" w:eastAsia="Arial" w:hAnsi="Arial"/>
                <w:sz w:val="18"/>
                <w:szCs w:val="18"/>
                <w:color w:val="0000FF"/>
              </w:rPr>
            </w:pPr>
            <w:hyperlink r:id="rId284">
              <w:r>
                <w:rPr>
                  <w:rFonts w:ascii="Arial" w:cs="Arial" w:eastAsia="Arial" w:hAnsi="Arial"/>
                  <w:sz w:val="18"/>
                  <w:szCs w:val="18"/>
                  <w:color w:val="0000FF"/>
                </w:rPr>
                <w:t>Form of Lender Warrant (incorporated by reference to Exhibit 4.1 to the Registrant’s Current Report on Form 8-K filed with the</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5"/>
                <w:szCs w:val="15"/>
                <w:color w:val="auto"/>
              </w:rPr>
            </w:pPr>
          </w:p>
        </w:tc>
        <w:tc>
          <w:tcPr>
            <w:tcW w:w="1004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SEC on October 14, 2025).</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7980" w:type="dxa"/>
            <w:vAlign w:val="bottom"/>
            <w:gridSpan w:val="28"/>
            <w:vMerge w:val="restart"/>
          </w:tcPr>
          <w:p>
            <w:pPr>
              <w:jc w:val="right"/>
              <w:ind w:right="340"/>
              <w:spacing w:after="0" w:line="202" w:lineRule="exact"/>
              <w:rPr>
                <w:rFonts w:ascii="Arial" w:cs="Arial" w:eastAsia="Arial" w:hAnsi="Arial"/>
                <w:sz w:val="18"/>
                <w:szCs w:val="18"/>
                <w:color w:val="0000FF"/>
                <w:w w:val="97"/>
              </w:rPr>
            </w:pPr>
            <w:hyperlink r:id="rId285">
              <w:r>
                <w:rPr>
                  <w:rFonts w:ascii="Arial" w:cs="Arial" w:eastAsia="Arial" w:hAnsi="Arial"/>
                  <w:sz w:val="18"/>
                  <w:szCs w:val="18"/>
                  <w:color w:val="0000FF"/>
                  <w:w w:val="97"/>
                </w:rPr>
                <w:t>Unconditional Warrant to Purchase Common Stock (incorporated by reference to Exhibit 4.3 to the</w:t>
              </w:r>
            </w:hyperlink>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Form of November 2018</w:t>
              </w:r>
            </w:hyperlink>
          </w:p>
        </w:tc>
        <w:tc>
          <w:tcPr>
            <w:tcW w:w="7980" w:type="dxa"/>
            <w:vAlign w:val="bottom"/>
            <w:gridSpan w:val="2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Registrant’s Registration Statement on Form S-1/A (File No. 333- 257444) filed with the SEC on July 16, 2021).</w:t>
              </w:r>
            </w:hyperlink>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10"/>
              <w:spacing w:after="0" w:line="202" w:lineRule="exact"/>
              <w:rPr>
                <w:sz w:val="20"/>
                <w:szCs w:val="20"/>
                <w:color w:val="auto"/>
              </w:rPr>
            </w:pPr>
            <w:r>
              <w:rPr>
                <w:rFonts w:ascii="Arial" w:cs="Arial" w:eastAsia="Arial" w:hAnsi="Arial"/>
                <w:sz w:val="18"/>
                <w:szCs w:val="18"/>
                <w:color w:val="auto"/>
              </w:rPr>
              <w:t>4.4</w:t>
            </w: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00" w:type="dxa"/>
            <w:vAlign w:val="bottom"/>
            <w:gridSpan w:val="17"/>
            <w:vMerge w:val="restart"/>
          </w:tcPr>
          <w:p>
            <w:pPr>
              <w:jc w:val="right"/>
              <w:ind w:right="540"/>
              <w:spacing w:after="0" w:line="202" w:lineRule="exact"/>
              <w:rPr>
                <w:rFonts w:ascii="Arial" w:cs="Arial" w:eastAsia="Arial" w:hAnsi="Arial"/>
                <w:sz w:val="18"/>
                <w:szCs w:val="18"/>
                <w:color w:val="0000FF"/>
                <w:w w:val="98"/>
              </w:rPr>
            </w:pPr>
            <w:hyperlink r:id="rId286">
              <w:r>
                <w:rPr>
                  <w:rFonts w:ascii="Arial" w:cs="Arial" w:eastAsia="Arial" w:hAnsi="Arial"/>
                  <w:sz w:val="18"/>
                  <w:szCs w:val="18"/>
                  <w:color w:val="0000FF"/>
                  <w:w w:val="98"/>
                </w:rPr>
                <w:t>4.4 to the</w:t>
              </w:r>
            </w:hyperlink>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20" w:type="dxa"/>
            <w:vAlign w:val="bottom"/>
            <w:gridSpan w:val="12"/>
          </w:tcPr>
          <w:p>
            <w:pPr>
              <w:spacing w:after="0" w:line="182" w:lineRule="exact"/>
              <w:rPr>
                <w:rFonts w:ascii="Arial" w:cs="Arial" w:eastAsia="Arial" w:hAnsi="Arial"/>
                <w:sz w:val="18"/>
                <w:szCs w:val="18"/>
                <w:color w:val="0000FF"/>
                <w:w w:val="99"/>
              </w:rPr>
            </w:pPr>
            <w:hyperlink r:id="rId286">
              <w:r>
                <w:rPr>
                  <w:rFonts w:ascii="Arial" w:cs="Arial" w:eastAsia="Arial" w:hAnsi="Arial"/>
                  <w:sz w:val="18"/>
                  <w:szCs w:val="18"/>
                  <w:color w:val="0000FF"/>
                  <w:w w:val="99"/>
                </w:rPr>
                <w:t>Form of November 2018 Conditional Warrant to Purchase Common Stock (incorporated by reference to Exhibit</w:t>
              </w:r>
            </w:hyperlink>
          </w:p>
        </w:tc>
        <w:tc>
          <w:tcPr>
            <w:tcW w:w="20" w:type="dxa"/>
            <w:vAlign w:val="bottom"/>
            <w:vMerge w:val="continue"/>
          </w:tcPr>
          <w:p>
            <w:pPr>
              <w:spacing w:after="0"/>
              <w:rPr>
                <w:sz w:val="15"/>
                <w:szCs w:val="15"/>
                <w:color w:val="auto"/>
              </w:rPr>
            </w:pPr>
          </w:p>
        </w:tc>
        <w:tc>
          <w:tcPr>
            <w:tcW w:w="130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96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Registrant’s Registration Statement on Form S-1/A (File No. 333- 257444) filed with the SEC on July 16,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17"/>
            <w:vMerge w:val="restart"/>
          </w:tcPr>
          <w:p>
            <w:pPr>
              <w:spacing w:after="0" w:line="202" w:lineRule="exact"/>
              <w:rPr>
                <w:rFonts w:ascii="Arial" w:cs="Arial" w:eastAsia="Arial" w:hAnsi="Arial"/>
                <w:sz w:val="18"/>
                <w:szCs w:val="18"/>
                <w:color w:val="0000FF"/>
              </w:rPr>
            </w:pPr>
            <w:hyperlink r:id="rId287">
              <w:r>
                <w:rPr>
                  <w:rFonts w:ascii="Arial" w:cs="Arial" w:eastAsia="Arial" w:hAnsi="Arial"/>
                  <w:sz w:val="18"/>
                  <w:szCs w:val="18"/>
                  <w:color w:val="0000FF"/>
                </w:rPr>
                <w:t>Kendrick DE,</w:t>
              </w:r>
            </w:hyperlink>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40" w:type="dxa"/>
            <w:vAlign w:val="bottom"/>
            <w:gridSpan w:val="13"/>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First Amendment to Lease of Premises at 117 Kendrick Street, Needham, Massachusetts by and between 117</w:t>
              </w:r>
            </w:hyperlink>
          </w:p>
        </w:tc>
        <w:tc>
          <w:tcPr>
            <w:tcW w:w="130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2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LLC and the Registrant dated as of August 18, 2025 (incorporated by reference to Exhibit 10.1 to the Registrant’s Current</w:t>
              </w:r>
            </w:hyperlink>
          </w:p>
        </w:tc>
        <w:tc>
          <w:tcPr>
            <w:tcW w:w="10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0" w:type="dxa"/>
            <w:vAlign w:val="bottom"/>
            <w:tcBorders>
              <w:top w:val="single" w:sz="8" w:color="0000FF"/>
              <w:bottom w:val="single" w:sz="8" w:color="0000EE"/>
            </w:tcBorders>
            <w:gridSpan w:val="5"/>
          </w:tcPr>
          <w:p>
            <w:pPr>
              <w:spacing w:after="0" w:line="182" w:lineRule="exact"/>
              <w:rPr>
                <w:rFonts w:ascii="Arial" w:cs="Arial" w:eastAsia="Arial" w:hAnsi="Arial"/>
                <w:sz w:val="18"/>
                <w:szCs w:val="18"/>
                <w:color w:val="0000FF"/>
                <w:w w:val="99"/>
              </w:rPr>
            </w:pPr>
            <w:hyperlink r:id="rId287">
              <w:r>
                <w:rPr>
                  <w:rFonts w:ascii="Arial" w:cs="Arial" w:eastAsia="Arial" w:hAnsi="Arial"/>
                  <w:sz w:val="18"/>
                  <w:szCs w:val="18"/>
                  <w:color w:val="0000FF"/>
                  <w:w w:val="99"/>
                </w:rPr>
                <w:t>Report on Form 8-K filed with the SEC on August 21, 2025).</w:t>
              </w:r>
            </w:hyperlink>
          </w:p>
        </w:tc>
        <w:tc>
          <w:tcPr>
            <w:tcW w:w="490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jc w:val="center"/>
              <w:ind w:right="210"/>
              <w:spacing w:after="0" w:line="182"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5"/>
                <w:szCs w:val="15"/>
                <w:color w:val="auto"/>
              </w:rPr>
            </w:pPr>
          </w:p>
        </w:tc>
        <w:tc>
          <w:tcPr>
            <w:tcW w:w="4800" w:type="dxa"/>
            <w:vAlign w:val="bottom"/>
            <w:gridSpan w:val="5"/>
          </w:tcPr>
          <w:p>
            <w:pPr>
              <w:spacing w:after="0" w:line="182" w:lineRule="exact"/>
              <w:rPr>
                <w:rFonts w:ascii="Arial" w:cs="Arial" w:eastAsia="Arial" w:hAnsi="Arial"/>
                <w:sz w:val="18"/>
                <w:szCs w:val="18"/>
                <w:color w:val="0000FF"/>
                <w:w w:val="98"/>
              </w:rPr>
            </w:pPr>
            <w:hyperlink r:id="rId288">
              <w:r>
                <w:rPr>
                  <w:rFonts w:ascii="Arial" w:cs="Arial" w:eastAsia="Arial" w:hAnsi="Arial"/>
                  <w:sz w:val="18"/>
                  <w:szCs w:val="18"/>
                  <w:color w:val="0000FF"/>
                  <w:w w:val="98"/>
                </w:rPr>
                <w:t>Loan and Security Agreement, by and among the Registrant,</w:t>
              </w:r>
            </w:hyperlink>
          </w:p>
        </w:tc>
        <w:tc>
          <w:tcPr>
            <w:tcW w:w="5340" w:type="dxa"/>
            <w:vAlign w:val="bottom"/>
            <w:gridSpan w:val="25"/>
          </w:tcPr>
          <w:p>
            <w:pPr>
              <w:jc w:val="right"/>
              <w:ind w:right="540"/>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Trinity Capital Inc. and the other parties thereto, dated as of</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October 14, 2025 (incorporated by reference to Exhibit 10.1 to the Registrant’s Current Report on Form 8-K filed with the</w:t>
              </w:r>
            </w:hyperlink>
          </w:p>
        </w:tc>
        <w:tc>
          <w:tcPr>
            <w:tcW w:w="460" w:type="dxa"/>
            <w:vAlign w:val="bottom"/>
            <w:gridSpan w:val="12"/>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SEC</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5"/>
                <w:szCs w:val="15"/>
                <w:color w:val="auto"/>
              </w:rPr>
            </w:pPr>
          </w:p>
        </w:tc>
        <w:tc>
          <w:tcPr>
            <w:tcW w:w="100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on October 14, 2025).</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40" w:type="dxa"/>
            <w:vAlign w:val="bottom"/>
            <w:gridSpan w:val="30"/>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Form of Omnibus Amendment, Release and Waiver to Warrants to Purchase Common Stock, by and among the Registrant</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and the other parties thereto, dated as of October 14, 2025 (incorporated by reference to Exhibit 10.2 to the Registrant’s</w:t>
              </w:r>
            </w:hyperlink>
          </w:p>
        </w:tc>
        <w:tc>
          <w:tcPr>
            <w:tcW w:w="3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95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Current Report on Form 8-K filed with the SEC on October 14, 2025).</w:t>
              </w:r>
            </w:hyperlink>
          </w:p>
        </w:tc>
        <w:tc>
          <w:tcPr>
            <w:tcW w:w="8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tcBorders>
              <w:right w:val="single" w:sz="8" w:color="0000EE"/>
            </w:tcBorders>
            <w:gridSpan w:val="3"/>
            <w:shd w:val="clear" w:color="auto" w:fill="0000FF"/>
          </w:tcPr>
          <w:p>
            <w:pPr>
              <w:spacing w:after="0" w:line="20" w:lineRule="exact"/>
              <w:rPr>
                <w:sz w:val="1"/>
                <w:szCs w:val="1"/>
                <w:color w:val="auto"/>
              </w:rPr>
            </w:pPr>
          </w:p>
        </w:tc>
        <w:tc>
          <w:tcPr>
            <w:tcW w:w="4640" w:type="dxa"/>
            <w:vAlign w:val="bottom"/>
            <w:gridSpan w:val="23"/>
            <w:vMerge w:val="restart"/>
          </w:tcPr>
          <w:p>
            <w:pPr>
              <w:jc w:val="right"/>
              <w:ind w:right="360"/>
              <w:spacing w:after="0" w:line="202" w:lineRule="exact"/>
              <w:rPr>
                <w:sz w:val="20"/>
                <w:szCs w:val="20"/>
                <w:color w:val="auto"/>
              </w:rPr>
            </w:pPr>
            <w:r>
              <w:rPr>
                <w:rFonts w:ascii="Arial" w:cs="Arial" w:eastAsia="Arial" w:hAnsi="Arial"/>
                <w:sz w:val="18"/>
                <w:szCs w:val="18"/>
                <w:color w:val="0000FF"/>
              </w:rPr>
              <w:t>and 15d-14(a) under the Securities Exchange Act of</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500" w:type="dxa"/>
            <w:vAlign w:val="bottom"/>
            <w:gridSpan w:val="7"/>
          </w:tcPr>
          <w:p>
            <w:pPr>
              <w:spacing w:after="0" w:line="182" w:lineRule="exact"/>
              <w:rPr>
                <w:sz w:val="20"/>
                <w:szCs w:val="20"/>
                <w:color w:val="auto"/>
              </w:rPr>
            </w:pPr>
            <w:r>
              <w:rPr>
                <w:rFonts w:ascii="Arial" w:cs="Arial" w:eastAsia="Arial" w:hAnsi="Arial"/>
                <w:sz w:val="18"/>
                <w:szCs w:val="18"/>
                <w:color w:val="0000FF"/>
                <w:w w:val="97"/>
              </w:rPr>
              <w:t>Certification of Principal Executive Officer Pursuant to Rules 13a-14(a)</w:t>
            </w:r>
          </w:p>
        </w:tc>
        <w:tc>
          <w:tcPr>
            <w:tcW w:w="464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98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3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7"/>
            <w:shd w:val="clear" w:color="auto" w:fill="0000FF"/>
          </w:tcPr>
          <w:p>
            <w:pPr>
              <w:spacing w:after="0" w:line="20" w:lineRule="exact"/>
              <w:rPr>
                <w:sz w:val="1"/>
                <w:szCs w:val="1"/>
                <w:color w:val="auto"/>
              </w:rPr>
            </w:pPr>
          </w:p>
        </w:tc>
        <w:tc>
          <w:tcPr>
            <w:tcW w:w="3920" w:type="dxa"/>
            <w:vAlign w:val="bottom"/>
            <w:gridSpan w:val="19"/>
            <w:vMerge w:val="restart"/>
          </w:tcPr>
          <w:p>
            <w:pPr>
              <w:jc w:val="center"/>
              <w:ind w:right="420"/>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gridSpan w:val="11"/>
          </w:tcPr>
          <w:p>
            <w:pPr>
              <w:spacing w:after="0" w:line="182" w:lineRule="exact"/>
              <w:rPr>
                <w:sz w:val="20"/>
                <w:szCs w:val="20"/>
                <w:color w:val="auto"/>
              </w:rPr>
            </w:pPr>
            <w:r>
              <w:rPr>
                <w:rFonts w:ascii="Arial" w:cs="Arial" w:eastAsia="Arial" w:hAnsi="Arial"/>
                <w:sz w:val="18"/>
                <w:szCs w:val="18"/>
                <w:color w:val="0000FF"/>
                <w:w w:val="98"/>
              </w:rPr>
              <w:t>Certification of Principal Financial Officer Pursuant to Rules 13a-14(a) and 15d</w:t>
            </w:r>
          </w:p>
        </w:tc>
        <w:tc>
          <w:tcPr>
            <w:tcW w:w="392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5"/>
                <w:szCs w:val="15"/>
                <w:color w:val="auto"/>
              </w:rPr>
            </w:pPr>
          </w:p>
        </w:tc>
        <w:tc>
          <w:tcPr>
            <w:tcW w:w="97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3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7"/>
            <w:shd w:val="clear" w:color="auto" w:fill="0000FF"/>
          </w:tcPr>
          <w:p>
            <w:pPr>
              <w:spacing w:after="0" w:line="20" w:lineRule="exact"/>
              <w:rPr>
                <w:sz w:val="1"/>
                <w:szCs w:val="1"/>
                <w:color w:val="auto"/>
              </w:rPr>
            </w:pPr>
          </w:p>
        </w:tc>
        <w:tc>
          <w:tcPr>
            <w:tcW w:w="3920" w:type="dxa"/>
            <w:vAlign w:val="bottom"/>
            <w:gridSpan w:val="19"/>
            <w:vMerge w:val="restart"/>
          </w:tcPr>
          <w:p>
            <w:pPr>
              <w:jc w:val="center"/>
              <w:ind w:right="420"/>
              <w:spacing w:after="0" w:line="202" w:lineRule="exact"/>
              <w:rPr>
                <w:sz w:val="20"/>
                <w:szCs w:val="20"/>
                <w:color w:val="auto"/>
              </w:rPr>
            </w:pPr>
            <w:r>
              <w:rPr>
                <w:rFonts w:ascii="Arial" w:cs="Arial" w:eastAsia="Arial" w:hAnsi="Arial"/>
                <w:sz w:val="18"/>
                <w:szCs w:val="18"/>
                <w:color w:val="0000FF"/>
                <w:w w:val="99"/>
              </w:rPr>
              <w:t>as Adopted Pursuant to Section 906 of the</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gridSpan w:val="11"/>
          </w:tcPr>
          <w:p>
            <w:pPr>
              <w:spacing w:after="0" w:line="182" w:lineRule="exact"/>
              <w:rPr>
                <w:sz w:val="20"/>
                <w:szCs w:val="20"/>
                <w:color w:val="auto"/>
              </w:rPr>
            </w:pPr>
            <w:r>
              <w:rPr>
                <w:rFonts w:ascii="Arial" w:cs="Arial" w:eastAsia="Arial" w:hAnsi="Arial"/>
                <w:sz w:val="18"/>
                <w:szCs w:val="18"/>
                <w:color w:val="0000FF"/>
                <w:w w:val="98"/>
              </w:rPr>
              <w:t>Certification of Principal Executive Officer Pursuant to 18 U.S.C. Section 1350,</w:t>
            </w:r>
          </w:p>
        </w:tc>
        <w:tc>
          <w:tcPr>
            <w:tcW w:w="392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20" w:type="dxa"/>
            <w:vAlign w:val="bottom"/>
            <w:tcBorders>
              <w:top w:val="single" w:sz="8" w:color="0000FF"/>
            </w:tcBorders>
            <w:gridSpan w:val="16"/>
          </w:tcPr>
          <w:p>
            <w:pPr>
              <w:spacing w:after="0"/>
              <w:rPr>
                <w:sz w:val="15"/>
                <w:szCs w:val="15"/>
                <w:color w:val="auto"/>
              </w:rPr>
            </w:pPr>
          </w:p>
        </w:tc>
        <w:tc>
          <w:tcPr>
            <w:tcW w:w="4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40" w:type="dxa"/>
            <w:vAlign w:val="bottom"/>
            <w:gridSpan w:val="30"/>
          </w:tcPr>
          <w:p>
            <w:pPr>
              <w:spacing w:after="0" w:line="182"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12"/>
          </w:tcPr>
          <w:p>
            <w:pPr>
              <w:spacing w:after="0"/>
              <w:rPr>
                <w:sz w:val="15"/>
                <w:szCs w:val="15"/>
                <w:color w:val="auto"/>
              </w:rPr>
            </w:pPr>
          </w:p>
        </w:tc>
        <w:tc>
          <w:tcPr>
            <w:tcW w:w="5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140" w:type="dxa"/>
            <w:vAlign w:val="bottom"/>
            <w:gridSpan w:val="30"/>
          </w:tcPr>
          <w:p>
            <w:pPr>
              <w:spacing w:after="0" w:line="19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30"/>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1014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140" w:type="dxa"/>
            <w:vAlign w:val="bottom"/>
            <w:gridSpan w:val="3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512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34" w:lineRule="exact"/>
        <w:rPr>
          <w:sz w:val="20"/>
          <w:szCs w:val="20"/>
          <w:color w:val="auto"/>
        </w:rPr>
      </w:pPr>
    </w:p>
    <w:p>
      <w:pPr>
        <w:ind w:right="500" w:firstLine="8"/>
        <w:spacing w:after="0" w:line="253" w:lineRule="auto"/>
        <w:tabs>
          <w:tab w:leader="none" w:pos="142" w:val="left"/>
        </w:tabs>
        <w:numPr>
          <w:ilvl w:val="0"/>
          <w:numId w:val="61"/>
        </w:numPr>
        <w:rPr>
          <w:rFonts w:ascii="Arial" w:cs="Arial" w:eastAsia="Arial" w:hAnsi="Arial"/>
          <w:sz w:val="17"/>
          <w:szCs w:val="17"/>
          <w:color w:val="auto"/>
        </w:rPr>
      </w:pPr>
      <w:r>
        <w:rPr>
          <w:rFonts w:ascii="Arial" w:cs="Arial" w:eastAsia="Arial" w:hAnsi="Arial"/>
          <w:sz w:val="17"/>
          <w:szCs w:val="17"/>
          <w:color w:val="auto"/>
        </w:rPr>
        <w:t>Portions of this exhibit have been omitted by means of redacting a portion of the text and replacing it with “[***]” because they are both (i) not material and (ii) the type of information that the registrant treats as private or confidential.</w:t>
      </w:r>
    </w:p>
    <w:p>
      <w:pPr>
        <w:spacing w:after="0" w:line="1" w:lineRule="exact"/>
        <w:rPr>
          <w:rFonts w:ascii="Arial" w:cs="Arial" w:eastAsia="Arial" w:hAnsi="Arial"/>
          <w:sz w:val="17"/>
          <w:szCs w:val="17"/>
          <w:color w:val="auto"/>
        </w:rPr>
      </w:pPr>
    </w:p>
    <w:p>
      <w:pPr>
        <w:jc w:val="both"/>
        <w:ind w:right="180"/>
        <w:spacing w:after="0" w:line="244" w:lineRule="auto"/>
        <w:rPr>
          <w:rFonts w:ascii="Arial" w:cs="Arial" w:eastAsia="Arial" w:hAnsi="Arial"/>
          <w:sz w:val="17"/>
          <w:szCs w:val="17"/>
          <w:color w:val="auto"/>
        </w:rPr>
      </w:pPr>
      <w:r>
        <w:rPr>
          <w:rFonts w:ascii="Arial" w:cs="Arial" w:eastAsia="Arial" w:hAnsi="Arial"/>
          <w:sz w:val="17"/>
          <w:szCs w:val="17"/>
          <w:color w:val="auto"/>
        </w:rPr>
        <w:t>+ 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8" w:name="page99"/>
    <w:bookmarkEnd w:id="98"/>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Candel Therapeutics, Inc.</w:t>
      </w:r>
    </w:p>
    <w:p>
      <w:pPr>
        <w:spacing w:after="0" w:line="183"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7"/>
          <w:szCs w:val="17"/>
          <w:color w:val="auto"/>
        </w:rPr>
        <w:t>Date: November 13,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10160</wp:posOffset>
            </wp:positionV>
            <wp:extent cx="33089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Paul Peter Tak</w:t>
      </w: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7"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(Principal executive officer)</w:t>
      </w:r>
    </w:p>
    <w:p>
      <w:pPr>
        <w:spacing w:after="0" w:line="180"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7"/>
          <w:szCs w:val="17"/>
          <w:color w:val="auto"/>
        </w:rPr>
        <w:t>Date: November 13,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10160</wp:posOffset>
            </wp:positionV>
            <wp:extent cx="33089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Charles Schoch</w:t>
      </w:r>
    </w:p>
    <w:p>
      <w:pPr>
        <w:jc w:val="center"/>
        <w:ind w:left="6000"/>
        <w:spacing w:after="0" w:line="232" w:lineRule="auto"/>
        <w:rPr>
          <w:sz w:val="20"/>
          <w:szCs w:val="20"/>
          <w:color w:val="auto"/>
        </w:rPr>
      </w:pPr>
      <w:r>
        <w:rPr>
          <w:rFonts w:ascii="Arial" w:cs="Arial" w:eastAsia="Arial" w:hAnsi="Arial"/>
          <w:sz w:val="17"/>
          <w:szCs w:val="17"/>
          <w:color w:val="auto"/>
        </w:rPr>
        <w:t>Chief Financial Officer</w:t>
      </w:r>
    </w:p>
    <w:p>
      <w:pPr>
        <w:jc w:val="center"/>
        <w:ind w:left="60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Paul Peter Tak, certify that:</w:t>
      </w:r>
    </w:p>
    <w:p>
      <w:pPr>
        <w:spacing w:after="0" w:line="123"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4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20" w:hanging="479"/>
        <w:spacing w:after="0" w:line="257"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6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21"/>
          <w:szCs w:val="21"/>
          <w:color w:val="auto"/>
        </w:rPr>
        <w:t>Date: November 13, 2025</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12700</wp:posOffset>
            </wp:positionV>
            <wp:extent cx="32061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Paul Peter Tak</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1"/>
          <w:szCs w:val="21"/>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Charles Schoch, certify that:</w:t>
      </w:r>
    </w:p>
    <w:p>
      <w:pPr>
        <w:spacing w:after="0" w:line="12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4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20" w:hanging="479"/>
        <w:spacing w:after="0" w:line="257"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63"/>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21"/>
          <w:szCs w:val="21"/>
          <w:color w:val="auto"/>
        </w:rPr>
        <w:t>Date: November 13, 2025</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12700</wp:posOffset>
            </wp:positionV>
            <wp:extent cx="32061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Charles Schoch</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Chief Financial Officer</w:t>
      </w:r>
    </w:p>
    <w:p>
      <w:pPr>
        <w:spacing w:after="0" w:line="2" w:lineRule="exact"/>
        <w:rPr>
          <w:sz w:val="20"/>
          <w:szCs w:val="20"/>
          <w:color w:val="auto"/>
        </w:rPr>
      </w:pPr>
    </w:p>
    <w:p>
      <w:pPr>
        <w:jc w:val="center"/>
        <w:ind w:left="6140"/>
        <w:spacing w:after="0"/>
        <w:rPr>
          <w:sz w:val="20"/>
          <w:szCs w:val="20"/>
          <w:color w:val="auto"/>
        </w:rPr>
      </w:pPr>
      <w:r>
        <w:rPr>
          <w:rFonts w:ascii="Arial" w:cs="Arial" w:eastAsia="Arial" w:hAnsi="Arial"/>
          <w:sz w:val="20"/>
          <w:szCs w:val="20"/>
          <w:b w:val="1"/>
          <w:bCs w:val="1"/>
          <w:i w:val="1"/>
          <w:iCs w:val="1"/>
          <w:color w:val="auto"/>
        </w:rPr>
        <w:t>(principal financial officer and principal accounting</w:t>
      </w:r>
    </w:p>
    <w:p>
      <w:pPr>
        <w:spacing w:after="0" w:line="13"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0"/>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September 30, 2025 as filed with the Securities and Exchange Commission on the date hereof (the “Report”), I, Paul Peter Tak,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 w:leader="none" w:pos="8020" w:val="left"/>
        </w:tabs>
        <w:rPr>
          <w:sz w:val="20"/>
          <w:szCs w:val="20"/>
          <w:color w:val="auto"/>
        </w:rPr>
      </w:pPr>
      <w:r>
        <w:rPr>
          <w:rFonts w:ascii="Arial" w:cs="Arial" w:eastAsia="Arial" w:hAnsi="Arial"/>
          <w:sz w:val="22"/>
          <w:szCs w:val="22"/>
          <w:color w:val="auto"/>
        </w:rPr>
        <w:t>Date: November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10795</wp:posOffset>
            </wp:positionV>
            <wp:extent cx="29832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22"/>
          <w:szCs w:val="22"/>
          <w:b w:val="1"/>
          <w:bCs w:val="1"/>
          <w:color w:val="auto"/>
        </w:rPr>
        <w:t>Paul Peter Tak</w:t>
      </w:r>
    </w:p>
    <w:p>
      <w:pPr>
        <w:jc w:val="center"/>
        <w:ind w:left="6520"/>
        <w:spacing w:after="0" w:line="230" w:lineRule="auto"/>
        <w:rPr>
          <w:sz w:val="20"/>
          <w:szCs w:val="20"/>
          <w:color w:val="auto"/>
        </w:rPr>
      </w:pPr>
      <w:r>
        <w:rPr>
          <w:rFonts w:ascii="Arial" w:cs="Arial" w:eastAsia="Arial" w:hAnsi="Arial"/>
          <w:sz w:val="22"/>
          <w:szCs w:val="22"/>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0"/>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September 30, 2025 as filed with the Securities and Exchange Commission on the date hereof (the “Report”), I, Charles Schoch,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 w:leader="none" w:pos="7960" w:val="left"/>
        </w:tabs>
        <w:rPr>
          <w:sz w:val="20"/>
          <w:szCs w:val="20"/>
          <w:color w:val="auto"/>
        </w:rPr>
      </w:pPr>
      <w:r>
        <w:rPr>
          <w:rFonts w:ascii="Arial" w:cs="Arial" w:eastAsia="Arial" w:hAnsi="Arial"/>
          <w:sz w:val="22"/>
          <w:szCs w:val="22"/>
          <w:color w:val="auto"/>
        </w:rPr>
        <w:t>Date: November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10795</wp:posOffset>
            </wp:positionV>
            <wp:extent cx="29832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22"/>
          <w:szCs w:val="22"/>
          <w:b w:val="1"/>
          <w:bCs w:val="1"/>
          <w:color w:val="auto"/>
        </w:rPr>
        <w:t>Charles Schoch</w:t>
      </w:r>
    </w:p>
    <w:p>
      <w:pPr>
        <w:jc w:val="center"/>
        <w:ind w:left="6520"/>
        <w:spacing w:after="0" w:line="230" w:lineRule="auto"/>
        <w:rPr>
          <w:sz w:val="20"/>
          <w:szCs w:val="20"/>
          <w:color w:val="auto"/>
        </w:rPr>
      </w:pPr>
      <w:r>
        <w:rPr>
          <w:rFonts w:ascii="Arial" w:cs="Arial" w:eastAsia="Arial" w:hAnsi="Arial"/>
          <w:sz w:val="22"/>
          <w:szCs w:val="22"/>
          <w:b w:val="1"/>
          <w:bCs w:val="1"/>
          <w:color w:val="auto"/>
        </w:rPr>
        <w:t>Chief Financial Officer</w:t>
      </w:r>
    </w:p>
    <w:p>
      <w:pPr>
        <w:jc w:val="center"/>
        <w:ind w:left="6460"/>
        <w:spacing w:after="0" w:line="231"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ind w:left="79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1"/>
    </w:lvl>
  </w:abstractNum>
  <w:abstractNum w:abstractNumId="7">
    <w:nsid w:val="3804823E"/>
    <w:multiLevelType w:val="hybridMultilevel"/>
    <w:lvl w:ilvl="0">
      <w:lvlJc w:val="left"/>
      <w:lvlText w:val="%1."/>
      <w:numFmt w:val="decimal"/>
      <w:start w:val="15"/>
    </w:lvl>
  </w:abstractNum>
  <w:abstractNum w:abstractNumId="8">
    <w:nsid w:val="77465F01"/>
    <w:multiLevelType w:val="hybridMultilevel"/>
    <w:lvl w:ilvl="0">
      <w:lvlJc w:val="left"/>
      <w:lvlText w:val="•"/>
      <w:numFmt w:val="bullet"/>
      <w:start w:val="1"/>
    </w:lvl>
    <w:lvl w:ilvl="1">
      <w:lvlJc w:val="left"/>
      <w:lvlText w:val="▪"/>
      <w:numFmt w:val="bullet"/>
      <w:start w:val="1"/>
    </w:lvl>
  </w:abstractNum>
  <w:abstractNum w:abstractNumId="9">
    <w:nsid w:val="7724C67E"/>
    <w:multiLevelType w:val="hybridMultilevel"/>
    <w:lvl w:ilvl="0">
      <w:lvlJc w:val="left"/>
      <w:lvlText w:val="▪"/>
      <w:numFmt w:val="bullet"/>
      <w:start w:val="1"/>
    </w:lvl>
    <w:lvl w:ilvl="1">
      <w:lvlJc w:val="left"/>
      <w:lvlText w:val="•"/>
      <w:numFmt w:val="bullet"/>
      <w:start w:val="1"/>
    </w:lvl>
  </w:abstractNum>
  <w:abstractNum w:abstractNumId="10">
    <w:nsid w:val="5C482A97"/>
    <w:multiLevelType w:val="hybridMultilevel"/>
    <w:lvl w:ilvl="0">
      <w:lvlJc w:val="left"/>
      <w:lvlText w:val="o"/>
      <w:numFmt w:val="bullet"/>
      <w:start w:val="1"/>
    </w:lvl>
    <w:lvl w:ilvl="1">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o"/>
      <w:numFmt w:val="bullet"/>
      <w:start w:val="1"/>
    </w:lvl>
  </w:abstractNum>
  <w:abstractNum w:abstractNumId="13">
    <w:nsid w:val="51EAD36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2"/>
    </w:lvl>
  </w:abstractNum>
  <w:abstractNum w:abstractNumId="23">
    <w:nsid w:val="2CD89A32"/>
    <w:multiLevelType w:val="hybridMultilevel"/>
    <w:lvl w:ilvl="0">
      <w:lvlJc w:val="left"/>
      <w:lvlText w:val="(%1)"/>
      <w:numFmt w:val="decimal"/>
      <w:start w:val="3"/>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3"/>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280" Type="http://schemas.openxmlformats.org/officeDocument/2006/relationships/hyperlink" Target="https://www.sec.gov/Archives/edgar/data/0001841387/000119312521229437/d203496dex31.htm" TargetMode="External"/><Relationship Id="rId281" Type="http://schemas.openxmlformats.org/officeDocument/2006/relationships/hyperlink" Target="https://www.sec.gov/Archives/edgar/data/0001841387/000119312521229437/d203496dex32.htm" TargetMode="External"/><Relationship Id="rId282" Type="http://schemas.openxmlformats.org/officeDocument/2006/relationships/hyperlink" Target="https://www.sec.gov/Archives/edgar/data/1841387/000095017024066608/cadl-ex3_1.htm" TargetMode="External"/><Relationship Id="rId283" Type="http://schemas.openxmlformats.org/officeDocument/2006/relationships/hyperlink" Target="https://www.sec.gov/Archives/edgar/data/0001841387/000119312521216891/d120909dex41.htm" TargetMode="External"/><Relationship Id="rId284" Type="http://schemas.openxmlformats.org/officeDocument/2006/relationships/hyperlink" Target="https://www.sec.gov/Archives/edgar/data/1841387/000119312525238254/cadl-ex4_1.htm" TargetMode="External"/><Relationship Id="rId285" Type="http://schemas.openxmlformats.org/officeDocument/2006/relationships/hyperlink" Target="https://www.sec.gov/Archives/edgar/data/1841387/000119312521216891/d120909dex43.htm" TargetMode="External"/><Relationship Id="rId286" Type="http://schemas.openxmlformats.org/officeDocument/2006/relationships/hyperlink" Target="https://www.sec.gov/Archives/edgar/data/1841387/000119312521216891/d120909dex44.htm" TargetMode="External"/><Relationship Id="rId287" Type="http://schemas.openxmlformats.org/officeDocument/2006/relationships/hyperlink" Target="https://www.sec.gov/Archives/edgar/data/1841387/000095017025110682/cadl-ex10_1.htm" TargetMode="External"/><Relationship Id="rId288" Type="http://schemas.openxmlformats.org/officeDocument/2006/relationships/hyperlink" Target="https://www.sec.gov/Archives/edgar/data/1841387/000119312525238254/cadl-ex10_1.htm" TargetMode="External"/><Relationship Id="rId289" Type="http://schemas.openxmlformats.org/officeDocument/2006/relationships/hyperlink" Target="https://www.sec.gov/Archives/edgar/data/1841387/000119312525238254/cadl-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2025-11-13T07:42:54Z</dcterms:created>
  <dcterms:modified xsi:type="dcterms:W3CDTF">2025-11-13T07:42:54Z</dcterms:modified>
</cp:coreProperties>
</file>