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700" w:right="1540" w:hanging="3679"/>
        <w:spacing w:after="0" w:line="320" w:lineRule="auto"/>
        <w:tabs>
          <w:tab w:leader="none" w:pos="4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2780" w:right="1540" w:hanging="2759"/>
        <w:spacing w:after="0" w:line="328" w:lineRule="auto"/>
        <w:tabs>
          <w:tab w:leader="none" w:pos="48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CANDEL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Delaware</w:t>
      </w:r>
    </w:p>
    <w:p>
      <w:pPr>
        <w:spacing w:after="0" w:line="37"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52-2214851</w:t>
      </w:r>
    </w:p>
    <w:p>
      <w:pPr>
        <w:spacing w:after="0" w:line="3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70" w:lineRule="exact"/>
        <w:rPr>
          <w:sz w:val="24"/>
          <w:szCs w:val="24"/>
          <w:color w:val="auto"/>
        </w:rPr>
      </w:pPr>
    </w:p>
    <w:p>
      <w:pPr>
        <w:sectPr>
          <w:pgSz w:w="11900" w:h="16838" w:orient="portrait"/>
          <w:cols w:equalWidth="0" w:num="2">
            <w:col w:w="7180" w:space="720"/>
            <w:col w:w="3340"/>
          </w:cols>
          <w:pgMar w:left="320" w:top="1230" w:right="3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117 Kendrick St, Suite 450</w:t>
      </w:r>
    </w:p>
    <w:p>
      <w:pPr>
        <w:spacing w:after="0" w:line="21"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6"/>
          <w:szCs w:val="16"/>
          <w:b w:val="1"/>
          <w:bCs w:val="1"/>
          <w:color w:val="auto"/>
        </w:rPr>
        <w:t>Needham, MA</w:t>
      </w:r>
      <w:r>
        <w:rPr>
          <w:sz w:val="20"/>
          <w:szCs w:val="20"/>
          <w:color w:val="auto"/>
        </w:rPr>
        <w:tab/>
      </w:r>
      <w:r>
        <w:rPr>
          <w:rFonts w:ascii="Arial" w:cs="Arial" w:eastAsia="Arial" w:hAnsi="Arial"/>
          <w:sz w:val="16"/>
          <w:szCs w:val="16"/>
          <w:b w:val="1"/>
          <w:bCs w:val="1"/>
          <w:color w:val="auto"/>
        </w:rPr>
        <w:t>02494</w:t>
      </w:r>
    </w:p>
    <w:p>
      <w:pPr>
        <w:spacing w:after="0" w:line="23" w:lineRule="exact"/>
        <w:rPr>
          <w:sz w:val="24"/>
          <w:szCs w:val="24"/>
          <w:color w:val="auto"/>
        </w:r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60"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CADL</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55"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4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20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2024, the registrant had 32,084,777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74" w:lineRule="exact"/>
        <w:rPr>
          <w:sz w:val="20"/>
          <w:szCs w:val="20"/>
          <w:color w:val="auto"/>
        </w:rPr>
      </w:pPr>
    </w:p>
    <w:p>
      <w:pPr>
        <w:ind w:left="1020" w:right="4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(international non-proprietary name: aglatimagene besadenovec) and CAN-3110 and any other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14" w:lineRule="exact"/>
        <w:rPr>
          <w:rFonts w:ascii="Times New Roman" w:cs="Times New Roman" w:eastAsia="Times New Roman" w:hAnsi="Times New Roman"/>
          <w:sz w:val="17"/>
          <w:szCs w:val="17"/>
          <w:color w:val="auto"/>
        </w:rPr>
      </w:pPr>
    </w:p>
    <w:p>
      <w:pPr>
        <w:ind w:left="1020" w:right="7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II, Item 1A - Risk Factors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6" w:right="4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4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8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doubt exists about our ability to continue as a going concern. Our ability to continue as a going concern requires that we obtain sufficient additional funding to finance our operations. If we are unable to raise capital when needed, we would be forced to delay, reduce or eliminate some of our research, clinical trials, product development, or future commercialization efforts.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34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or ongoing geopolitical conflicts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1020" w:right="5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 w:name="page5"/>
    <w:bookmarkEnd w:id="4"/>
    <w:p>
      <w:pPr>
        <w:spacing w:after="0" w:line="267" w:lineRule="auto"/>
        <w:rPr>
          <w:sz w:val="20"/>
          <w:szCs w:val="20"/>
          <w:color w:val="auto"/>
        </w:rPr>
      </w:pPr>
      <w:r>
        <w:rPr>
          <w:rFonts w:ascii="Arial" w:cs="Arial" w:eastAsia="Arial" w:hAnsi="Arial"/>
          <w:sz w:val="17"/>
          <w:szCs w:val="17"/>
          <w:color w:val="auto"/>
        </w:rPr>
        <w:t>to our business relationships with our current or any future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856615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340" w:top="1116" w:right="4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NOTE REGARDING COMPANY REFERENCES</w:t>
      </w:r>
    </w:p>
    <w:p>
      <w:pPr>
        <w:spacing w:after="0" w:line="195"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Unless the context otherwise requires, the terms “Candel Therapeutics,” “the Company,” “we,” “us,” and “our” in this Form 10-Q refer to Candel Therapeutics, Inc. and its consolidated subsidiary.</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REGARDING TRADEMARKS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1"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1.</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26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7"/>
                <w:szCs w:val="17"/>
                <w:color w:val="auto"/>
              </w:rPr>
            </w:pPr>
          </w:p>
        </w:tc>
        <w:tc>
          <w:tcPr>
            <w:tcW w:w="6600" w:type="dxa"/>
            <w:vAlign w:val="bottom"/>
            <w:gridSpan w:val="10"/>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594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Condensed Consolidated Statements of Operations and Comprehensive Loss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18"/>
                <w:szCs w:val="18"/>
                <w:color w:val="0000FF"/>
              </w:rPr>
              <w:t>Condensed Consolidated Statements of Stockholders’ Equity (Deficit) (Unaudited)</w:t>
            </w:r>
          </w:p>
        </w:tc>
        <w:tc>
          <w:tcPr>
            <w:tcW w:w="2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2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Condensed Consolidated Statements of Cash Flows (Unaudited)</w:t>
            </w: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5"/>
          </w:tcPr>
          <w:p>
            <w:pPr>
              <w:spacing w:after="0"/>
              <w:rPr>
                <w:sz w:val="17"/>
                <w:szCs w:val="17"/>
                <w:color w:val="auto"/>
              </w:rPr>
            </w:pPr>
          </w:p>
        </w:tc>
        <w:tc>
          <w:tcPr>
            <w:tcW w:w="22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8"/>
              </w:rPr>
              <w:t>OTHER INFORMATION</w:t>
            </w:r>
          </w:p>
        </w:tc>
        <w:tc>
          <w:tcPr>
            <w:tcW w:w="736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86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6"/>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7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7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185"/>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21,454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35,413</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1,384</w:t>
            </w:r>
          </w:p>
        </w:tc>
      </w:tr>
      <w:tr>
        <w:trPr>
          <w:trHeight w:val="223"/>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22,735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36,797</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Fixed assets, net</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2,719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3,206</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Lease right of use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816</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266</w:t>
            </w:r>
          </w:p>
        </w:tc>
      </w:tr>
      <w:tr>
        <w:trPr>
          <w:trHeight w:val="230"/>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26,485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41,201</w:t>
            </w:r>
          </w:p>
        </w:tc>
      </w:tr>
      <w:tr>
        <w:trPr>
          <w:trHeight w:val="20"/>
        </w:trPr>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433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422</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3,215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4,356</w:t>
            </w: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Current portion of term loan payable to a bank</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9,809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8,893</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Current portion of lease liability</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513</w:t>
            </w:r>
          </w:p>
        </w:tc>
      </w:tr>
      <w:tr>
        <w:trPr>
          <w:trHeight w:val="223"/>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13,996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14,184</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Term loan payable to a bank</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6,705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11,632</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751</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Lease liability, net of current portion</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973</w:t>
            </w:r>
          </w:p>
        </w:tc>
      </w:tr>
      <w:tr>
        <w:trPr>
          <w:trHeight w:val="230"/>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14,248</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916</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36,457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28,456</w:t>
            </w:r>
          </w:p>
        </w:tc>
      </w:tr>
      <w:tr>
        <w:trPr>
          <w:trHeight w:val="223"/>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Commitments and contingencies (Note 14)</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97"/>
        </w:trPr>
        <w:tc>
          <w:tcPr>
            <w:tcW w:w="7760" w:type="dxa"/>
            <w:vAlign w:val="bottom"/>
            <w:shd w:val="clear" w:color="auto" w:fill="CFF0FC"/>
          </w:tcPr>
          <w:p>
            <w:pPr>
              <w:ind w:left="520"/>
              <w:spacing w:after="0" w:line="197" w:lineRule="exact"/>
              <w:rPr>
                <w:sz w:val="20"/>
                <w:szCs w:val="20"/>
                <w:color w:val="auto"/>
              </w:rPr>
            </w:pPr>
            <w:r>
              <w:rPr>
                <w:rFonts w:ascii="Arial" w:cs="Arial" w:eastAsia="Arial" w:hAnsi="Arial"/>
                <w:sz w:val="18"/>
                <w:szCs w:val="18"/>
                <w:color w:val="auto"/>
              </w:rPr>
              <w:t>Preferred stock, $0.01 par value; 10,000,000 shares authorized at June 30, 2024 and</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December 31, 2023; no shares issued or outstanding at June 30, 2024 and December</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35"/>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31, 2023, respectively.</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60" w:type="dxa"/>
            <w:vAlign w:val="bottom"/>
          </w:tcPr>
          <w:p>
            <w:pPr>
              <w:ind w:left="520"/>
              <w:spacing w:after="0" w:line="197" w:lineRule="exact"/>
              <w:rPr>
                <w:sz w:val="20"/>
                <w:szCs w:val="20"/>
                <w:color w:val="auto"/>
              </w:rPr>
            </w:pPr>
            <w:r>
              <w:rPr>
                <w:rFonts w:ascii="Arial" w:cs="Arial" w:eastAsia="Arial" w:hAnsi="Arial"/>
                <w:sz w:val="18"/>
                <w:szCs w:val="18"/>
                <w:color w:val="auto"/>
              </w:rPr>
              <w:t>Common stock, $0.01 par value; 150,000,000 shares authorized at June 30, 2024 and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December 31, 2023; 31,186,817 and 29,213,627 shares issued at June 30, 2024 and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December 31, 2023, respectively; 31,064,209 and 29,091,019 shares outstanding at</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5"/>
        </w:trPr>
        <w:tc>
          <w:tcPr>
            <w:tcW w:w="7760" w:type="dxa"/>
            <w:vAlign w:val="bottom"/>
          </w:tcPr>
          <w:p>
            <w:pPr>
              <w:ind w:left="520"/>
              <w:spacing w:after="0"/>
              <w:rPr>
                <w:sz w:val="20"/>
                <w:szCs w:val="20"/>
                <w:color w:val="auto"/>
              </w:rPr>
            </w:pPr>
            <w:r>
              <w:rPr>
                <w:rFonts w:ascii="Arial" w:cs="Arial" w:eastAsia="Arial" w:hAnsi="Arial"/>
                <w:sz w:val="18"/>
                <w:szCs w:val="18"/>
                <w:color w:val="auto"/>
              </w:rPr>
              <w:t>June 30, 2024 and December 31, 2023, respectively.</w:t>
            </w:r>
          </w:p>
        </w:tc>
        <w:tc>
          <w:tcPr>
            <w:tcW w:w="24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290</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Treasury stock (at cost)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157,659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149,931</w:t>
            </w:r>
          </w:p>
        </w:tc>
      </w:tr>
      <w:tr>
        <w:trPr>
          <w:trHeight w:val="229"/>
        </w:trPr>
        <w:tc>
          <w:tcPr>
            <w:tcW w:w="77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(167,486 )</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(137,028 )</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stockholders’ equity (deficit)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12,745</w:t>
            </w:r>
          </w:p>
        </w:tc>
      </w:tr>
      <w:tr>
        <w:trPr>
          <w:trHeight w:val="263"/>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26,485</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-3950970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-2159635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-334010</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w:t>
            </w:r>
          </w:p>
        </w:tc>
      </w:tr>
      <w:tr>
        <w:trPr>
          <w:trHeight w:val="217"/>
        </w:trPr>
        <w:tc>
          <w:tcPr>
            <w:tcW w:w="5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5"/>
        </w:trPr>
        <w:tc>
          <w:tcPr>
            <w:tcW w:w="58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4,979</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5,934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9,081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11,403</w:t>
            </w:r>
          </w:p>
        </w:tc>
      </w:tr>
      <w:tr>
        <w:trPr>
          <w:trHeight w:val="216"/>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3,592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3,645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7,392</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7,809</w:t>
            </w:r>
          </w:p>
        </w:tc>
      </w:tr>
      <w:tr>
        <w:trPr>
          <w:trHeight w:val="210"/>
        </w:trPr>
        <w:tc>
          <w:tcPr>
            <w:tcW w:w="5860" w:type="dxa"/>
            <w:vAlign w:val="bottom"/>
          </w:tcPr>
          <w:p>
            <w:pPr>
              <w:ind w:left="78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8,571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9,579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16,473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19,212</w:t>
            </w:r>
          </w:p>
        </w:tc>
      </w:tr>
      <w:tr>
        <w:trPr>
          <w:trHeight w:val="209"/>
        </w:trPr>
        <w:tc>
          <w:tcPr>
            <w:tcW w:w="58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6"/>
                <w:szCs w:val="16"/>
                <w:b w:val="1"/>
                <w:bCs w:val="1"/>
                <w:color w:val="auto"/>
              </w:rPr>
              <w:t>Loss from operations</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(8,571 )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(9,579 )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(16,473 )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(19,212 )</w:t>
            </w: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Grant income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15"/>
        </w:trPr>
        <w:tc>
          <w:tcPr>
            <w:tcW w:w="58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1,164</w:t>
            </w:r>
          </w:p>
        </w:tc>
      </w:tr>
      <w:tr>
        <w:trPr>
          <w:trHeight w:val="217"/>
        </w:trPr>
        <w:tc>
          <w:tcPr>
            <w:tcW w:w="58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(1,253 )</w:t>
            </w:r>
          </w:p>
        </w:tc>
      </w:tr>
      <w:tr>
        <w:trPr>
          <w:trHeight w:val="215"/>
        </w:trPr>
        <w:tc>
          <w:tcPr>
            <w:tcW w:w="5860" w:type="dxa"/>
            <w:vAlign w:val="bottom"/>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(13,339 )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(13,332 )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868</w:t>
            </w:r>
          </w:p>
        </w:tc>
      </w:tr>
      <w:tr>
        <w:trPr>
          <w:trHeight w:val="210"/>
        </w:trPr>
        <w:tc>
          <w:tcPr>
            <w:tcW w:w="58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6"/>
                <w:szCs w:val="16"/>
                <w:b w:val="1"/>
                <w:bCs w:val="1"/>
                <w:color w:val="auto"/>
              </w:rPr>
              <w:t>Total other income (expense), net</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(13,666 )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(13,985 )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803</w:t>
            </w: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Net loss and comprehensive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(22,237 )</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(9,614 )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(30,458 )</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(18,409 )</w:t>
            </w: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 per share, basic and diluted</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(0.74 )</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(1.03 )</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(0.64 )</w:t>
            </w:r>
          </w:p>
        </w:tc>
      </w:tr>
      <w:tr>
        <w:trPr>
          <w:trHeight w:val="196"/>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Weighted-average common shares outstanding, basic and diluted</w:t>
            </w: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29,878,210</w:t>
            </w: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28,919,810</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29,537,874</w:t>
            </w: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28,919,810</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-1628140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-1628140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-1628140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-1336675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-1336675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-1336675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-496570</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-496570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-496570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7"/>
            <w:vMerge w:val="restart"/>
          </w:tcPr>
          <w:p>
            <w:pPr>
              <w:ind w:left="72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60" w:type="dxa"/>
            <w:vAlign w:val="bottom"/>
            <w:gridSpan w:val="7"/>
            <w:vMerge w:val="restart"/>
          </w:tcPr>
          <w:p>
            <w:pPr>
              <w:ind w:left="660"/>
              <w:spacing w:after="0"/>
              <w:rPr>
                <w:sz w:val="20"/>
                <w:szCs w:val="20"/>
                <w:color w:val="auto"/>
              </w:rPr>
            </w:pPr>
            <w:r>
              <w:rPr>
                <w:rFonts w:ascii="Arial" w:cs="Arial" w:eastAsia="Arial" w:hAnsi="Arial"/>
                <w:sz w:val="10"/>
                <w:szCs w:val="10"/>
                <w:b w:val="1"/>
                <w:bCs w:val="1"/>
                <w:color w:val="auto"/>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2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6"/>
              </w:rPr>
              <w:t>CAPITAL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2023</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rPr>
              <w:t>29,213,627</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2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149,931</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(137,028 )</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Options exercised</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684,873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1,209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1,216</w:t>
            </w:r>
          </w:p>
        </w:tc>
        <w:tc>
          <w:tcPr>
            <w:tcW w:w="0" w:type="dxa"/>
            <w:vAlign w:val="bottom"/>
          </w:tcPr>
          <w:p>
            <w:pPr>
              <w:spacing w:after="0"/>
              <w:rPr>
                <w:sz w:val="1"/>
                <w:szCs w:val="1"/>
                <w:color w:val="auto"/>
              </w:rPr>
            </w:pPr>
          </w:p>
        </w:tc>
      </w:tr>
      <w:tr>
        <w:trPr>
          <w:trHeight w:val="164"/>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2,138</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2,138</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Restricted stock unit vesting</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703,427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746</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746</w:t>
            </w:r>
          </w:p>
        </w:tc>
        <w:tc>
          <w:tcPr>
            <w:tcW w:w="0" w:type="dxa"/>
            <w:vAlign w:val="bottom"/>
          </w:tcPr>
          <w:p>
            <w:pPr>
              <w:spacing w:after="0"/>
              <w:rPr>
                <w:sz w:val="1"/>
                <w:szCs w:val="1"/>
                <w:color w:val="auto"/>
              </w:rPr>
            </w:pPr>
          </w:p>
        </w:tc>
      </w:tr>
      <w:tr>
        <w:trPr>
          <w:trHeight w:val="141"/>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Sale of common stock,</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gridSpan w:val="2"/>
          </w:tcPr>
          <w:p>
            <w:pPr>
              <w:ind w:left="120"/>
              <w:spacing w:after="0"/>
              <w:rPr>
                <w:sz w:val="20"/>
                <w:szCs w:val="20"/>
                <w:color w:val="auto"/>
              </w:rPr>
            </w:pPr>
            <w:r>
              <w:rPr>
                <w:rFonts w:ascii="Arial" w:cs="Arial" w:eastAsia="Arial" w:hAnsi="Arial"/>
                <w:sz w:val="12"/>
                <w:szCs w:val="12"/>
                <w:color w:val="auto"/>
              </w:rPr>
              <w:t>net of issuance costs</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584,890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3,635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3,641</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(30,458 )</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(30,458 )</w:t>
            </w:r>
          </w:p>
        </w:tc>
        <w:tc>
          <w:tcPr>
            <w:tcW w:w="0" w:type="dxa"/>
            <w:vAlign w:val="bottom"/>
          </w:tcPr>
          <w:p>
            <w:pPr>
              <w:spacing w:after="0"/>
              <w:rPr>
                <w:sz w:val="1"/>
                <w:szCs w:val="1"/>
                <w:color w:val="auto"/>
              </w:rPr>
            </w:pPr>
          </w:p>
        </w:tc>
      </w:tr>
      <w:tr>
        <w:trPr>
          <w:trHeight w:val="158"/>
        </w:trPr>
        <w:tc>
          <w:tcPr>
            <w:tcW w:w="262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June 30, 2024</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31,186,817</w:t>
            </w:r>
          </w:p>
        </w:tc>
        <w:tc>
          <w:tcPr>
            <w:tcW w:w="60" w:type="dxa"/>
            <w:vAlign w:val="bottom"/>
          </w:tcPr>
          <w:p>
            <w:pPr>
              <w:spacing w:after="0"/>
              <w:rPr>
                <w:sz w:val="13"/>
                <w:szCs w:val="13"/>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303</w:t>
            </w:r>
          </w:p>
        </w:tc>
        <w:tc>
          <w:tcPr>
            <w:tcW w:w="4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tcPr>
          <w:p>
            <w:pPr>
              <w:spacing w:after="0"/>
              <w:rPr>
                <w:sz w:val="13"/>
                <w:szCs w:val="13"/>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(448 )</w:t>
            </w:r>
          </w:p>
        </w:tc>
        <w:tc>
          <w:tcPr>
            <w:tcW w:w="40" w:type="dxa"/>
            <w:vAlign w:val="bottom"/>
          </w:tcPr>
          <w:p>
            <w:pPr>
              <w:spacing w:after="0"/>
              <w:rPr>
                <w:sz w:val="13"/>
                <w:szCs w:val="13"/>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157,659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(167,486 )</w:t>
            </w: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
              <w:spacing w:after="0"/>
              <w:rPr>
                <w:sz w:val="20"/>
                <w:szCs w:val="20"/>
                <w:color w:val="auto"/>
              </w:rPr>
            </w:pPr>
            <w:r>
              <w:rPr>
                <w:rFonts w:ascii="Arial" w:cs="Arial" w:eastAsia="Arial" w:hAnsi="Arial"/>
                <w:sz w:val="12"/>
                <w:szCs w:val="12"/>
                <w:color w:val="auto"/>
              </w:rPr>
              <w:t>(9,972 )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7"/>
            <w:vMerge w:val="restart"/>
          </w:tcPr>
          <w:p>
            <w:pPr>
              <w:ind w:left="72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7"/>
            <w:vMerge w:val="restart"/>
          </w:tcPr>
          <w:p>
            <w:pPr>
              <w:ind w:left="660"/>
              <w:spacing w:after="0"/>
              <w:rPr>
                <w:sz w:val="20"/>
                <w:szCs w:val="20"/>
                <w:color w:val="auto"/>
              </w:rPr>
            </w:pPr>
            <w:r>
              <w:rPr>
                <w:rFonts w:ascii="Arial" w:cs="Arial" w:eastAsia="Arial" w:hAnsi="Arial"/>
                <w:sz w:val="10"/>
                <w:szCs w:val="10"/>
                <w:b w:val="1"/>
                <w:bCs w:val="1"/>
                <w:color w:val="auto"/>
              </w:rPr>
              <w:t>TREASURY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2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6"/>
              </w:rPr>
              <w:t>CAPITAL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March 31, 2024</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rPr>
              <w:t>29,470,076</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23"/>
              <w:spacing w:after="0"/>
              <w:rPr>
                <w:sz w:val="20"/>
                <w:szCs w:val="20"/>
                <w:color w:val="auto"/>
              </w:rPr>
            </w:pPr>
            <w:r>
              <w:rPr>
                <w:rFonts w:ascii="Arial" w:cs="Arial" w:eastAsia="Arial" w:hAnsi="Arial"/>
                <w:sz w:val="12"/>
                <w:szCs w:val="12"/>
                <w:color w:val="auto"/>
              </w:rPr>
              <w:t>292</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151,384</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(145,249 )</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5,979</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Options exercised</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537,909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984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990</w:t>
            </w:r>
          </w:p>
        </w:tc>
        <w:tc>
          <w:tcPr>
            <w:tcW w:w="0" w:type="dxa"/>
            <w:vAlign w:val="bottom"/>
          </w:tcPr>
          <w:p>
            <w:pPr>
              <w:spacing w:after="0"/>
              <w:rPr>
                <w:sz w:val="1"/>
                <w:szCs w:val="1"/>
                <w:color w:val="auto"/>
              </w:rPr>
            </w:pPr>
          </w:p>
        </w:tc>
      </w:tr>
      <w:tr>
        <w:trPr>
          <w:trHeight w:val="164"/>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1,108</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1,108</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Restricted stock unit vesting</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703,427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2"/>
                <w:szCs w:val="12"/>
                <w:color w:val="auto"/>
              </w:rPr>
              <w:t>733</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141"/>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Sale of common stock,</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gridSpan w:val="2"/>
          </w:tcPr>
          <w:p>
            <w:pPr>
              <w:ind w:left="120"/>
              <w:spacing w:after="0"/>
              <w:rPr>
                <w:sz w:val="20"/>
                <w:szCs w:val="20"/>
                <w:color w:val="auto"/>
              </w:rPr>
            </w:pPr>
            <w:r>
              <w:rPr>
                <w:rFonts w:ascii="Arial" w:cs="Arial" w:eastAsia="Arial" w:hAnsi="Arial"/>
                <w:sz w:val="12"/>
                <w:szCs w:val="12"/>
                <w:color w:val="auto"/>
              </w:rPr>
              <w:t>net of issuance costs</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475,405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3,450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3,455</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(22,237 )</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(22,237 )</w:t>
            </w:r>
          </w:p>
        </w:tc>
        <w:tc>
          <w:tcPr>
            <w:tcW w:w="0" w:type="dxa"/>
            <w:vAlign w:val="bottom"/>
          </w:tcPr>
          <w:p>
            <w:pPr>
              <w:spacing w:after="0"/>
              <w:rPr>
                <w:sz w:val="1"/>
                <w:szCs w:val="1"/>
                <w:color w:val="auto"/>
              </w:rPr>
            </w:pPr>
          </w:p>
        </w:tc>
      </w:tr>
      <w:tr>
        <w:trPr>
          <w:trHeight w:val="158"/>
        </w:trPr>
        <w:tc>
          <w:tcPr>
            <w:tcW w:w="262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June 30, 2024</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31,186,817</w:t>
            </w:r>
          </w:p>
        </w:tc>
        <w:tc>
          <w:tcPr>
            <w:tcW w:w="60" w:type="dxa"/>
            <w:vAlign w:val="bottom"/>
          </w:tcPr>
          <w:p>
            <w:pPr>
              <w:spacing w:after="0"/>
              <w:rPr>
                <w:sz w:val="13"/>
                <w:szCs w:val="13"/>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303</w:t>
            </w:r>
          </w:p>
        </w:tc>
        <w:tc>
          <w:tcPr>
            <w:tcW w:w="4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tcPr>
          <w:p>
            <w:pPr>
              <w:spacing w:after="0"/>
              <w:rPr>
                <w:sz w:val="13"/>
                <w:szCs w:val="13"/>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(448 )</w:t>
            </w:r>
          </w:p>
        </w:tc>
        <w:tc>
          <w:tcPr>
            <w:tcW w:w="40" w:type="dxa"/>
            <w:vAlign w:val="bottom"/>
          </w:tcPr>
          <w:p>
            <w:pPr>
              <w:spacing w:after="0"/>
              <w:rPr>
                <w:sz w:val="13"/>
                <w:szCs w:val="13"/>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157,659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(167,486 )</w:t>
            </w: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
              <w:spacing w:after="0"/>
              <w:rPr>
                <w:sz w:val="20"/>
                <w:szCs w:val="20"/>
                <w:color w:val="auto"/>
              </w:rPr>
            </w:pPr>
            <w:r>
              <w:rPr>
                <w:rFonts w:ascii="Arial" w:cs="Arial" w:eastAsia="Arial" w:hAnsi="Arial"/>
                <w:sz w:val="12"/>
                <w:szCs w:val="12"/>
                <w:color w:val="auto"/>
              </w:rPr>
              <w:t>(9,972 )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vMerge w:val="restart"/>
          </w:tcPr>
          <w:p>
            <w:pPr>
              <w:jc w:val="right"/>
              <w:ind w:right="743"/>
              <w:spacing w:after="0"/>
              <w:rPr>
                <w:sz w:val="20"/>
                <w:szCs w:val="20"/>
                <w:color w:val="auto"/>
              </w:rPr>
            </w:pPr>
            <w:r>
              <w:rPr>
                <w:rFonts w:ascii="Arial" w:cs="Arial" w:eastAsia="Arial" w:hAnsi="Arial"/>
                <w:sz w:val="10"/>
                <w:szCs w:val="10"/>
                <w:b w:val="1"/>
                <w:bCs w:val="1"/>
                <w:color w:val="auto"/>
              </w:rPr>
              <w:t>TREASURY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6"/>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6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6"/>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6"/>
              </w:rPr>
              <w:t>EQUITY</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2022</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146,961</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(99,089 )</w:t>
            </w:r>
          </w:p>
        </w:tc>
        <w:tc>
          <w:tcPr>
            <w:tcW w:w="20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47,714</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4"/>
              <w:spacing w:after="0"/>
              <w:rPr>
                <w:sz w:val="20"/>
                <w:szCs w:val="20"/>
                <w:color w:val="auto"/>
              </w:rPr>
            </w:pPr>
            <w:r>
              <w:rPr>
                <w:rFonts w:ascii="Arial" w:cs="Arial" w:eastAsia="Arial" w:hAnsi="Arial"/>
                <w:sz w:val="12"/>
                <w:szCs w:val="12"/>
                <w:color w:val="auto"/>
              </w:rPr>
              <w:t>1,544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1,544</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(78 )</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(78 )</w:t>
            </w: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(18,409 )</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(18,409 )</w:t>
            </w:r>
          </w:p>
        </w:tc>
        <w:tc>
          <w:tcPr>
            <w:tcW w:w="0" w:type="dxa"/>
            <w:vAlign w:val="bottom"/>
          </w:tcPr>
          <w:p>
            <w:pPr>
              <w:spacing w:after="0"/>
              <w:rPr>
                <w:sz w:val="1"/>
                <w:szCs w:val="1"/>
                <w:color w:val="auto"/>
              </w:rPr>
            </w:pPr>
          </w:p>
        </w:tc>
      </w:tr>
      <w:tr>
        <w:trPr>
          <w:trHeight w:val="198"/>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2023</w:t>
            </w: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148,427</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(117,498 )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30,771</w:t>
            </w:r>
          </w:p>
        </w:tc>
        <w:tc>
          <w:tcPr>
            <w:tcW w:w="0" w:type="dxa"/>
            <w:vAlign w:val="bottom"/>
          </w:tcPr>
          <w:p>
            <w:pPr>
              <w:spacing w:after="0"/>
              <w:rPr>
                <w:sz w:val="1"/>
                <w:szCs w:val="1"/>
                <w:color w:val="auto"/>
              </w:rPr>
            </w:pPr>
          </w:p>
        </w:tc>
      </w:tr>
      <w:tr>
        <w:trPr>
          <w:trHeight w:val="407"/>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vMerge w:val="restart"/>
          </w:tcPr>
          <w:p>
            <w:pPr>
              <w:jc w:val="right"/>
              <w:ind w:right="743"/>
              <w:spacing w:after="0"/>
              <w:rPr>
                <w:sz w:val="20"/>
                <w:szCs w:val="20"/>
                <w:color w:val="auto"/>
              </w:rPr>
            </w:pPr>
            <w:r>
              <w:rPr>
                <w:rFonts w:ascii="Arial" w:cs="Arial" w:eastAsia="Arial" w:hAnsi="Arial"/>
                <w:sz w:val="10"/>
                <w:szCs w:val="10"/>
                <w:b w:val="1"/>
                <w:bCs w:val="1"/>
                <w:color w:val="auto"/>
              </w:rPr>
              <w:t>TREASURY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6"/>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6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6"/>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97"/>
              </w:rPr>
              <w:t>DEFICIT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6"/>
              </w:rPr>
              <w:t>EQUITY</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March 31, 2023</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147,694</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(107,884 )</w:t>
            </w:r>
          </w:p>
        </w:tc>
        <w:tc>
          <w:tcPr>
            <w:tcW w:w="20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39,652</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4"/>
              <w:spacing w:after="0"/>
              <w:rPr>
                <w:sz w:val="20"/>
                <w:szCs w:val="20"/>
                <w:color w:val="auto"/>
              </w:rPr>
            </w:pPr>
            <w:r>
              <w:rPr>
                <w:rFonts w:ascii="Arial" w:cs="Arial" w:eastAsia="Arial" w:hAnsi="Arial"/>
                <w:sz w:val="12"/>
                <w:szCs w:val="12"/>
                <w:color w:val="auto"/>
              </w:rPr>
              <w:t>746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746</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(13 )</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(13 )</w:t>
            </w: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(9,614 )</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(9,614 )</w:t>
            </w:r>
          </w:p>
        </w:tc>
        <w:tc>
          <w:tcPr>
            <w:tcW w:w="0" w:type="dxa"/>
            <w:vAlign w:val="bottom"/>
          </w:tcPr>
          <w:p>
            <w:pPr>
              <w:spacing w:after="0"/>
              <w:rPr>
                <w:sz w:val="1"/>
                <w:szCs w:val="1"/>
                <w:color w:val="auto"/>
              </w:rPr>
            </w:pPr>
          </w:p>
        </w:tc>
      </w:tr>
      <w:tr>
        <w:trPr>
          <w:trHeight w:val="198"/>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2023</w:t>
            </w: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148,427</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(117,498 )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30,771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-3788410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-3788410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-3788410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-3788410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-3788410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-3788410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-2296795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-2296795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-2296795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-2296795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-2296795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-2296795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-1122045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-1104900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-1122045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-1104900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-1122045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-1104900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-1122045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-1104900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-1122045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-1104900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-1122045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-1104900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jc w:val="center"/>
        <w:ind w:right="4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(30,458 )</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(18,409 )</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Depreciation expense</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466</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Loss on the sale of fixed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Non-cash stock compensation expense</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2,884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1,466</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Non-cash lease expense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Non-cash interest expense</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51</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Change in fair value of warrant liability</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13,332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(868 )</w:t>
            </w: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Accretion of debt discount</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154</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419</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87</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(1,162 )</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Deferred income</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Lease liability</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(225 )</w:t>
            </w:r>
          </w:p>
        </w:tc>
      </w:tr>
      <w:tr>
        <w:trPr>
          <w:trHeight w:val="223"/>
        </w:trPr>
        <w:tc>
          <w:tcPr>
            <w:tcW w:w="7760" w:type="dxa"/>
            <w:vAlign w:val="bottom"/>
          </w:tcPr>
          <w:p>
            <w:pPr>
              <w:ind w:left="28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(14,636 )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(18,014 )</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Purchase of fixed assets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(307 )</w:t>
            </w:r>
          </w:p>
        </w:tc>
      </w:tr>
      <w:tr>
        <w:trPr>
          <w:trHeight w:val="230"/>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Proceeds from the sale of fixed assets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157</w:t>
            </w:r>
          </w:p>
        </w:tc>
      </w:tr>
      <w:tr>
        <w:trPr>
          <w:trHeight w:val="223"/>
        </w:trPr>
        <w:tc>
          <w:tcPr>
            <w:tcW w:w="776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(150 )</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Proceeds from option exercises</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60" w:type="dxa"/>
            <w:vAlign w:val="bottom"/>
            <w:shd w:val="clear" w:color="auto" w:fill="CFF0FC"/>
          </w:tcPr>
          <w:p>
            <w:pPr>
              <w:ind w:left="780"/>
              <w:spacing w:after="0" w:line="197" w:lineRule="exact"/>
              <w:rPr>
                <w:sz w:val="20"/>
                <w:szCs w:val="20"/>
                <w:color w:val="auto"/>
              </w:rPr>
            </w:pPr>
            <w:r>
              <w:rPr>
                <w:rFonts w:ascii="Arial" w:cs="Arial" w:eastAsia="Arial" w:hAnsi="Arial"/>
                <w:sz w:val="18"/>
                <w:szCs w:val="18"/>
                <w:color w:val="auto"/>
              </w:rPr>
              <w:t>Proceeds from sale of common stock,</w:t>
            </w: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35"/>
        </w:trPr>
        <w:tc>
          <w:tcPr>
            <w:tcW w:w="7760" w:type="dxa"/>
            <w:vAlign w:val="bottom"/>
            <w:shd w:val="clear" w:color="auto" w:fill="CFF0FC"/>
          </w:tcPr>
          <w:p>
            <w:pPr>
              <w:ind w:left="920"/>
              <w:spacing w:after="0"/>
              <w:rPr>
                <w:sz w:val="20"/>
                <w:szCs w:val="20"/>
                <w:color w:val="auto"/>
              </w:rPr>
            </w:pPr>
            <w:r>
              <w:rPr>
                <w:rFonts w:ascii="Arial" w:cs="Arial" w:eastAsia="Arial" w:hAnsi="Arial"/>
                <w:sz w:val="18"/>
                <w:szCs w:val="18"/>
                <w:color w:val="auto"/>
              </w:rPr>
              <w:t>net of issuance costs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3,641</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Principal payments on term loan</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690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decrease in cash</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4"/>
              </w:rPr>
              <w:t>(13,959 )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(18,164 )</w:t>
            </w: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35,679</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70,324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Pr>
          <w:p>
            <w:pPr>
              <w:jc w:val="right"/>
              <w:ind w:right="733"/>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21,720</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52,160</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Cash paid for taxes</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168</w:t>
            </w:r>
          </w:p>
        </w:tc>
      </w:tr>
      <w:tr>
        <w:trPr>
          <w:trHeight w:val="230"/>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FF0FC"/>
          </w:tcPr>
          <w:p>
            <w:pPr>
              <w:jc w:val="right"/>
              <w:ind w:right="73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1,041</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1,037</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Capital expenditures in accounts payable and accrued expenses</w:t>
            </w:r>
          </w:p>
        </w:tc>
        <w:tc>
          <w:tcPr>
            <w:tcW w:w="940" w:type="dxa"/>
            <w:vAlign w:val="bottom"/>
            <w:shd w:val="clear" w:color="auto" w:fill="CFF0FC"/>
          </w:tcPr>
          <w:p>
            <w:pPr>
              <w:jc w:val="right"/>
              <w:ind w:right="73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-2836545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-2236470</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-1208405</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-908050</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 w:name="page12"/>
    <w:bookmarkEnd w:id="11"/>
    <w:p>
      <w:pPr>
        <w:ind w:left="430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7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has incurred recurring losses since its inception, including a net loss of $30.5 million and $18.4 million for the six months ended June 30, 2024 and 2023, respectively. In addition, as of June 30, 2024, the Company had an accumulated deficit of $167.5 million. The Company expects to continue to generate operating losses and negative cash flows from operations for the foreseeable future.</w:t>
      </w:r>
    </w:p>
    <w:p>
      <w:pPr>
        <w:spacing w:after="0" w:line="69"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Shelf) with the U.S. Securities and Exchange Commission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June 30, 2024, the Company has sold and issued 584,890 shares of common stock under the ATM Program, with total net proceeds of $3.6 million. Subsequent to June 30, 2024 and through August 5, 2024, the Company has sold and issued 683,851 additional shares of common stock under the ATM Program, with total net proceeds of $4.1 million.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Company’s cash and cash equivalents were $21.5 million as of June 30, 2024. In accordance with the Financial Accounting Standards Board (FASB) Accounting Standards Codification (ASC), 205-40, Presentation of Financial Statements - Going Concern, management is required to assess the Company’s ability to continue as a going concern for the one-year look forward period following the date that the condensed consolidated financial statements are issued. The Company expects to continue to generate operating losses and negative cash flows from operations. Based on these conditions, the Company has determined that substantial doubt exists regarding its ability to continue as a going concern for the one-year period following the date these condensed consolidated financial statements are issued. To sustain its future operations beyond such one-year period, the Company will require additional funding. The Company expects to finance its cash needs through a combination of public or private equity or debt financings, government grants, and other sources, which may include collaborations, strategic alliances and licensing arrangements with third parties. There is no assurance that the Company will be successful in obtaining sufficient funding on acceptable terms, if at all, and the Company could be forced to delay, reduce, or eliminate some or all of its research, clinical trials, product development or future commercialization efforts, which could materially adversely affect its business prospects or its ability to continue as a going concern.</w:t>
      </w:r>
    </w:p>
    <w:p>
      <w:pPr>
        <w:spacing w:after="0" w:line="7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accompanying condensed consolidated financial statements have been prepared in accordance with accounting standards set by the FASB.</w:t>
      </w:r>
      <w:r>
        <w:rPr>
          <w:rFonts w:ascii="Arial" w:cs="Arial" w:eastAsia="Arial" w:hAnsi="Arial"/>
          <w:sz w:val="18"/>
          <w:szCs w:val="18"/>
          <w:color w:val="auto"/>
        </w:rPr>
        <w:t xml:space="preserve"> </w:t>
      </w:r>
      <w:r>
        <w:rPr>
          <w:rFonts w:ascii="Arial" w:cs="Arial" w:eastAsia="Arial" w:hAnsi="Arial"/>
          <w:sz w:val="17"/>
          <w:szCs w:val="17"/>
          <w:color w:val="auto"/>
        </w:rPr>
        <w:t>The FASB sets generally accepted accounting principles (GAAP) that the Company follows to ensure its financial condition, results of operations, and cash flows are consistently reported. References to GAAP issued by the FASB in these notes to the condensed consolidated financial</w:t>
      </w:r>
    </w:p>
    <w:p>
      <w:pPr>
        <w:spacing w:after="0" w:line="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statements are to the FASB ASC. The Company has reclassified certain amounts relating to its prior period results to conform to its current period presentation.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8"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condensed consolidated financial statements include the accounts of Candel Therapeutics, Inc. and its wholly owned subsidiary Candel Therapeutics Securities Corporation. All intercompany transactions and balances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accompanying condensed consolidated balance sheet as of June 30, 2024, the condensed consolidated statements of operations for the three and six months ended June 30, 2024 and 2023, the condensed consolidated statements of stockholders’ equity (deficit) for the three and six months ended June 30, 2024 and 2023, the condensed consolidated statements of cash flows for the six months ended June 30, 2024 and 2023,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unaudited condensed consolidated financial statements should be read in conjunction with the Company’s audited consolidated financial statements and notes thereto for the year ended December 31, 2023 included in the Company’s Annual Report on Form 10-K on file with the SEC.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preparation of the Company’s condensed consolidated financial statements in conformity with GAAP requires management to make estimates</w:t>
      </w:r>
      <w:r>
        <w:rPr>
          <w:rFonts w:ascii="Arial" w:cs="Arial" w:eastAsia="Arial" w:hAnsi="Arial"/>
          <w:sz w:val="18"/>
          <w:szCs w:val="18"/>
          <w:color w:val="auto"/>
        </w:rPr>
        <w:t xml:space="preserve"> </w:t>
      </w:r>
      <w:r>
        <w:rPr>
          <w:rFonts w:ascii="Arial" w:cs="Arial" w:eastAsia="Arial" w:hAnsi="Arial"/>
          <w:sz w:val="17"/>
          <w:szCs w:val="17"/>
          <w:color w:val="auto"/>
        </w:rPr>
        <w:t>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8" w:lineRule="exact"/>
        <w:rPr>
          <w:sz w:val="20"/>
          <w:szCs w:val="20"/>
          <w:color w:val="auto"/>
        </w:rPr>
      </w:pPr>
    </w:p>
    <w:p>
      <w:pPr>
        <w:ind w:right="560"/>
        <w:spacing w:after="0" w:line="267" w:lineRule="auto"/>
        <w:rPr>
          <w:sz w:val="20"/>
          <w:szCs w:val="20"/>
          <w:color w:val="auto"/>
        </w:rPr>
      </w:pPr>
      <w:r>
        <w:rPr>
          <w:rFonts w:ascii="Arial" w:cs="Arial" w:eastAsia="Arial" w:hAnsi="Arial"/>
          <w:sz w:val="17"/>
          <w:szCs w:val="17"/>
          <w:color w:val="auto"/>
        </w:rPr>
        <w:t>The Company had $0.3 million of restricted cash as of both June 30, 2024 and December 31, 2023, which represents cash held as a security deposit under the terms of the Company’s Needham, Massachusetts facility lease.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ind w:right="120"/>
        <w:spacing w:after="0" w:line="249" w:lineRule="auto"/>
        <w:rPr>
          <w:sz w:val="20"/>
          <w:szCs w:val="20"/>
          <w:color w:val="auto"/>
        </w:rPr>
      </w:pPr>
      <w:r>
        <w:rPr>
          <w:rFonts w:ascii="Arial" w:cs="Arial" w:eastAsia="Arial" w:hAnsi="Arial"/>
          <w:sz w:val="17"/>
          <w:szCs w:val="17"/>
          <w:color w:val="auto"/>
        </w:rPr>
        <w:t>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condensed consolidated financial statements and related disclosures.</w:t>
      </w:r>
    </w:p>
    <w:p>
      <w:pPr>
        <w:spacing w:after="0" w:line="6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November 2023, the FASB issued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 periods beginning after December 15, 2023. Early adoption is permitted. The Company is currently evaluating the potential impact that the adoption of ASU 2023-07 may have on its condensed consolidated financial statements and related disclosures.</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condensed consolidated financial statements and related disclosures.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JUNE 30, 2024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14,248</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14,248</w:t>
            </w:r>
          </w:p>
        </w:tc>
      </w:tr>
      <w:tr>
        <w:trPr>
          <w:trHeight w:val="263"/>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14,248</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14,248</w:t>
            </w:r>
          </w:p>
        </w:tc>
      </w:tr>
      <w:tr>
        <w:trPr>
          <w:trHeight w:val="349"/>
        </w:trPr>
        <w:tc>
          <w:tcPr>
            <w:tcW w:w="5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DECEMBER 31, 2023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916</w:t>
            </w:r>
          </w:p>
        </w:tc>
      </w:tr>
      <w:tr>
        <w:trPr>
          <w:trHeight w:val="263"/>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916</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-984885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-967740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-984885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-967740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-984885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-967740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79"/>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40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79"/>
              <w:spacing w:after="0"/>
              <w:rPr>
                <w:sz w:val="20"/>
                <w:szCs w:val="20"/>
                <w:color w:val="auto"/>
              </w:rPr>
            </w:pPr>
            <w:r>
              <w:rPr>
                <w:rFonts w:ascii="Arial" w:cs="Arial" w:eastAsia="Arial" w:hAnsi="Arial"/>
                <w:sz w:val="14"/>
                <w:szCs w:val="14"/>
                <w:b w:val="1"/>
                <w:bCs w:val="1"/>
                <w:color w:val="auto"/>
              </w:rPr>
              <w:t>WARRANT</w:t>
            </w:r>
          </w:p>
        </w:tc>
      </w:tr>
      <w:tr>
        <w:trPr>
          <w:trHeight w:val="185"/>
        </w:trPr>
        <w:tc>
          <w:tcPr>
            <w:tcW w:w="40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2023</w:t>
            </w:r>
          </w:p>
        </w:tc>
        <w:tc>
          <w:tcPr>
            <w:tcW w:w="5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916</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5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13,332</w:t>
            </w: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2024</w:t>
            </w:r>
          </w:p>
        </w:tc>
        <w:tc>
          <w:tcPr>
            <w:tcW w:w="5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14,248</w:t>
            </w:r>
          </w:p>
        </w:tc>
      </w:tr>
      <w:tr>
        <w:trPr>
          <w:trHeight w:val="862"/>
        </w:trPr>
        <w:tc>
          <w:tcPr>
            <w:tcW w:w="4040" w:type="dxa"/>
            <w:vAlign w:val="bottom"/>
            <w:tcBorders>
              <w:top w:val="single" w:sz="8" w:color="CFF0FC"/>
            </w:tcBorders>
          </w:tcPr>
          <w:p>
            <w:pPr>
              <w:spacing w:after="0"/>
              <w:rPr>
                <w:sz w:val="24"/>
                <w:szCs w:val="24"/>
                <w:color w:val="auto"/>
              </w:rPr>
            </w:pPr>
          </w:p>
        </w:tc>
        <w:tc>
          <w:tcPr>
            <w:tcW w:w="5220" w:type="dxa"/>
            <w:vAlign w:val="bottom"/>
            <w:tcBorders>
              <w:top w:val="single" w:sz="8" w:color="CFF0FC"/>
            </w:tcBorders>
          </w:tcPr>
          <w:p>
            <w:pPr>
              <w:jc w:val="right"/>
              <w:ind w:right="3490"/>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745"/>
        </w:trPr>
        <w:tc>
          <w:tcPr>
            <w:tcW w:w="40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Fixed Assets,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Fixed assets, net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94"/>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1,219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3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730</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Networking and computer equipment</w:t>
            </w:r>
          </w:p>
        </w:tc>
        <w:tc>
          <w:tcPr>
            <w:tcW w:w="3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88</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3,109</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3,109</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fixed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5,308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5,295</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(2,089 )</w:t>
            </w:r>
          </w:p>
        </w:tc>
      </w:tr>
      <w:tr>
        <w:trPr>
          <w:trHeight w:val="223"/>
        </w:trPr>
        <w:tc>
          <w:tcPr>
            <w:tcW w:w="7720" w:type="dxa"/>
            <w:vAlign w:val="bottom"/>
          </w:tcPr>
          <w:p>
            <w:pPr>
              <w:ind w:left="280"/>
              <w:spacing w:after="0"/>
              <w:rPr>
                <w:sz w:val="20"/>
                <w:szCs w:val="20"/>
                <w:color w:val="auto"/>
              </w:rPr>
            </w:pPr>
            <w:r>
              <w:rPr>
                <w:rFonts w:ascii="Arial" w:cs="Arial" w:eastAsia="Arial" w:hAnsi="Arial"/>
                <w:sz w:val="18"/>
                <w:szCs w:val="18"/>
                <w:b w:val="1"/>
                <w:bCs w:val="1"/>
                <w:color w:val="auto"/>
              </w:rPr>
              <w:t>Fixed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2,719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3,206</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-479425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$0.2 million and $0.5 million for each of the three and six months ended June 30, 2024 and 2023,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 related expenses</w:t>
            </w:r>
          </w:p>
        </w:tc>
        <w:tc>
          <w:tcPr>
            <w:tcW w:w="110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2,021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2,017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Third-party research and development expenses</w:t>
            </w:r>
          </w:p>
        </w:tc>
        <w:tc>
          <w:tcPr>
            <w:tcW w:w="11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1,811</w:t>
            </w: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1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664</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528</w:t>
            </w:r>
          </w:p>
        </w:tc>
      </w:tr>
      <w:tr>
        <w:trPr>
          <w:trHeight w:val="223"/>
        </w:trPr>
        <w:tc>
          <w:tcPr>
            <w:tcW w:w="7720" w:type="dxa"/>
            <w:vAlign w:val="bottom"/>
          </w:tcPr>
          <w:p>
            <w:pPr>
              <w:spacing w:after="0"/>
              <w:rPr>
                <w:sz w:val="19"/>
                <w:szCs w:val="19"/>
                <w:color w:val="auto"/>
              </w:rPr>
            </w:pP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3,215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4,356</w:t>
            </w:r>
          </w:p>
        </w:tc>
      </w:tr>
      <w:tr>
        <w:trPr>
          <w:trHeight w:val="20"/>
        </w:trPr>
        <w:tc>
          <w:tcPr>
            <w:tcW w:w="7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-179705</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7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74"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During the three and six months ended June 30, 2024, the Company recorded interest expense relating to the Loan Agreement of $0.5 million and $1.2 million, respectively. During the three and six months ended June 30, 2023, the Company recorded interest expense relating to the Loan Agreement of $0.6 million and $1.2 million, respectively. The weighted average effective interest rate as of June 30, 2024 was 11.56%.</w:t>
      </w:r>
    </w:p>
    <w:p>
      <w:pPr>
        <w:spacing w:after="0" w:line="67"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 (remaining six months)</w:t>
            </w:r>
          </w:p>
        </w:tc>
        <w:tc>
          <w:tcPr>
            <w:tcW w:w="138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2025</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2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3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00" w:type="dxa"/>
            <w:vAlign w:val="bottom"/>
          </w:tcPr>
          <w:p>
            <w:pPr>
              <w:ind w:left="280"/>
              <w:spacing w:after="0"/>
              <w:rPr>
                <w:sz w:val="20"/>
                <w:szCs w:val="20"/>
                <w:color w:val="auto"/>
              </w:rPr>
            </w:pPr>
            <w:r>
              <w:rPr>
                <w:rFonts w:ascii="Arial" w:cs="Arial" w:eastAsia="Arial" w:hAnsi="Arial"/>
                <w:sz w:val="18"/>
                <w:szCs w:val="18"/>
                <w:color w:val="auto"/>
              </w:rPr>
              <w:t>Total principal</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15,833</w:t>
            </w:r>
          </w:p>
        </w:tc>
        <w:tc>
          <w:tcPr>
            <w:tcW w:w="100" w:type="dxa"/>
            <w:vAlign w:val="bottom"/>
          </w:tcPr>
          <w:p>
            <w:pPr>
              <w:spacing w:after="0"/>
              <w:rPr>
                <w:sz w:val="19"/>
                <w:szCs w:val="19"/>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Final payment fee</w:t>
            </w:r>
          </w:p>
        </w:tc>
        <w:tc>
          <w:tcPr>
            <w:tcW w:w="13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Less: debt discount</w:t>
            </w:r>
          </w:p>
        </w:tc>
        <w:tc>
          <w:tcPr>
            <w:tcW w:w="138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(989 )</w:t>
            </w:r>
          </w:p>
        </w:tc>
      </w:tr>
      <w:tr>
        <w:trPr>
          <w:trHeight w:val="23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Accretion of debt discount</w:t>
            </w:r>
          </w:p>
        </w:tc>
        <w:tc>
          <w:tcPr>
            <w:tcW w:w="13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16,514</w:t>
            </w:r>
          </w:p>
        </w:tc>
        <w:tc>
          <w:tcPr>
            <w:tcW w:w="100" w:type="dxa"/>
            <w:vAlign w:val="bottom"/>
          </w:tcPr>
          <w:p>
            <w:pPr>
              <w:spacing w:after="0"/>
              <w:rPr>
                <w:sz w:val="19"/>
                <w:szCs w:val="19"/>
                <w:color w:val="auto"/>
              </w:rPr>
            </w:pPr>
          </w:p>
        </w:tc>
      </w:tr>
      <w:tr>
        <w:trPr>
          <w:trHeight w:val="230"/>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13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(9,809 )</w:t>
            </w:r>
          </w:p>
        </w:tc>
      </w:tr>
      <w:tr>
        <w:trPr>
          <w:trHeight w:val="223"/>
        </w:trPr>
        <w:tc>
          <w:tcPr>
            <w:tcW w:w="7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portion</w:t>
            </w: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100" w:type="dxa"/>
            <w:vAlign w:val="bottom"/>
            <w:tcBorders>
              <w:top w:val="single" w:sz="8" w:color="CFF0FC"/>
            </w:tcBorders>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Periphagen Note</w:t>
      </w:r>
    </w:p>
    <w:p>
      <w:pPr>
        <w:spacing w:after="0" w:line="10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December 9, 2019, the Company entered into a series of asset purchase agreements with Periphagen, Inc. (Periphagen), a biopharmaceutical</w:t>
      </w:r>
      <w:r>
        <w:rPr>
          <w:rFonts w:ascii="Arial" w:cs="Arial" w:eastAsia="Arial" w:hAnsi="Arial"/>
          <w:sz w:val="18"/>
          <w:szCs w:val="18"/>
          <w:color w:val="auto"/>
        </w:rPr>
        <w:t xml:space="preserve"> </w:t>
      </w:r>
      <w:r>
        <w:rPr>
          <w:rFonts w:ascii="Arial" w:cs="Arial" w:eastAsia="Arial" w:hAnsi="Arial"/>
          <w:sz w:val="17"/>
          <w:szCs w:val="17"/>
          <w:color w:val="auto"/>
        </w:rPr>
        <w:t>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June 30, 2024, the carrying value of the note is $0.8 million. The carrying value of the note approximates fair value. Upon maturity, the Company will pay Periphagen $1.4 million for the outstanding balance and accrued interest due.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Lease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rPr>
          <w:sz w:val="20"/>
          <w:szCs w:val="20"/>
          <w:color w:val="auto"/>
        </w:rPr>
      </w:pPr>
      <w:r>
        <w:rPr>
          <w:rFonts w:ascii="Arial" w:cs="Arial" w:eastAsia="Arial" w:hAnsi="Arial"/>
          <w:sz w:val="17"/>
          <w:szCs w:val="17"/>
          <w:color w:val="auto"/>
        </w:rPr>
        <w:t>The lease term ends on August 31, 2026.</w:t>
      </w:r>
    </w:p>
    <w:p>
      <w:pPr>
        <w:spacing w:after="0" w:line="86"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For the three and six months ended June 30, 2024, the Company recorded $90,000 and $0.2 million, respectively, of operating lease cost, and for the three and six months ended June 30, 2024, the Company recorded $44,000 and $83,000, respectively, of variable lease cost. The total lease expense for each of the three and six months ended June 30, 2024 was $0.1 million and $0.3 million, respectively.</w:t>
      </w:r>
    </w:p>
    <w:p>
      <w:pPr>
        <w:spacing w:after="0" w:line="67"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For the three and six months ended June 30, 2023, the Company recorded $90,000 and $0.2 million, respectively, of operating lease cost, and for the three and six months ended June 30, 2023, the Company recorded $35,000 and $85,000, respectively, of variable lease cost. The total lease expense for the three and six months ended June 30, 2023 was $0.1 million and $0.3 million, respectively.</w:t>
      </w:r>
    </w:p>
    <w:p>
      <w:pPr>
        <w:spacing w:after="0" w:line="6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Cash paid for amounts included in the lease liability for each of the three and six months ended June 30, 2024 and 2023 was $0.1 million and $0.3 million,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gridSpan w:val="4"/>
          </w:tcPr>
          <w:p>
            <w:pPr>
              <w:jc w:val="center"/>
              <w:ind w:left="681"/>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2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left="681"/>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200" w:type="dxa"/>
            <w:vAlign w:val="bottom"/>
          </w:tcPr>
          <w:p>
            <w:pPr>
              <w:spacing w:after="0"/>
              <w:rPr>
                <w:sz w:val="15"/>
                <w:szCs w:val="15"/>
                <w:color w:val="auto"/>
              </w:rPr>
            </w:pPr>
          </w:p>
        </w:tc>
        <w:tc>
          <w:tcPr>
            <w:tcW w:w="44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Other Information</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120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cash flows used for operating leases</w:t>
            </w: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w:t>
            </w:r>
          </w:p>
        </w:tc>
        <w:tc>
          <w:tcPr>
            <w:tcW w:w="80" w:type="dxa"/>
            <w:vAlign w:val="bottom"/>
            <w:shd w:val="clear" w:color="auto" w:fill="CFF0FC"/>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700" w:type="dxa"/>
            <w:vAlign w:val="bottom"/>
            <w:gridSpan w:val="2"/>
          </w:tcPr>
          <w:p>
            <w:pPr>
              <w:ind w:left="60"/>
              <w:spacing w:after="0"/>
              <w:rPr>
                <w:sz w:val="20"/>
                <w:szCs w:val="20"/>
                <w:color w:val="auto"/>
              </w:rPr>
            </w:pPr>
            <w:r>
              <w:rPr>
                <w:rFonts w:ascii="Arial" w:cs="Arial" w:eastAsia="Arial" w:hAnsi="Arial"/>
                <w:sz w:val="17"/>
                <w:szCs w:val="17"/>
                <w:color w:val="auto"/>
              </w:rPr>
              <w:t>Weighted-average remaining lease term (years)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700" w:type="dxa"/>
            <w:vAlign w:val="bottom"/>
            <w:gridSpan w:val="2"/>
          </w:tcPr>
          <w:p>
            <w:pPr>
              <w:ind w:left="60"/>
              <w:spacing w:after="0"/>
              <w:rPr>
                <w:sz w:val="20"/>
                <w:szCs w:val="20"/>
                <w:color w:val="auto"/>
              </w:rPr>
            </w:pPr>
            <w:r>
              <w:rPr>
                <w:rFonts w:ascii="Arial" w:cs="Arial" w:eastAsia="Arial" w:hAnsi="Arial"/>
                <w:sz w:val="17"/>
                <w:szCs w:val="17"/>
                <w:color w:val="auto"/>
              </w:rPr>
              <w:t>Weighted-average incremental borrowing rate</w:t>
            </w:r>
          </w:p>
        </w:tc>
        <w:tc>
          <w:tcPr>
            <w:tcW w:w="44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7.02 %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3"/>
          </w:tcPr>
          <w:p>
            <w:pPr>
              <w:jc w:val="right"/>
              <w:ind w:right="1000"/>
              <w:spacing w:after="0"/>
              <w:rPr>
                <w:sz w:val="20"/>
                <w:szCs w:val="20"/>
                <w:color w:val="auto"/>
              </w:rPr>
            </w:pPr>
            <w:r>
              <w:rPr>
                <w:rFonts w:ascii="Arial" w:cs="Arial" w:eastAsia="Arial" w:hAnsi="Arial"/>
                <w:sz w:val="17"/>
                <w:szCs w:val="17"/>
                <w:color w:val="auto"/>
              </w:rPr>
              <w:t>7.02 %</w:t>
            </w:r>
          </w:p>
        </w:tc>
        <w:tc>
          <w:tcPr>
            <w:tcW w:w="100" w:type="dxa"/>
            <w:vAlign w:val="bottom"/>
          </w:tcPr>
          <w:p>
            <w:pPr>
              <w:spacing w:after="0"/>
              <w:rPr>
                <w:sz w:val="18"/>
                <w:szCs w:val="18"/>
                <w:color w:val="auto"/>
              </w:rPr>
            </w:pPr>
          </w:p>
        </w:tc>
      </w:tr>
      <w:tr>
        <w:trPr>
          <w:trHeight w:val="311"/>
        </w:trPr>
        <w:tc>
          <w:tcPr>
            <w:tcW w:w="8120" w:type="dxa"/>
            <w:vAlign w:val="bottom"/>
            <w:gridSpan w:val="6"/>
          </w:tcPr>
          <w:p>
            <w:pPr>
              <w:spacing w:after="0"/>
              <w:rPr>
                <w:sz w:val="20"/>
                <w:szCs w:val="20"/>
                <w:color w:val="auto"/>
              </w:rPr>
            </w:pPr>
            <w:r>
              <w:rPr>
                <w:rFonts w:ascii="Arial" w:cs="Arial" w:eastAsia="Arial" w:hAnsi="Arial"/>
                <w:sz w:val="17"/>
                <w:szCs w:val="17"/>
                <w:color w:val="auto"/>
              </w:rPr>
              <w:t>The future lease payments under non-cancelable leases at June 30, 2024, are as follows (in thousands):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12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200" w:type="dxa"/>
            <w:vAlign w:val="bottom"/>
            <w:shd w:val="clear" w:color="auto" w:fill="CFF0FC"/>
          </w:tcPr>
          <w:p>
            <w:pPr>
              <w:jc w:val="right"/>
              <w:ind w:right="675"/>
              <w:spacing w:after="0"/>
              <w:rPr>
                <w:sz w:val="20"/>
                <w:szCs w:val="20"/>
                <w:color w:val="auto"/>
              </w:rPr>
            </w:pPr>
            <w:r>
              <w:rPr>
                <w:rFonts w:ascii="Arial" w:cs="Arial" w:eastAsia="Arial" w:hAnsi="Arial"/>
                <w:sz w:val="17"/>
                <w:szCs w:val="17"/>
                <w:color w:val="auto"/>
              </w:rPr>
              <w:t>2024</w:t>
            </w:r>
          </w:p>
        </w:tc>
        <w:tc>
          <w:tcPr>
            <w:tcW w:w="4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3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jc w:val="right"/>
              <w:ind w:right="675"/>
              <w:spacing w:after="0"/>
              <w:rPr>
                <w:sz w:val="20"/>
                <w:szCs w:val="20"/>
                <w:color w:val="auto"/>
              </w:rPr>
            </w:pPr>
            <w:r>
              <w:rPr>
                <w:rFonts w:ascii="Arial" w:cs="Arial" w:eastAsia="Arial" w:hAnsi="Arial"/>
                <w:sz w:val="17"/>
                <w:szCs w:val="17"/>
                <w:color w:val="auto"/>
              </w:rPr>
              <w:t>2025</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3"/>
          </w:tcPr>
          <w:p>
            <w:pPr>
              <w:jc w:val="right"/>
              <w:ind w:right="20"/>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18"/>
                <w:szCs w:val="18"/>
                <w:color w:val="auto"/>
              </w:rPr>
            </w:pPr>
          </w:p>
        </w:tc>
      </w:tr>
      <w:tr>
        <w:trPr>
          <w:trHeight w:val="216"/>
        </w:trPr>
        <w:tc>
          <w:tcPr>
            <w:tcW w:w="1200" w:type="dxa"/>
            <w:vAlign w:val="bottom"/>
            <w:tcBorders>
              <w:bottom w:val="single" w:sz="8" w:color="CFF0FC"/>
            </w:tcBorders>
            <w:shd w:val="clear" w:color="auto" w:fill="CFF0FC"/>
          </w:tcPr>
          <w:p>
            <w:pPr>
              <w:jc w:val="right"/>
              <w:ind w:right="675"/>
              <w:spacing w:after="0"/>
              <w:rPr>
                <w:sz w:val="20"/>
                <w:szCs w:val="20"/>
                <w:color w:val="auto"/>
              </w:rPr>
            </w:pPr>
            <w:r>
              <w:rPr>
                <w:rFonts w:ascii="Arial" w:cs="Arial" w:eastAsia="Arial" w:hAnsi="Arial"/>
                <w:sz w:val="17"/>
                <w:szCs w:val="17"/>
                <w:color w:val="auto"/>
              </w:rPr>
              <w:t>2026</w:t>
            </w:r>
          </w:p>
        </w:tc>
        <w:tc>
          <w:tcPr>
            <w:tcW w:w="4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3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gridSpan w:val="3"/>
          </w:tcPr>
          <w:p>
            <w:pPr>
              <w:ind w:left="300"/>
              <w:spacing w:after="0"/>
              <w:rPr>
                <w:sz w:val="20"/>
                <w:szCs w:val="20"/>
                <w:color w:val="auto"/>
              </w:rPr>
            </w:pPr>
            <w:r>
              <w:rPr>
                <w:rFonts w:ascii="Arial" w:cs="Arial" w:eastAsia="Arial" w:hAnsi="Arial"/>
                <w:sz w:val="17"/>
                <w:szCs w:val="17"/>
                <w:color w:val="auto"/>
              </w:rPr>
              <w:t>Total future lease payments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3"/>
          </w:tcPr>
          <w:p>
            <w:pPr>
              <w:jc w:val="right"/>
              <w:ind w:right="20"/>
              <w:spacing w:after="0"/>
              <w:rPr>
                <w:sz w:val="20"/>
                <w:szCs w:val="20"/>
                <w:color w:val="auto"/>
              </w:rPr>
            </w:pPr>
            <w:r>
              <w:rPr>
                <w:rFonts w:ascii="Arial" w:cs="Arial" w:eastAsia="Arial" w:hAnsi="Arial"/>
                <w:sz w:val="17"/>
                <w:szCs w:val="17"/>
                <w:color w:val="auto"/>
              </w:rPr>
              <w:t>1,329</w:t>
            </w:r>
          </w:p>
        </w:tc>
        <w:tc>
          <w:tcPr>
            <w:tcW w:w="100" w:type="dxa"/>
            <w:vAlign w:val="bottom"/>
          </w:tcPr>
          <w:p>
            <w:pPr>
              <w:spacing w:after="0"/>
              <w:rPr>
                <w:sz w:val="18"/>
                <w:szCs w:val="18"/>
                <w:color w:val="auto"/>
              </w:rPr>
            </w:pPr>
          </w:p>
        </w:tc>
      </w:tr>
      <w:tr>
        <w:trPr>
          <w:trHeight w:val="216"/>
        </w:trPr>
        <w:tc>
          <w:tcPr>
            <w:tcW w:w="590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Less: imputed interest</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60" w:type="dxa"/>
            <w:vAlign w:val="bottom"/>
            <w:gridSpan w:val="4"/>
            <w:shd w:val="clear" w:color="auto" w:fill="CFF0FC"/>
          </w:tcPr>
          <w:p>
            <w:pPr>
              <w:jc w:val="right"/>
              <w:ind w:right="40"/>
              <w:spacing w:after="0"/>
              <w:rPr>
                <w:sz w:val="20"/>
                <w:szCs w:val="20"/>
                <w:color w:val="auto"/>
              </w:rPr>
            </w:pPr>
            <w:r>
              <w:rPr>
                <w:rFonts w:ascii="Arial" w:cs="Arial" w:eastAsia="Arial" w:hAnsi="Arial"/>
                <w:sz w:val="17"/>
                <w:szCs w:val="17"/>
                <w:color w:val="auto"/>
              </w:rPr>
              <w:t>(92 )</w:t>
            </w:r>
          </w:p>
        </w:tc>
      </w:tr>
      <w:tr>
        <w:trPr>
          <w:trHeight w:val="209"/>
        </w:trPr>
        <w:tc>
          <w:tcPr>
            <w:tcW w:w="5900" w:type="dxa"/>
            <w:vAlign w:val="bottom"/>
            <w:tcBorders>
              <w:top w:val="single" w:sz="8" w:color="CFF0FC"/>
            </w:tcBorders>
            <w:gridSpan w:val="3"/>
          </w:tcPr>
          <w:p>
            <w:pPr>
              <w:ind w:left="20"/>
              <w:spacing w:after="0"/>
              <w:rPr>
                <w:sz w:val="20"/>
                <w:szCs w:val="20"/>
                <w:color w:val="auto"/>
              </w:rPr>
            </w:pPr>
            <w:r>
              <w:rPr>
                <w:rFonts w:ascii="Arial" w:cs="Arial" w:eastAsia="Arial" w:hAnsi="Arial"/>
                <w:sz w:val="17"/>
                <w:szCs w:val="17"/>
                <w:color w:val="auto"/>
              </w:rPr>
              <w:t>Total lease liability</w:t>
            </w:r>
          </w:p>
        </w:tc>
        <w:tc>
          <w:tcPr>
            <w:tcW w:w="44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23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1,237</w:t>
            </w:r>
          </w:p>
        </w:tc>
        <w:tc>
          <w:tcPr>
            <w:tcW w:w="100" w:type="dxa"/>
            <w:vAlign w:val="bottom"/>
            <w:tcBorders>
              <w:top w:val="single" w:sz="8" w:color="CFF0FC"/>
            </w:tcBorders>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-1259840</wp:posOffset>
            </wp:positionV>
            <wp:extent cx="563181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are voting and dividends may be paid when, as and if declared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120" w:type="dxa"/>
            <w:vAlign w:val="bottom"/>
          </w:tcPr>
          <w:p>
            <w:pPr>
              <w:jc w:val="right"/>
              <w:ind w:right="65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780" w:type="dxa"/>
            <w:vAlign w:val="bottom"/>
          </w:tcPr>
          <w:p>
            <w:pPr>
              <w:spacing w:after="0"/>
              <w:rPr>
                <w:sz w:val="17"/>
                <w:szCs w:val="17"/>
                <w:color w:val="auto"/>
              </w:rPr>
            </w:pPr>
          </w:p>
        </w:tc>
        <w:tc>
          <w:tcPr>
            <w:tcW w:w="2120" w:type="dxa"/>
            <w:vAlign w:val="bottom"/>
          </w:tcPr>
          <w:p>
            <w:pPr>
              <w:jc w:val="right"/>
              <w:ind w:right="818"/>
              <w:spacing w:after="0"/>
              <w:rPr>
                <w:sz w:val="20"/>
                <w:szCs w:val="20"/>
                <w:color w:val="auto"/>
              </w:rPr>
            </w:pPr>
            <w:r>
              <w:rPr>
                <w:rFonts w:ascii="Arial" w:cs="Arial" w:eastAsia="Arial" w:hAnsi="Arial"/>
                <w:sz w:val="14"/>
                <w:szCs w:val="14"/>
                <w:b w:val="1"/>
                <w:bCs w:val="1"/>
                <w:color w:val="auto"/>
              </w:rPr>
              <w:t>2024</w:t>
            </w:r>
          </w:p>
        </w:tc>
        <w:tc>
          <w:tcPr>
            <w:tcW w:w="224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r>
      <w:tr>
        <w:trPr>
          <w:trHeight w:val="178"/>
        </w:trPr>
        <w:tc>
          <w:tcPr>
            <w:tcW w:w="678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 options outstanding</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4,676,338</w:t>
            </w:r>
          </w:p>
        </w:tc>
        <w:tc>
          <w:tcPr>
            <w:tcW w:w="2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5,666,621</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Unvested restricted stock</w:t>
            </w:r>
          </w:p>
        </w:tc>
        <w:tc>
          <w:tcPr>
            <w:tcW w:w="2120" w:type="dxa"/>
            <w:vAlign w:val="bottom"/>
          </w:tcPr>
          <w:p>
            <w:pPr>
              <w:jc w:val="right"/>
              <w:spacing w:after="0"/>
              <w:rPr>
                <w:sz w:val="20"/>
                <w:szCs w:val="20"/>
                <w:color w:val="auto"/>
              </w:rPr>
            </w:pPr>
            <w:r>
              <w:rPr>
                <w:rFonts w:ascii="Arial" w:cs="Arial" w:eastAsia="Arial" w:hAnsi="Arial"/>
                <w:sz w:val="17"/>
                <w:szCs w:val="17"/>
                <w:color w:val="auto"/>
              </w:rPr>
              <w:t>1,603,462</w:t>
            </w:r>
          </w:p>
        </w:tc>
        <w:tc>
          <w:tcPr>
            <w:tcW w:w="2240" w:type="dxa"/>
            <w:vAlign w:val="bottom"/>
            <w:gridSpan w:val="3"/>
          </w:tcPr>
          <w:p>
            <w:pPr>
              <w:jc w:val="right"/>
              <w:spacing w:after="0"/>
              <w:rPr>
                <w:sz w:val="20"/>
                <w:szCs w:val="20"/>
                <w:color w:val="auto"/>
              </w:rPr>
            </w:pPr>
            <w:r>
              <w:rPr>
                <w:rFonts w:ascii="Arial" w:cs="Arial" w:eastAsia="Arial" w:hAnsi="Arial"/>
                <w:sz w:val="17"/>
                <w:szCs w:val="17"/>
                <w:color w:val="auto"/>
              </w:rPr>
              <w:t>2,526,432</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Shares available for future grant under stock option plan</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1,940,642</w:t>
            </w:r>
          </w:p>
        </w:tc>
        <w:tc>
          <w:tcPr>
            <w:tcW w:w="2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252,053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Warrants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200" w:type="dxa"/>
            <w:vAlign w:val="bottom"/>
            <w:gridSpan w:val="2"/>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15,728,150</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15,952,814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0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As of June 30, 2024, the Company has sold and issued 584,890 shares of common stock under the ATM Program, with total net proceeds of $3.6 million. Subsequent to June 30, 2024 and through August 5, 2024, the Company has sold and issued 683,851 additional shares of common stock under the ATM Program, with total net proceeds of $4.1 million.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Warrants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June 30, 2024 and December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259"/>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SUBJECT TO</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259"/>
              <w:spacing w:after="0"/>
              <w:rPr>
                <w:sz w:val="20"/>
                <w:szCs w:val="20"/>
                <w:color w:val="auto"/>
              </w:rPr>
            </w:pPr>
            <w:r>
              <w:rPr>
                <w:rFonts w:ascii="Arial" w:cs="Arial" w:eastAsia="Arial" w:hAnsi="Arial"/>
                <w:sz w:val="14"/>
                <w:szCs w:val="14"/>
                <w:b w:val="1"/>
                <w:bCs w:val="1"/>
                <w:color w:val="auto"/>
              </w:rPr>
              <w:t>PRICE PER</w:t>
            </w:r>
          </w:p>
        </w:tc>
        <w:tc>
          <w:tcPr>
            <w:tcW w:w="120" w:type="dxa"/>
            <w:vAlign w:val="bottom"/>
          </w:tcPr>
          <w:p>
            <w:pPr>
              <w:spacing w:after="0"/>
              <w:rPr>
                <w:sz w:val="14"/>
                <w:szCs w:val="14"/>
                <w:color w:val="auto"/>
              </w:rPr>
            </w:pPr>
          </w:p>
        </w:tc>
        <w:tc>
          <w:tcPr>
            <w:tcW w:w="1520" w:type="dxa"/>
            <w:vAlign w:val="bottom"/>
          </w:tcPr>
          <w:p>
            <w:pPr>
              <w:jc w:val="right"/>
              <w:ind w:right="237"/>
              <w:spacing w:after="0"/>
              <w:rPr>
                <w:sz w:val="20"/>
                <w:szCs w:val="20"/>
                <w:color w:val="auto"/>
              </w:rPr>
            </w:pPr>
            <w:r>
              <w:rPr>
                <w:rFonts w:ascii="Arial" w:cs="Arial" w:eastAsia="Arial" w:hAnsi="Arial"/>
                <w:sz w:val="14"/>
                <w:szCs w:val="14"/>
                <w:b w:val="1"/>
                <w:bCs w:val="1"/>
                <w:color w:val="auto"/>
              </w:rPr>
              <w:t>EXPIRATION</w:t>
            </w:r>
          </w:p>
        </w:tc>
      </w:tr>
      <w:tr>
        <w:trPr>
          <w:trHeight w:val="18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DATES</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Warrants</w:t>
            </w:r>
          </w:p>
        </w:tc>
        <w:tc>
          <w:tcPr>
            <w:tcW w:w="20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2025</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Conditional Series B Warrants</w:t>
            </w:r>
          </w:p>
        </w:tc>
        <w:tc>
          <w:tcPr>
            <w:tcW w:w="2000" w:type="dxa"/>
            <w:vAlign w:val="bottom"/>
            <w:gridSpan w:val="2"/>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November 2025</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NC Ohio Trust</w:t>
            </w:r>
          </w:p>
        </w:tc>
        <w:tc>
          <w:tcPr>
            <w:tcW w:w="20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162,740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2029</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02" w:lineRule="exact"/>
        <w:rPr>
          <w:sz w:val="20"/>
          <w:szCs w:val="20"/>
          <w:color w:val="auto"/>
        </w:rPr>
      </w:pPr>
    </w:p>
    <w:p>
      <w:pPr>
        <w:jc w:val="both"/>
        <w:ind w:right="340"/>
        <w:spacing w:after="0" w:line="24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the Company issued to the</w:t>
      </w:r>
      <w:r>
        <w:rPr>
          <w:rFonts w:ascii="Arial" w:cs="Arial" w:eastAsia="Arial" w:hAnsi="Arial"/>
          <w:sz w:val="18"/>
          <w:szCs w:val="18"/>
          <w:color w:val="auto"/>
        </w:rPr>
        <w:t xml:space="preserve"> </w:t>
      </w:r>
      <w:r>
        <w:rPr>
          <w:rFonts w:ascii="Arial" w:cs="Arial" w:eastAsia="Arial" w:hAnsi="Arial"/>
          <w:sz w:val="17"/>
          <w:szCs w:val="17"/>
          <w:color w:val="auto"/>
        </w:rPr>
        <w:t>purchaser of the Series B Preferred warrants to purchase 3,672,484 shares of common stock for $6.81 per share (the Series B Warrants), which became fully exercisable upon issuance. The Series B Warrants contain provisions allowing cashless exercise.</w:t>
      </w:r>
    </w:p>
    <w:p>
      <w:pPr>
        <w:spacing w:after="0" w:line="71"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right="260" w:hanging="503"/>
        <w:spacing w:after="0" w:line="249"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65"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cashless exercise.</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loss. The Company will continue to recognize changes in the fair value of the Conditional Series B Warrants until each Conditional Series B Warrant is exercised, expires or qualifies for equity classification. The warrant liability fair value was $14.2 million and $0.9 million as of June 30, 2024 and December 31, 2023,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 Ohio Trust Warrants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March 20, 2019, the Company established the NC Incorporated Ohio Trust, an irrevocable trust funded by the Company. The beneficiary in the</w:t>
      </w:r>
      <w:r>
        <w:rPr>
          <w:rFonts w:ascii="Arial" w:cs="Arial" w:eastAsia="Arial" w:hAnsi="Arial"/>
          <w:sz w:val="18"/>
          <w:szCs w:val="18"/>
          <w:color w:val="auto"/>
        </w:rPr>
        <w:t xml:space="preserve"> </w:t>
      </w:r>
      <w:r>
        <w:rPr>
          <w:rFonts w:ascii="Arial" w:cs="Arial" w:eastAsia="Arial" w:hAnsi="Arial"/>
          <w:sz w:val="17"/>
          <w:szCs w:val="17"/>
          <w:color w:val="auto"/>
        </w:rPr>
        <w:t>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condensed consolidated statement of operations and comprehensive loss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June 30, 2024 and December 31, 2023, a grant date was not established as there was not a mutual understanding of key terms. The Company remeasures the fair value of the award at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220"/>
        <w:spacing w:after="0" w:line="260" w:lineRule="auto"/>
        <w:rPr>
          <w:sz w:val="20"/>
          <w:szCs w:val="20"/>
          <w:color w:val="auto"/>
        </w:rPr>
      </w:pPr>
      <w:r>
        <w:rPr>
          <w:rFonts w:ascii="Arial" w:cs="Arial" w:eastAsia="Arial" w:hAnsi="Arial"/>
          <w:sz w:val="17"/>
          <w:szCs w:val="17"/>
          <w:color w:val="auto"/>
        </w:rPr>
        <w:t>each reporting date, as the service date preceded the grant date. The value of the warrants for 162,740 shares of common stock was $0.9 million and $0.2 million as of June 30, 2024 and December 31, 2023, respectively, and was recorded as stock compensation expense within research and development expense and a credit to stockholders’ equity in the condensed consolidated financial statements.</w:t>
      </w:r>
    </w:p>
    <w:p>
      <w:pPr>
        <w:spacing w:after="0" w:line="97" w:lineRule="exact"/>
        <w:rPr>
          <w:sz w:val="20"/>
          <w:szCs w:val="20"/>
          <w:color w:val="auto"/>
        </w:rPr>
      </w:pPr>
    </w:p>
    <w:p>
      <w:pPr>
        <w:ind w:right="5460" w:firstLine="8"/>
        <w:spacing w:after="0" w:line="360" w:lineRule="auto"/>
        <w:tabs>
          <w:tab w:leader="none" w:pos="29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Restricted Stock and Stock-Based Compensation </w:t>
      </w:r>
      <w:r>
        <w:rPr>
          <w:rFonts w:ascii="Arial" w:cs="Arial" w:eastAsia="Arial" w:hAnsi="Arial"/>
          <w:sz w:val="18"/>
          <w:szCs w:val="18"/>
          <w:b w:val="1"/>
          <w:bCs w:val="1"/>
          <w:i w:val="1"/>
          <w:iCs w:val="1"/>
          <w:color w:val="auto"/>
        </w:rPr>
        <w:t>Equity Incentive Plans</w:t>
      </w:r>
    </w:p>
    <w:p>
      <w:pPr>
        <w:ind w:right="60"/>
        <w:spacing w:after="0" w:line="23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Company’s 2015 Stock Plan, as amended, (the 2015 Plan) provides for the Company to sell or issue common shares or restricted common</w:t>
      </w:r>
      <w:r>
        <w:rPr>
          <w:rFonts w:ascii="Arial" w:cs="Arial" w:eastAsia="Arial" w:hAnsi="Arial"/>
          <w:sz w:val="18"/>
          <w:szCs w:val="18"/>
          <w:color w:val="auto"/>
        </w:rPr>
        <w:t xml:space="preserve"> </w:t>
      </w:r>
      <w:r>
        <w:rPr>
          <w:rFonts w:ascii="Arial" w:cs="Arial" w:eastAsia="Arial" w:hAnsi="Arial"/>
          <w:sz w:val="17"/>
          <w:szCs w:val="17"/>
          <w:color w:val="auto"/>
        </w:rPr>
        <w:t>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June 30, 2024, there are no shares available for grants under the 2015 Plan and the 2015 Plan continues to govern the terms and conditions of the outstanding awards under the 2015 Plan.</w:t>
      </w:r>
    </w:p>
    <w:p>
      <w:pPr>
        <w:spacing w:after="0" w:line="8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6,653,719 shares of common stock are reserved under the 2021 Plan, of which 1,940,642 shares remain available for future grants as of June 30, 2024.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40" w:type="dxa"/>
            <w:vAlign w:val="bottom"/>
          </w:tcPr>
          <w:p>
            <w:pPr>
              <w:spacing w:after="0"/>
              <w:rPr>
                <w:sz w:val="14"/>
                <w:szCs w:val="14"/>
                <w:color w:val="auto"/>
              </w:rPr>
            </w:pPr>
          </w:p>
        </w:tc>
        <w:tc>
          <w:tcPr>
            <w:tcW w:w="1700" w:type="dxa"/>
            <w:vAlign w:val="bottom"/>
          </w:tcPr>
          <w:p>
            <w:pPr>
              <w:jc w:val="center"/>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240" w:type="dxa"/>
            <w:vAlign w:val="bottom"/>
          </w:tcPr>
          <w:p>
            <w:pPr>
              <w:spacing w:after="0"/>
              <w:rPr>
                <w:sz w:val="14"/>
                <w:szCs w:val="14"/>
                <w:color w:val="auto"/>
              </w:rPr>
            </w:pPr>
          </w:p>
        </w:tc>
        <w:tc>
          <w:tcPr>
            <w:tcW w:w="1700" w:type="dxa"/>
            <w:vAlign w:val="bottom"/>
          </w:tcPr>
          <w:p>
            <w:pPr>
              <w:jc w:val="center"/>
              <w:ind w:right="35"/>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185"/>
        </w:trPr>
        <w:tc>
          <w:tcPr>
            <w:tcW w:w="4240" w:type="dxa"/>
            <w:vAlign w:val="bottom"/>
          </w:tcPr>
          <w:p>
            <w:pPr>
              <w:spacing w:after="0"/>
              <w:rPr>
                <w:sz w:val="16"/>
                <w:szCs w:val="16"/>
                <w:color w:val="auto"/>
              </w:rPr>
            </w:pPr>
          </w:p>
        </w:tc>
        <w:tc>
          <w:tcPr>
            <w:tcW w:w="1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TERM (IN YEARS)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2023</w:t>
            </w:r>
          </w:p>
        </w:tc>
        <w:tc>
          <w:tcPr>
            <w:tcW w:w="17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5,666,621</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2.47</w:t>
            </w:r>
          </w:p>
        </w:tc>
        <w:tc>
          <w:tcPr>
            <w:tcW w:w="176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181,420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(684,873 )</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Cancelled, forfeited or expired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(486,830 )</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63"/>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June 30, 2024</w:t>
            </w:r>
          </w:p>
        </w:tc>
        <w:tc>
          <w:tcPr>
            <w:tcW w:w="17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4,676,338</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7.09</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17,389</w:t>
            </w: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rPr>
              <w:t>Exercisable as of June 30, 2024</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3,393,301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2.42</w:t>
            </w:r>
          </w:p>
        </w:tc>
        <w:tc>
          <w:tcPr>
            <w:tcW w:w="1760" w:type="dxa"/>
            <w:vAlign w:val="bottom"/>
            <w:gridSpan w:val="2"/>
          </w:tcPr>
          <w:p>
            <w:pPr>
              <w:jc w:val="right"/>
              <w:ind w:right="43"/>
              <w:spacing w:after="0"/>
              <w:rPr>
                <w:sz w:val="20"/>
                <w:szCs w:val="20"/>
                <w:color w:val="auto"/>
              </w:rPr>
            </w:pPr>
            <w:r>
              <w:rPr>
                <w:rFonts w:ascii="Arial" w:cs="Arial" w:eastAsia="Arial" w:hAnsi="Arial"/>
                <w:sz w:val="18"/>
                <w:szCs w:val="18"/>
                <w:color w:val="auto"/>
              </w:rPr>
              <w:t>6.59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13,041</w:t>
            </w:r>
          </w:p>
        </w:tc>
      </w:tr>
      <w:tr>
        <w:trPr>
          <w:trHeight w:val="20"/>
        </w:trPr>
        <w:tc>
          <w:tcPr>
            <w:tcW w:w="4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June 30, 2024</w:t>
            </w:r>
          </w:p>
        </w:tc>
        <w:tc>
          <w:tcPr>
            <w:tcW w:w="17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1,283,037</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8.41</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4,348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-367665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-351155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-367665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-351155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-367665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-351155</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111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condensed consolidated financial statements at June 30, 2024.</w:t>
      </w:r>
    </w:p>
    <w:p>
      <w:pPr>
        <w:spacing w:after="0" w:line="72"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assumptions:</w:t>
      </w:r>
    </w:p>
    <w:p>
      <w:pPr>
        <w:spacing w:after="0" w:line="172"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250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15"/>
                <w:szCs w:val="15"/>
                <w:color w:val="auto"/>
              </w:rPr>
            </w:pPr>
          </w:p>
        </w:tc>
        <w:tc>
          <w:tcPr>
            <w:tcW w:w="246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r>
      <w:tr>
        <w:trPr>
          <w:trHeight w:val="223"/>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option life (years)</w:t>
            </w:r>
          </w:p>
        </w:tc>
        <w:tc>
          <w:tcPr>
            <w:tcW w:w="2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5.50 - 6.08</w:t>
            </w:r>
          </w:p>
        </w:tc>
        <w:tc>
          <w:tcPr>
            <w:tcW w:w="14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5.48 - 6.08</w:t>
            </w:r>
          </w:p>
        </w:tc>
        <w:tc>
          <w:tcPr>
            <w:tcW w:w="60" w:type="dxa"/>
            <w:vAlign w:val="bottom"/>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00" w:type="dxa"/>
            <w:vAlign w:val="bottom"/>
          </w:tcPr>
          <w:p>
            <w:pPr>
              <w:jc w:val="right"/>
              <w:ind w:right="54"/>
              <w:spacing w:after="0"/>
              <w:rPr>
                <w:sz w:val="20"/>
                <w:szCs w:val="20"/>
                <w:color w:val="auto"/>
              </w:rPr>
            </w:pPr>
            <w:r>
              <w:rPr>
                <w:rFonts w:ascii="Arial" w:cs="Arial" w:eastAsia="Arial" w:hAnsi="Arial"/>
                <w:sz w:val="18"/>
                <w:szCs w:val="18"/>
                <w:color w:val="auto"/>
              </w:rPr>
              <w:t>4.21% - 4.32%</w:t>
            </w:r>
          </w:p>
        </w:tc>
        <w:tc>
          <w:tcPr>
            <w:tcW w:w="140" w:type="dxa"/>
            <w:vAlign w:val="bottom"/>
          </w:tcPr>
          <w:p>
            <w:pPr>
              <w:spacing w:after="0"/>
              <w:rPr>
                <w:sz w:val="19"/>
                <w:szCs w:val="19"/>
                <w:color w:val="auto"/>
              </w:rPr>
            </w:pPr>
          </w:p>
        </w:tc>
        <w:tc>
          <w:tcPr>
            <w:tcW w:w="2460" w:type="dxa"/>
            <w:vAlign w:val="bottom"/>
          </w:tcPr>
          <w:p>
            <w:pPr>
              <w:jc w:val="right"/>
              <w:ind w:right="34"/>
              <w:spacing w:after="0"/>
              <w:rPr>
                <w:sz w:val="20"/>
                <w:szCs w:val="20"/>
                <w:color w:val="auto"/>
              </w:rPr>
            </w:pPr>
            <w:r>
              <w:rPr>
                <w:rFonts w:ascii="Arial" w:cs="Arial" w:eastAsia="Arial" w:hAnsi="Arial"/>
                <w:sz w:val="18"/>
                <w:szCs w:val="18"/>
                <w:color w:val="auto"/>
              </w:rPr>
              <w:t>3.50% - 4.13%</w:t>
            </w:r>
          </w:p>
        </w:tc>
        <w:tc>
          <w:tcPr>
            <w:tcW w:w="60" w:type="dxa"/>
            <w:vAlign w:val="bottom"/>
          </w:tcPr>
          <w:p>
            <w:pPr>
              <w:spacing w:after="0"/>
              <w:rPr>
                <w:sz w:val="19"/>
                <w:szCs w:val="19"/>
                <w:color w:val="auto"/>
              </w:rPr>
            </w:pPr>
          </w:p>
        </w:tc>
      </w:tr>
      <w:tr>
        <w:trPr>
          <w:trHeight w:val="230"/>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99.30% - 114.68%</w:t>
            </w:r>
          </w:p>
        </w:tc>
        <w:tc>
          <w:tcPr>
            <w:tcW w:w="14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91.33% - 94.51%</w:t>
            </w:r>
          </w:p>
        </w:tc>
        <w:tc>
          <w:tcPr>
            <w:tcW w:w="60" w:type="dxa"/>
            <w:vAlign w:val="bottom"/>
          </w:tcPr>
          <w:p>
            <w:pPr>
              <w:spacing w:after="0"/>
              <w:rPr>
                <w:sz w:val="19"/>
                <w:szCs w:val="19"/>
                <w:color w:val="auto"/>
              </w:rPr>
            </w:pPr>
          </w:p>
        </w:tc>
      </w:tr>
      <w:tr>
        <w:trPr>
          <w:trHeight w:val="239"/>
        </w:trPr>
        <w:tc>
          <w:tcPr>
            <w:tcW w:w="6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0 %</w:t>
            </w:r>
          </w:p>
        </w:tc>
      </w:tr>
    </w:tbl>
    <w:p>
      <w:pPr>
        <w:spacing w:after="0" w:line="157"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stock options that had exercise prices lower than the fair value of the</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76" w:right="279" w:bottom="1440" w:gutter="0" w:footer="0" w:header="0"/>
        </w:sectPr>
      </w:pPr>
    </w:p>
    <w:bookmarkStart w:id="19" w:name="page20"/>
    <w:bookmarkEnd w:id="19"/>
    <w:p>
      <w:pPr>
        <w:ind w:right="160"/>
        <w:spacing w:after="0" w:line="267" w:lineRule="auto"/>
        <w:rPr>
          <w:sz w:val="20"/>
          <w:szCs w:val="20"/>
          <w:color w:val="auto"/>
        </w:rPr>
      </w:pPr>
      <w:r>
        <w:rPr>
          <w:rFonts w:ascii="Arial" w:cs="Arial" w:eastAsia="Arial" w:hAnsi="Arial"/>
          <w:sz w:val="17"/>
          <w:szCs w:val="17"/>
          <w:color w:val="auto"/>
        </w:rPr>
        <w:t>common stock as of the end of the period. The total intrinsic value of stock options exercised during the six months ended June 30, 2024 and 2023 was $3.0 million and zero,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02"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60" w:type="dxa"/>
            <w:vAlign w:val="bottom"/>
          </w:tcPr>
          <w:p>
            <w:pPr>
              <w:spacing w:after="0"/>
              <w:rPr>
                <w:sz w:val="14"/>
                <w:szCs w:val="1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GRANT</w:t>
            </w:r>
          </w:p>
        </w:tc>
      </w:tr>
      <w:tr>
        <w:trPr>
          <w:trHeight w:val="185"/>
        </w:trPr>
        <w:tc>
          <w:tcPr>
            <w:tcW w:w="6660" w:type="dxa"/>
            <w:vAlign w:val="bottom"/>
          </w:tcPr>
          <w:p>
            <w:pPr>
              <w:spacing w:after="0"/>
              <w:rPr>
                <w:sz w:val="16"/>
                <w:szCs w:val="16"/>
                <w:color w:val="auto"/>
              </w:rPr>
            </w:pPr>
          </w:p>
        </w:tc>
        <w:tc>
          <w:tcPr>
            <w:tcW w:w="272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DATE FAIR VALUE</w:t>
            </w: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at December 31, 2023</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2,526,432</w:t>
            </w:r>
          </w:p>
        </w:tc>
        <w:tc>
          <w:tcPr>
            <w:tcW w:w="4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7"/>
                <w:szCs w:val="17"/>
                <w:color w:val="auto"/>
              </w:rPr>
              <w:t>Granted</w:t>
            </w:r>
          </w:p>
        </w:tc>
        <w:tc>
          <w:tcPr>
            <w:tcW w:w="2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Vested</w:t>
            </w:r>
          </w:p>
        </w:tc>
        <w:tc>
          <w:tcPr>
            <w:tcW w:w="272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(703,427 )</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0.98</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720" w:type="dxa"/>
            <w:vAlign w:val="bottom"/>
            <w:gridSpan w:val="2"/>
          </w:tcPr>
          <w:p>
            <w:pPr>
              <w:jc w:val="right"/>
              <w:ind w:right="380"/>
              <w:spacing w:after="0"/>
              <w:rPr>
                <w:sz w:val="20"/>
                <w:szCs w:val="20"/>
                <w:color w:val="auto"/>
              </w:rPr>
            </w:pPr>
            <w:r>
              <w:rPr>
                <w:rFonts w:ascii="Arial" w:cs="Arial" w:eastAsia="Arial" w:hAnsi="Arial"/>
                <w:sz w:val="17"/>
                <w:szCs w:val="17"/>
                <w:color w:val="auto"/>
              </w:rPr>
              <w:t>(219,543 )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r>
      <w:tr>
        <w:trPr>
          <w:trHeight w:val="25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at June 30, 2024</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1,603,462</w:t>
            </w:r>
          </w:p>
        </w:tc>
        <w:tc>
          <w:tcPr>
            <w:tcW w:w="4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color w:val="auto"/>
        </w:rPr>
        <w:t>The aggregate fair value of restricted stock units that vested during the six months ended June 30, 2024 and 2023 was $4.4 million and zero,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2"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Stock-based compensation expense for the three and six months ended June 30, 2024 and 2023 was classified in the condensed consolidated statements of operations and comprehensive loss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1,269</w:t>
            </w:r>
          </w:p>
        </w:tc>
        <w:tc>
          <w:tcPr>
            <w:tcW w:w="90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1,822</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613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853</w:t>
            </w:r>
          </w:p>
        </w:tc>
      </w:tr>
      <w:tr>
        <w:trPr>
          <w:trHeight w:val="26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1,841</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2,884</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7"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color w:val="auto"/>
        </w:rPr>
        <w:t>As of June 30, 2024, total unrecognized compensation cost related to unvested stock-based awards was $3.9 million, which is expected to be recognized over a weighted average period of 1.92 years.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Exclusive Licensing Agreement with a Related Party</w:t>
      </w:r>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73"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 Company had completely recognized the $1.0 million upfront license fee as research and development service revenue as of December 31,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Technology License Agreement</w:t>
      </w:r>
    </w:p>
    <w:p>
      <w:pPr>
        <w:spacing w:after="0" w:line="100"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0" w:name="page21"/>
    <w:bookmarkEnd w:id="20"/>
    <w:p>
      <w:pPr>
        <w:ind w:right="180"/>
        <w:spacing w:after="0" w:line="267" w:lineRule="auto"/>
        <w:rPr>
          <w:sz w:val="20"/>
          <w:szCs w:val="20"/>
          <w:color w:val="auto"/>
        </w:rPr>
      </w:pPr>
      <w:r>
        <w:rPr>
          <w:rFonts w:ascii="Arial" w:cs="Arial" w:eastAsia="Arial" w:hAnsi="Arial"/>
          <w:sz w:val="17"/>
          <w:szCs w:val="17"/>
          <w:color w:val="auto"/>
        </w:rPr>
        <w:t>fee of $40,000 to MGB to be applied toward the Company’s on-going obligations to reimburse patent expenses. During the six months ended June 30, 2024 and 2023, the Company did not expense any startup and patient fees for clinical trials performed by MGB.</w:t>
      </w:r>
    </w:p>
    <w:p>
      <w:pPr>
        <w:spacing w:after="0" w:line="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identified the guarantees described below as disclosable,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6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69" w:lineRule="exact"/>
        <w:rPr>
          <w:sz w:val="20"/>
          <w:szCs w:val="20"/>
          <w:color w:val="auto"/>
        </w:rPr>
      </w:pPr>
    </w:p>
    <w:p>
      <w:pPr>
        <w:ind w:right="48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67"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As of June 30, 2024,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3" w:lineRule="exact"/>
        <w:rPr>
          <w:sz w:val="20"/>
          <w:szCs w:val="20"/>
          <w:color w:val="auto"/>
        </w:rPr>
      </w:pPr>
    </w:p>
    <w:p>
      <w:pPr>
        <w:ind w:right="9280" w:firstLine="8"/>
        <w:spacing w:after="0" w:line="365"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b w:val="1"/>
          <w:bCs w:val="1"/>
          <w:i w:val="1"/>
          <w:iCs w:val="1"/>
          <w:color w:val="auto"/>
        </w:rPr>
        <w:t>Net Loss Per Share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0"/>
        </w:trPr>
        <w:tc>
          <w:tcPr>
            <w:tcW w:w="5860" w:type="dxa"/>
            <w:vAlign w:val="bottom"/>
            <w:shd w:val="clear" w:color="auto" w:fill="CFF0FC"/>
          </w:tcPr>
          <w:p>
            <w:pPr>
              <w:ind w:left="28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(22,237 )</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(9,614 )</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(30,458 )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(18,409 )</w:t>
            </w:r>
          </w:p>
        </w:tc>
        <w:tc>
          <w:tcPr>
            <w:tcW w:w="0" w:type="dxa"/>
            <w:vAlign w:val="bottom"/>
          </w:tcPr>
          <w:p>
            <w:pPr>
              <w:spacing w:after="0"/>
              <w:rPr>
                <w:sz w:val="1"/>
                <w:szCs w:val="1"/>
                <w:color w:val="auto"/>
              </w:rPr>
            </w:pPr>
          </w:p>
        </w:tc>
      </w:tr>
      <w:tr>
        <w:trPr>
          <w:trHeight w:val="197"/>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7"/>
                <w:szCs w:val="17"/>
                <w:b w:val="1"/>
                <w:bCs w:val="1"/>
                <w:color w:val="auto"/>
              </w:rPr>
              <w:t>Denominator:</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CFF0FC"/>
          </w:tcPr>
          <w:p>
            <w:pPr>
              <w:ind w:left="280"/>
              <w:spacing w:after="0" w:line="180" w:lineRule="exact"/>
              <w:rPr>
                <w:sz w:val="20"/>
                <w:szCs w:val="20"/>
                <w:color w:val="auto"/>
              </w:rPr>
            </w:pPr>
            <w:r>
              <w:rPr>
                <w:rFonts w:ascii="Arial" w:cs="Arial" w:eastAsia="Arial" w:hAnsi="Arial"/>
                <w:sz w:val="17"/>
                <w:szCs w:val="17"/>
                <w:color w:val="auto"/>
              </w:rPr>
              <w:t>Weighted-average shares of common stock</w:t>
            </w:r>
          </w:p>
        </w:tc>
        <w:tc>
          <w:tcPr>
            <w:tcW w:w="2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ind w:right="61"/>
              <w:spacing w:after="0"/>
              <w:rPr>
                <w:sz w:val="20"/>
                <w:szCs w:val="20"/>
                <w:color w:val="auto"/>
              </w:rPr>
            </w:pPr>
            <w:r>
              <w:rPr>
                <w:rFonts w:ascii="Arial" w:cs="Arial" w:eastAsia="Arial" w:hAnsi="Arial"/>
                <w:sz w:val="17"/>
                <w:szCs w:val="17"/>
                <w:color w:val="auto"/>
              </w:rPr>
              <w:t>29,878,210</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28,919,810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ind w:right="41"/>
              <w:spacing w:after="0"/>
              <w:rPr>
                <w:sz w:val="20"/>
                <w:szCs w:val="20"/>
                <w:color w:val="auto"/>
              </w:rPr>
            </w:pPr>
            <w:r>
              <w:rPr>
                <w:rFonts w:ascii="Arial" w:cs="Arial" w:eastAsia="Arial" w:hAnsi="Arial"/>
                <w:sz w:val="17"/>
                <w:szCs w:val="17"/>
                <w:color w:val="auto"/>
              </w:rPr>
              <w:t>29,537,874</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28,919,810</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CFF0FC"/>
            </w:tcBorders>
            <w:shd w:val="clear" w:color="auto" w:fill="CFF0FC"/>
          </w:tcPr>
          <w:p>
            <w:pPr>
              <w:ind w:left="420"/>
              <w:spacing w:after="0" w:line="185" w:lineRule="exact"/>
              <w:rPr>
                <w:sz w:val="20"/>
                <w:szCs w:val="20"/>
                <w:color w:val="auto"/>
              </w:rPr>
            </w:pPr>
            <w:r>
              <w:rPr>
                <w:rFonts w:ascii="Arial" w:cs="Arial" w:eastAsia="Arial" w:hAnsi="Arial"/>
                <w:sz w:val="17"/>
                <w:szCs w:val="17"/>
                <w:color w:val="auto"/>
              </w:rPr>
              <w:t>outstanding –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60" w:type="dxa"/>
            <w:vAlign w:val="bottom"/>
          </w:tcPr>
          <w:p>
            <w:pPr>
              <w:ind w:left="280"/>
              <w:spacing w:after="0"/>
              <w:rPr>
                <w:sz w:val="20"/>
                <w:szCs w:val="20"/>
                <w:color w:val="auto"/>
              </w:rPr>
            </w:pPr>
            <w:r>
              <w:rPr>
                <w:rFonts w:ascii="Arial" w:cs="Arial" w:eastAsia="Arial" w:hAnsi="Arial"/>
                <w:sz w:val="17"/>
                <w:szCs w:val="17"/>
                <w:color w:val="auto"/>
              </w:rPr>
              <w:t>Net loss per share – basic and diluted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(0.74 )</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(0.33 )</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(1.03 )</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(0.64 )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-582295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-565150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-582295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-565150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-582295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-565150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1" w:name="page22"/>
    <w:bookmarkEnd w:id="21"/>
    <w:p>
      <w:pPr>
        <w:jc w:val="both"/>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6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3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AS OF 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warrants for common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Outstanding stock options (as converted to common stock)</w:t>
            </w:r>
          </w:p>
        </w:tc>
        <w:tc>
          <w:tcPr>
            <w:tcW w:w="1620" w:type="dxa"/>
            <w:vAlign w:val="bottom"/>
          </w:tcPr>
          <w:p>
            <w:pPr>
              <w:jc w:val="right"/>
              <w:spacing w:after="0"/>
              <w:rPr>
                <w:sz w:val="20"/>
                <w:szCs w:val="20"/>
                <w:color w:val="auto"/>
              </w:rPr>
            </w:pPr>
            <w:r>
              <w:rPr>
                <w:rFonts w:ascii="Arial" w:cs="Arial" w:eastAsia="Arial" w:hAnsi="Arial"/>
                <w:sz w:val="17"/>
                <w:szCs w:val="17"/>
                <w:color w:val="auto"/>
              </w:rPr>
              <w:t>4,676,338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6,423,535</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restricted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1,603,462</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13,787,508</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14,543,609</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Corporate Restructuring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the Company’s board of directors authorized a restructuring plan to focus on key clinical data readouts for CAN-2409 and</w:t>
      </w:r>
    </w:p>
    <w:p>
      <w:pPr>
        <w:spacing w:after="0" w:line="20"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continuation and expansion of development of 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the Company’s workforce by approximately 45%. Each affected employee’s separation occurred in December 2023. As a result, the Company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2" w:lineRule="exact"/>
        <w:rPr>
          <w:sz w:val="20"/>
          <w:szCs w:val="20"/>
          <w:color w:val="auto"/>
        </w:rPr>
      </w:pPr>
    </w:p>
    <w:p>
      <w:pPr>
        <w:ind w:right="22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and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73"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6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112" w:lineRule="exact"/>
        <w:rPr>
          <w:rFonts w:ascii="Times New Roman" w:cs="Times New Roman" w:eastAsia="Times New Roman" w:hAnsi="Times New Roman"/>
          <w:sz w:val="17"/>
          <w:szCs w:val="17"/>
          <w:color w:val="auto"/>
        </w:rPr>
      </w:pPr>
    </w:p>
    <w:p>
      <w:pPr>
        <w:ind w:left="1540" w:right="80" w:hanging="509"/>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69" w:lineRule="exact"/>
        <w:rPr>
          <w:rFonts w:ascii="Times New Roman" w:cs="Times New Roman" w:eastAsia="Times New Roman" w:hAnsi="Times New Roman"/>
          <w:sz w:val="17"/>
          <w:szCs w:val="17"/>
          <w:color w:val="auto"/>
        </w:rPr>
      </w:pPr>
    </w:p>
    <w:p>
      <w:pPr>
        <w:ind w:left="1540" w:right="16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phase 2 randomized, double-blind,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6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rFonts w:ascii="Times New Roman" w:cs="Times New Roman" w:eastAsia="Times New Roman" w:hAnsi="Times New Roman"/>
          <w:sz w:val="17"/>
          <w:szCs w:val="17"/>
          <w:color w:val="auto"/>
        </w:rPr>
      </w:pPr>
    </w:p>
    <w:p>
      <w:pPr>
        <w:ind w:left="1540" w:right="20"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An open-label phase 2 clinical trial in the United States evaluating CAN-2409 plus valacyclovir in combination with continued PD-(L)1 checkpoint inhibitors in approximately 80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&lt;12 months (Reckamp K et al. J Clin Onc 2022;40:2295-2306). The aim of the CAN-2409 immunotherapy antitumor strategy is to raise the tail on the survival curve by increasing the number of long survivors beyond 10-14 months in patients treated with two CAN-2409 injections.</w:t>
      </w:r>
    </w:p>
    <w:p>
      <w:pPr>
        <w:spacing w:after="0" w:line="79" w:lineRule="exact"/>
        <w:rPr>
          <w:rFonts w:ascii="Times New Roman" w:cs="Times New Roman" w:eastAsia="Times New Roman" w:hAnsi="Times New Roman"/>
          <w:sz w:val="17"/>
          <w:szCs w:val="17"/>
          <w:color w:val="auto"/>
        </w:rPr>
      </w:pPr>
    </w:p>
    <w:p>
      <w:pPr>
        <w:ind w:left="1540" w:right="18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In May 2024, we announced topline data that showed prolonged overall survival in our phase 2 clinical trial of CAN-2409 plus valacyclovir, together with immune checkpoint inhibitor (ICI) therapy in patients with Stage III/IV NSCLC inadequately responding to ICI (anti-PD-L1) therapy (as of an April 1, 2024 data cut-off):</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23" w:name="page24"/>
    <w:bookmarkEnd w:id="23"/>
    <w:p>
      <w:pPr>
        <w:ind w:left="1523" w:hanging="505"/>
        <w:spacing w:after="0" w:line="239"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mOS of 20.6 months was observed following two administrations of CAN-2409 plus valacyclovir in NSCLC patients with progressive disease despite ICI therapy, compared to published results of mOS of 11.6 months observed with standard of care docetaxel-based chemotherapy in a similar patient population (Reckamp K et al. J Clin Onc 2022;40:2295-2306). Improved mOS was observed in both PD-L1 negative and PD-L1 positive tumors in patients with progressive disease (N=37 patients in cohort 2 for which PD-L1 status at baseline was available). mOS of 22.0 months was observed across all patients (n=46) who had an inadequate response to ICI and who received two administrations of CAN-2409.</w:t>
      </w:r>
    </w:p>
    <w:p>
      <w:pPr>
        <w:spacing w:after="0" w:line="73" w:lineRule="exact"/>
        <w:rPr>
          <w:rFonts w:ascii="Times New Roman" w:cs="Times New Roman" w:eastAsia="Times New Roman" w:hAnsi="Times New Roman"/>
          <w:sz w:val="17"/>
          <w:szCs w:val="17"/>
          <w:color w:val="auto"/>
        </w:rPr>
      </w:pPr>
    </w:p>
    <w:p>
      <w:pPr>
        <w:ind w:left="1523" w:right="520" w:hanging="505"/>
        <w:spacing w:after="0" w:line="266"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Treatment with CAN-2409 resulted in systemic activation of the immune response, including increased numbers of effector and cytotoxic T cells as well as elevated levels of inflammatory soluble mediators.</w:t>
      </w:r>
    </w:p>
    <w:p>
      <w:pPr>
        <w:spacing w:after="0" w:line="51" w:lineRule="exact"/>
        <w:rPr>
          <w:rFonts w:ascii="Times New Roman" w:cs="Times New Roman" w:eastAsia="Times New Roman" w:hAnsi="Times New Roman"/>
          <w:sz w:val="17"/>
          <w:szCs w:val="17"/>
          <w:color w:val="auto"/>
        </w:rPr>
      </w:pPr>
    </w:p>
    <w:p>
      <w:pPr>
        <w:ind w:left="1523" w:right="20" w:hanging="505"/>
        <w:spacing w:after="0" w:line="243"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Increase in the number of circulating CD8+ cytotoxic T cells, CD4+ effector, and central memory T cells as well as elevated levels of soluble granzymes B and H, observed after the second injection of CAN-2409, were associated with subsequent prolonged survival, providing mechanistic evidence for the “priming-booster” activity of two administrations of CAN-2409 and novel early biomarkers of long-term clinical response.</w:t>
      </w:r>
    </w:p>
    <w:p>
      <w:pPr>
        <w:spacing w:after="0" w:line="71" w:lineRule="exact"/>
        <w:rPr>
          <w:rFonts w:ascii="Times New Roman" w:cs="Times New Roman" w:eastAsia="Times New Roman" w:hAnsi="Times New Roman"/>
          <w:sz w:val="17"/>
          <w:szCs w:val="17"/>
          <w:color w:val="auto"/>
        </w:rPr>
      </w:pPr>
    </w:p>
    <w:p>
      <w:pPr>
        <w:ind w:left="1523" w:right="120" w:hanging="505"/>
        <w:spacing w:after="0" w:line="243"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Activation of the systemic immune response was associated with shrinkage of uninjected lesions (abscopal response). 71.4% of patients with metastatic disease and at least one uninjected tumor (n=35) experienced a beneficial effect from CAN-2409 treatment on both injected and uninjected tumors. When using a threshold of &gt;5% decrease, more than 60% of patients still showed an abscopal response.</w:t>
      </w:r>
    </w:p>
    <w:p>
      <w:pPr>
        <w:spacing w:after="0" w:line="71" w:lineRule="exact"/>
        <w:rPr>
          <w:rFonts w:ascii="Times New Roman" w:cs="Times New Roman" w:eastAsia="Times New Roman" w:hAnsi="Times New Roman"/>
          <w:sz w:val="17"/>
          <w:szCs w:val="17"/>
          <w:color w:val="auto"/>
        </w:rPr>
      </w:pPr>
    </w:p>
    <w:p>
      <w:pPr>
        <w:ind w:left="1523" w:right="140" w:hanging="505"/>
        <w:spacing w:after="0" w:line="249" w:lineRule="auto"/>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As of the cut-off date, treatment with CAN-2409 in NSCLC continued to exhibit a favorable safety and tolerability profile. There were no dose-limiting toxicities or grade 4 or higher treatment-related adverse events (TRAEs); the majority of TRAEs were grade 1 or 2, and there were three grade 3 TRAEs (1 pyrexia, 2 pneumonitis).</w:t>
      </w:r>
    </w:p>
    <w:p>
      <w:pPr>
        <w:spacing w:after="0" w:line="6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present updated overall survival data for CAN-2409 in NSCLC in the first quarter of 2025.</w:t>
      </w:r>
    </w:p>
    <w:p>
      <w:pPr>
        <w:spacing w:after="0" w:line="116"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023"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We have initiated a randomized phase 2 clinical trial in the United States and Mexico evaluating the activity of CAN-2409 in borderline resectable and locally advanced pancreatic ductal adenocarcinoma (PDAC). Initial positive phase 2 data revealed notable clinical improvements in patients with borderline resectable PDAC following CAN-2409 plus prodrug together with SoC chemoradiation.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 In December 2023, we announced that the FDA granted fast track designation for CAN-2409 plus valacyclovir for the treatment of patients with PDAC to improve overall survival. In April 2024, we announced updated positive overall survival data and also announced that the FDA has granted orphan drug designation for CAN-2409 for the treatment of pancreatic cancer.</w:t>
      </w:r>
    </w:p>
    <w:p>
      <w:pPr>
        <w:spacing w:after="0" w:line="75" w:lineRule="exact"/>
        <w:rPr>
          <w:rFonts w:ascii="Times New Roman" w:cs="Times New Roman" w:eastAsia="Times New Roman" w:hAnsi="Times New Roman"/>
          <w:sz w:val="17"/>
          <w:szCs w:val="17"/>
          <w:color w:val="auto"/>
        </w:rPr>
      </w:pPr>
    </w:p>
    <w:p>
      <w:pPr>
        <w:ind w:left="5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The following data were disclosed as of the March 29, 2024 data cutoff:</w:t>
      </w:r>
    </w:p>
    <w:p>
      <w:pPr>
        <w:spacing w:after="0" w:line="11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Clinical data highlights:</w:t>
      </w:r>
    </w:p>
    <w:p>
      <w:pPr>
        <w:spacing w:after="0" w:line="114" w:lineRule="exact"/>
        <w:rPr>
          <w:rFonts w:ascii="Times New Roman" w:cs="Times New Roman" w:eastAsia="Times New Roman" w:hAnsi="Times New Roman"/>
          <w:sz w:val="17"/>
          <w:szCs w:val="17"/>
          <w:color w:val="auto"/>
        </w:rPr>
      </w:pPr>
    </w:p>
    <w:p>
      <w:pPr>
        <w:ind w:left="2043" w:right="460" w:hanging="516"/>
        <w:spacing w:after="0" w:line="266" w:lineRule="auto"/>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51" w:lineRule="exact"/>
        <w:rPr>
          <w:rFonts w:ascii="Times New Roman" w:cs="Times New Roman" w:eastAsia="Times New Roman" w:hAnsi="Times New Roman"/>
          <w:sz w:val="17"/>
          <w:szCs w:val="17"/>
          <w:color w:val="auto"/>
        </w:rPr>
      </w:pPr>
    </w:p>
    <w:p>
      <w:pPr>
        <w:ind w:left="2043" w:hanging="516"/>
        <w:spacing w:after="0"/>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mOS was 28.8 months in the CAN-2409 group versus only 12.5 months in the control group.</w:t>
      </w:r>
    </w:p>
    <w:p>
      <w:pPr>
        <w:spacing w:after="0" w:line="114" w:lineRule="exact"/>
        <w:rPr>
          <w:rFonts w:ascii="Times New Roman" w:cs="Times New Roman" w:eastAsia="Times New Roman" w:hAnsi="Times New Roman"/>
          <w:sz w:val="17"/>
          <w:szCs w:val="17"/>
          <w:color w:val="auto"/>
        </w:rPr>
      </w:pPr>
    </w:p>
    <w:p>
      <w:pPr>
        <w:ind w:left="2043" w:right="40" w:hanging="516"/>
        <w:spacing w:after="0" w:line="243" w:lineRule="auto"/>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At 24 months, a survival rate of 71.4% was observed in CAN-2409 treated patients, after SoC chemoradiation and prior to surgery, versus only 16.7% in the control group. At 36 months, a survival rate of 47.6% was estimated in patients who received CAN-2409, together with SoC chemoradiation prior to surgery, versus only 16.7% in the control group.</w:t>
      </w:r>
    </w:p>
    <w:p>
      <w:pPr>
        <w:spacing w:after="0" w:line="71" w:lineRule="exact"/>
        <w:rPr>
          <w:rFonts w:ascii="Times New Roman" w:cs="Times New Roman" w:eastAsia="Times New Roman" w:hAnsi="Times New Roman"/>
          <w:sz w:val="17"/>
          <w:szCs w:val="17"/>
          <w:color w:val="auto"/>
        </w:rPr>
      </w:pPr>
    </w:p>
    <w:p>
      <w:pPr>
        <w:ind w:left="2043" w:right="280" w:hanging="516"/>
        <w:spacing w:after="0" w:line="249" w:lineRule="auto"/>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4 out of 7 patients who received CAN-2409 were still alive at the time of data cutoff, with 2 patients surviving more than 50.0 months from enrollment. Only 1 out of 6 patients, randomized to control SoC chemotherapy alone, remained alive at data cutoff (alive at 50.6 months).</w:t>
      </w:r>
    </w:p>
    <w:p>
      <w:pPr>
        <w:spacing w:after="0" w:line="6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Biomarker data analysis demonstrated:</w:t>
      </w:r>
    </w:p>
    <w:p>
      <w:pPr>
        <w:spacing w:after="0" w:line="114" w:lineRule="exact"/>
        <w:rPr>
          <w:rFonts w:ascii="Times New Roman" w:cs="Times New Roman" w:eastAsia="Times New Roman" w:hAnsi="Times New Roman"/>
          <w:sz w:val="17"/>
          <w:szCs w:val="17"/>
          <w:color w:val="auto"/>
        </w:rPr>
      </w:pPr>
    </w:p>
    <w:p>
      <w:pPr>
        <w:ind w:left="2043" w:hanging="516"/>
        <w:spacing w:after="0"/>
        <w:tabs>
          <w:tab w:leader="none" w:pos="2043" w:val="left"/>
        </w:tabs>
        <w:numPr>
          <w:ilvl w:val="2"/>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Consistent and robust activation of immune response after dosing with CAN-2409.</w:t>
      </w:r>
    </w:p>
    <w:p>
      <w:pPr>
        <w:spacing w:after="0" w:line="200" w:lineRule="exact"/>
        <w:rPr>
          <w:sz w:val="20"/>
          <w:szCs w:val="20"/>
          <w:color w:val="auto"/>
        </w:rPr>
      </w:pPr>
    </w:p>
    <w:p>
      <w:pPr>
        <w:spacing w:after="0" w:line="255"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76" w:right="379" w:bottom="1440" w:gutter="0" w:footer="0" w:header="0"/>
        </w:sectPr>
      </w:pPr>
    </w:p>
    <w:bookmarkStart w:id="24" w:name="page25"/>
    <w:bookmarkEnd w:id="24"/>
    <w:p>
      <w:pPr>
        <w:ind w:left="2560" w:right="60" w:hanging="516"/>
        <w:spacing w:after="0" w:line="243" w:lineRule="auto"/>
        <w:tabs>
          <w:tab w:leader="none" w:pos="25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within the tumor microenvironment. These lymphocyte aggregates resemble tertiary lymphoid structures, whose formation in solid tumors is known to be associated with improved prognosis and better response to therapy.</w:t>
      </w:r>
    </w:p>
    <w:p>
      <w:pPr>
        <w:spacing w:after="0" w:line="71" w:lineRule="exact"/>
        <w:rPr>
          <w:rFonts w:ascii="Times New Roman" w:cs="Times New Roman" w:eastAsia="Times New Roman" w:hAnsi="Times New Roman"/>
          <w:sz w:val="17"/>
          <w:szCs w:val="17"/>
          <w:color w:val="auto"/>
        </w:rPr>
      </w:pPr>
    </w:p>
    <w:p>
      <w:pPr>
        <w:ind w:left="2560" w:right="520" w:hanging="516"/>
        <w:spacing w:after="0" w:line="266" w:lineRule="auto"/>
        <w:tabs>
          <w:tab w:leader="none" w:pos="25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after SoC.</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Safety analysis:</w:t>
      </w:r>
    </w:p>
    <w:p>
      <w:pPr>
        <w:spacing w:after="0" w:line="114" w:lineRule="exact"/>
        <w:rPr>
          <w:rFonts w:ascii="Times New Roman" w:cs="Times New Roman" w:eastAsia="Times New Roman" w:hAnsi="Times New Roman"/>
          <w:sz w:val="17"/>
          <w:szCs w:val="17"/>
          <w:color w:val="auto"/>
        </w:rPr>
      </w:pPr>
    </w:p>
    <w:p>
      <w:pPr>
        <w:ind w:left="2560" w:right="280" w:hanging="516"/>
        <w:spacing w:after="0" w:line="266" w:lineRule="auto"/>
        <w:tabs>
          <w:tab w:leader="none" w:pos="256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Addition of CAN-2409 regimen to SoC was generally well tolerated, with no dose-limiting toxicities, including no cases of pancreatitis.</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to share updated overall survival data for CAN-2409 in PDAC in the first quarter of 2025.</w:t>
      </w:r>
    </w:p>
    <w:p>
      <w:pPr>
        <w:spacing w:after="0" w:line="195" w:lineRule="exact"/>
        <w:rPr>
          <w:sz w:val="20"/>
          <w:szCs w:val="20"/>
          <w:color w:val="auto"/>
        </w:rPr>
      </w:pPr>
    </w:p>
    <w:p>
      <w:pPr>
        <w:ind w:right="320"/>
        <w:spacing w:after="0" w:line="241"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1b clinical trial in our initial target indication of recurrent high-grade glioma (HGG). Patients recruited in this study have previously failed SoC treatment and have a poor prognosis (expected overall survival &lt; 6-9 months). In February 2024, we announced that the FDA granted fast track designation for CAN-3110 for the treatment of patients with recurrent HGG to improve overall survival. In May 2024, we also announced that the FDA has granted orphan drug designation for CAN-3110 for the treatment of recurrent HGG.</w:t>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 xml:space="preserve">Initial overall survival data from this clinical trial was presented in an oral presentation at the American Society of Clinical Oncology (ASCO) Annual Meeting in June 2021, and additional biomarker data was reported in an oral presentation at the Society for Neuro-Oncology Annual Meeting in November 2021. During our Research and Development Day in December 2022, we presented updated data demonstrating that a single administration of CAN-3110 was well tolerated with no observed dose-limiting toxicity; achieved 11.6 months mOS; and showed evidence of persistent herpes simplex virus 1 (HSV-1) antigen and HSV-1 replication consistent with mechanism of action​as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 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66% of patients with positivity for anti-HSV1 antibodies (mOS of 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continues to date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15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 In June 2024, a poster presentation at the ASCO Annual Meeting showed additional detail from the arm C portion of the study, which incorporates two sub-cohorts of six patients each. To date, we have dosed six patients with multiple injections of CAN-3110 (up to six injections over a period of four months), completing cohort 1 of arm C. No dose-limiting toxicities or severe adverse events were observed. More than 300 core biopsies were obtained from all six patients, across the planned dose ranging time points, which were processed for “-omic” analysis, including single-cell RNA sequencing and cell profiling. Updated phase 1b data from the patients in cohort 1/arm C for CAN-3110 in recurrent HGG is expected in the second half of 2024.</w:t>
      </w:r>
    </w:p>
    <w:p>
      <w:pPr>
        <w:spacing w:after="0" w:line="157"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are also designing additional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 In November 2023, during the SITC 2023 Annual Meeting, we presented two posters describing the key elements of the platform and the development of the first experimental agent from the enLIGHTEN Discovery Platform. The first agent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5" w:name="page26"/>
    <w:bookmarkEnd w:id="25"/>
    <w:p>
      <w:pPr>
        <w:ind w:right="100"/>
        <w:spacing w:after="0" w:line="241" w:lineRule="auto"/>
        <w:rPr>
          <w:sz w:val="20"/>
          <w:szCs w:val="20"/>
          <w:color w:val="auto"/>
        </w:rPr>
      </w:pPr>
      <w:r>
        <w:rPr>
          <w:rFonts w:ascii="Arial" w:cs="Arial" w:eastAsia="Arial" w:hAnsi="Arial"/>
          <w:sz w:val="17"/>
          <w:szCs w:val="17"/>
          <w:color w:val="auto"/>
        </w:rPr>
        <w:t>based on enLIGHTEN™, Alpha-201 Macro1, is an investigational viral immunotherapy designed to interfere with the CD47/SIRPα pathway and activate innate immune surveillance. Results demonstrated monotherapy activity of this agent following local administration in a preclinical model of lung and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7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preclinical candidate from the enLIGHTEN™ Discovery Platform, a first-in-class multimodal immunotherapy for induction of tertiary lymphoid structures, being developed as a novel therapeutic strategy for solid tumors. Data presented included preclinical in vivo evidence of monotherapy activity of this preclinical candidate as well as activity when administered in combination with immune checkpoint inhibitors (improved survival as compared to PD-1 only treated mice).</w:t>
      </w:r>
    </w:p>
    <w:p>
      <w:pPr>
        <w:spacing w:after="0" w:line="72"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cash and cash equivalents were $21.5 million as of June 30, 2024. In accordance with the Financial Accounting Standards Board (FASB) Accounting Standards Codification (ASC), 205-40, Presentation of Financial Statements - Going Concern, we are required to assess our ability to continue as a going concern for the one-year look forward period following the date that the condensed consolidated financial statements are issued. Based on our current operating plan and existing cash and cash equivalents, we determined that substantial doubt exists regarding our ability to continue as a going concern for the one-year period following the date these condensed consolidated financial statements are issued. To sustain its future operations beyond such one-year period, we will require additional funding. We expect to finance our cash needs through a combination of public or private equity or debt financings, government grants, and other sources, which may include collaborations, strategic alliances and licensing arrangements with third parties. There is no assurance that we will be successful in obtaining sufficient funding on acceptable terms, if at all, and could be forced to delay, reduce, or eliminate some or all of its research, clinical trials, product development or future commercialization efforts, which could materially adversely affect our business prospects or our ability to continue as a going concern.</w:t>
      </w:r>
    </w:p>
    <w:p>
      <w:pPr>
        <w:spacing w:after="0" w:line="7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 assumes we will continue as a going concern and that contemplates the realization of assets and satisfaction of liabilities and commitments in the ordinary course of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00"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8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Periphagen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6" w:name="page27"/>
    <w:bookmarkEnd w:id="26"/>
    <w:p>
      <w:pPr>
        <w:ind w:right="220"/>
        <w:spacing w:after="0" w:line="237" w:lineRule="auto"/>
        <w:rPr>
          <w:sz w:val="20"/>
          <w:szCs w:val="20"/>
          <w:color w:val="auto"/>
        </w:rPr>
      </w:pPr>
      <w:r>
        <w:rPr>
          <w:rFonts w:ascii="Arial" w:cs="Arial" w:eastAsia="Arial" w:hAnsi="Arial"/>
          <w:sz w:val="18"/>
          <w:szCs w:val="18"/>
          <w:b w:val="1"/>
          <w:bCs w:val="1"/>
          <w:i w:val="1"/>
          <w:iCs w:val="1"/>
          <w:color w:val="auto"/>
        </w:rPr>
        <w:t>Mass General Brigham (MGB)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January 20, 2018, we entered into an exclusive option agreement (the Option Agreement) with MGB.</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6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07"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Ventagen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a related party. The</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our board of directors authorized a restructuring plan to focus on key clinical readouts for CAN-2409 and continuation and</w:t>
      </w:r>
    </w:p>
    <w:p>
      <w:pPr>
        <w:spacing w:after="0" w:line="20" w:lineRule="exact"/>
        <w:rPr>
          <w:sz w:val="20"/>
          <w:szCs w:val="20"/>
          <w:color w:val="auto"/>
        </w:rPr>
      </w:pPr>
    </w:p>
    <w:p>
      <w:pPr>
        <w:ind w:right="460"/>
        <w:spacing w:after="0" w:line="226" w:lineRule="auto"/>
        <w:rPr>
          <w:sz w:val="20"/>
          <w:szCs w:val="20"/>
          <w:color w:val="auto"/>
        </w:rPr>
      </w:pPr>
      <w:r>
        <w:rPr>
          <w:rFonts w:ascii="Arial" w:cs="Arial" w:eastAsia="Arial" w:hAnsi="Arial"/>
          <w:sz w:val="17"/>
          <w:szCs w:val="17"/>
          <w:color w:val="auto"/>
        </w:rPr>
        <w:t>expansion of development of 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our workforce by approximately 45%. Each affected employee’s separation occurred in December 2023. As a result, we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8" w:lineRule="exact"/>
        <w:rPr>
          <w:sz w:val="20"/>
          <w:szCs w:val="20"/>
          <w:color w:val="auto"/>
        </w:rPr>
      </w:pPr>
    </w:p>
    <w:p>
      <w:pPr>
        <w:ind w:right="88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86" w:lineRule="exact"/>
        <w:rPr>
          <w:sz w:val="20"/>
          <w:szCs w:val="20"/>
          <w:color w:val="auto"/>
        </w:rPr>
      </w:pPr>
    </w:p>
    <w:p>
      <w:pPr>
        <w:ind w:left="1020" w:right="480" w:hanging="503"/>
        <w:spacing w:after="0" w:line="266"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51"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14"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72"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7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14" w:lineRule="exact"/>
        <w:rPr>
          <w:rFonts w:ascii="Times New Roman" w:cs="Times New Roman" w:eastAsia="Times New Roman" w:hAnsi="Times New Roman"/>
          <w:sz w:val="17"/>
          <w:szCs w:val="17"/>
          <w:color w:val="auto"/>
        </w:rPr>
      </w:pPr>
    </w:p>
    <w:p>
      <w:pPr>
        <w:ind w:left="1020" w:right="64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14"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CAN-2409 and CAN-3110;</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14"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or ongoing geopolitical conflicts and related global economic sanctions;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76" w:right="439" w:bottom="1440" w:gutter="0" w:footer="0" w:header="0"/>
        </w:sectPr>
      </w:pPr>
    </w:p>
    <w:bookmarkStart w:id="28" w:name="page29"/>
    <w:bookmarkEnd w:id="28"/>
    <w:p>
      <w:pPr>
        <w:ind w:left="1020" w:right="520" w:hanging="503"/>
        <w:spacing w:after="0" w:line="26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8"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Grant income consists of amounts received under a grant from the Massachusetts Life Sciences Center.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amounts earned on investment of cash equivalents.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consists of interest expense on our debt under our Loan Agreement with Silicon Valley Bank (SVB).</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9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and comprehensive loss.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7"/>
          <w:szCs w:val="17"/>
          <w:color w:val="auto"/>
        </w:rPr>
        <w:t>our inception, we have generated cumulative federal and state net operating loss and research and development credit carryforwards for</w:t>
      </w:r>
      <w:r>
        <w:rPr>
          <w:rFonts w:ascii="Arial" w:cs="Arial" w:eastAsia="Arial" w:hAnsi="Arial"/>
          <w:sz w:val="18"/>
          <w:szCs w:val="18"/>
          <w:color w:val="auto"/>
        </w:rPr>
        <w:t xml:space="preserve"> </w:t>
      </w:r>
      <w:r>
        <w:rPr>
          <w:rFonts w:ascii="Arial" w:cs="Arial" w:eastAsia="Arial" w:hAnsi="Arial"/>
          <w:sz w:val="17"/>
          <w:szCs w:val="17"/>
          <w:color w:val="auto"/>
        </w:rPr>
        <w:t>which we have not recorded any net tax benefit due to uncertainty around utilizing these tax attributes within their respective carryforward periods.</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As of December 31, 2023, we had federal net operating loss carryforwards (NOLs) of approximately $86.2 million and state NOLs of approximately $79.6 million which may be available to offset future taxable income. Our federal NOLs include $8.8 million available to reduce future taxable income through 2037 and approximately $77.4 million of NOLs that do not expire and are available to reduce future taxable income indefinitely. The state NOLs are available to offset future taxable income through 2033. As of December 31, 2023, we also had federal and state research and development tax credit carryforwards of $4.5</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million and $2.2 million, respectively, which are available to offset federal and state tax liabilities through 2043 and 2038, respectively.</w:t>
      </w:r>
    </w:p>
    <w:p>
      <w:pPr>
        <w:spacing w:after="0" w:line="102"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June 30, 2024 and December 31, 2023.</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w:t>
      </w:r>
      <w:r>
        <w:rPr>
          <w:rFonts w:ascii="Arial" w:cs="Arial" w:eastAsia="Arial" w:hAnsi="Arial"/>
          <w:sz w:val="17"/>
          <w:szCs w:val="17"/>
          <w:b w:val="1"/>
          <w:bCs w:val="1"/>
          <w:i w:val="1"/>
          <w:iCs w:val="1"/>
          <w:color w:val="auto"/>
        </w:rPr>
        <w:t>hree Months Ended June 30, 2024 and 2023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June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CHANGE</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4,979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5,934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(955 )</w:t>
            </w:r>
          </w:p>
        </w:tc>
      </w:tr>
      <w:tr>
        <w:trPr>
          <w:trHeight w:val="229"/>
        </w:trPr>
        <w:tc>
          <w:tcPr>
            <w:tcW w:w="6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3,592</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3,645</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(53 )</w:t>
            </w:r>
          </w:p>
        </w:tc>
      </w:tr>
      <w:tr>
        <w:trPr>
          <w:trHeight w:val="223"/>
        </w:trPr>
        <w:tc>
          <w:tcPr>
            <w:tcW w:w="666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8,571</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9,579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(1,008 )</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(8,571 )</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(9,579 )</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3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77</w:t>
            </w:r>
          </w:p>
        </w:tc>
      </w:tr>
      <w:tr>
        <w:trPr>
          <w:trHeight w:val="23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(13,339 )</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(13,483 )</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(22,237 )</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(9,614 )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(12,623 )</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-1071245</wp:posOffset>
            </wp:positionV>
            <wp:extent cx="93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-1071245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-179705</wp:posOffset>
            </wp:positionV>
            <wp:extent cx="93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-179705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June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4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3,411</w:t>
            </w:r>
          </w:p>
        </w:tc>
        <w:tc>
          <w:tcPr>
            <w:tcW w:w="9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(927 )</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of fixed assets</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Pre-clinical research</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Occupancy</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49</w:t>
            </w:r>
          </w:p>
        </w:tc>
      </w:tr>
      <w:tr>
        <w:trPr>
          <w:trHeight w:val="223"/>
        </w:trPr>
        <w:tc>
          <w:tcPr>
            <w:tcW w:w="664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4,979</w:t>
            </w:r>
          </w:p>
        </w:tc>
        <w:tc>
          <w:tcPr>
            <w:tcW w:w="9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5,934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(955 )</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-179070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93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Research and development expenses decreased $0.9 million from $5.9 million for the three months ended June 30, 2023 to $5.0 million for the three months ended June 30, 2024. The decrease was primarily attributable to a $0.9 million decrease in clinical development costs driven by decreased regulatory, manufacturing and clinical trial costs for CAN-2409 programs and a $0.1 million decrease in recruiting costs. These decreases were partially offset by a $0.1 million increase in employee-related costs driven by an increase of $1.0 million in stock based compensation costs, which was partially offset by a $0.9 million decrease in payroll related costs.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June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4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1,867</w:t>
            </w:r>
          </w:p>
        </w:tc>
        <w:tc>
          <w:tcPr>
            <w:tcW w:w="98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1,208</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176</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Occupancy</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w:t>
            </w: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Recruiting</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r>
      <w:tr>
        <w:trPr>
          <w:trHeight w:val="263"/>
        </w:trPr>
        <w:tc>
          <w:tcPr>
            <w:tcW w:w="66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3,592</w:t>
            </w:r>
          </w:p>
        </w:tc>
        <w:tc>
          <w:tcPr>
            <w:tcW w:w="1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3,645</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6"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color w:val="auto"/>
        </w:rPr>
        <w:t>General and administrative expenses were $3.6 million for each of the three months ended June 30, 2024 and 2023. The small decrease was primarily attributable to a $0.1 million decrease in the cost of directors and officers insurance and a $0.1 million decrease in recruiting expenses. These decreases were partially offset by a $0.2 million increase in professional and consulting fees.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98"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Grant income was zero and $12,000 for the three months ended June 30, 2024 and 2023, respectively. Grant income for the three months ended June 30, 2023 relates to the recognition of income from a grant from the Massachusetts Life Sciences Center.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Interest income was $0.2 million for the three months ended June 30, 2024, compared to interest income of $0.5 million for the three months ended June 30, 2023, and represents earnings on our cash equivalents. The decrease in interest income is the result of interest being generated on a lower cash equivalents balance for the three months ended June 30, 2024 compared to the three months ended June 30,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8"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Interest expense was $0.6 million for each of the six months ended June 30, 2024 and 2023, and represents interest expense on our outstanding debt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98"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change in fair value of our warrant liability was an increase of $13.3 million for the three months ended June 30, 2024, compared to a decrease of $0.1 million for the three months ended June 30, 2023. The change in fair value of the warrant liability is primarily driven by changes in the underlying value of our stock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Comparison of the Six </w:t>
      </w:r>
      <w:r>
        <w:rPr>
          <w:rFonts w:ascii="Arial" w:cs="Arial" w:eastAsia="Arial" w:hAnsi="Arial"/>
          <w:sz w:val="17"/>
          <w:szCs w:val="17"/>
          <w:b w:val="1"/>
          <w:bCs w:val="1"/>
          <w:i w:val="1"/>
          <w:iCs w:val="1"/>
          <w:color w:val="auto"/>
        </w:rPr>
        <w:t>Months Ended June 30, 2024 and 2023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2024 and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3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9,081</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11,403</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(2,322 )</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(2,739 )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(16,473 )</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(19,212 )</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(604 )</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(1,213 )</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(1,253 )</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(13,332 )</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(14,200 )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3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(30,458 )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(18,409 )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(12,049 )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vMerge w:val="restart"/>
          </w:tcPr>
          <w:p>
            <w:pPr>
              <w:jc w:val="right"/>
              <w:ind w:right="850"/>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3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3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-2116455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-2116455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-1224915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-1224915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six months ended June 30, 2024 and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920" w:type="dxa"/>
            <w:vAlign w:val="bottom"/>
            <w:gridSpan w:val="5"/>
          </w:tcPr>
          <w:p>
            <w:pPr>
              <w:jc w:val="right"/>
              <w:ind w:right="652"/>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6,139</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6,728</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(589 )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(1,462 )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of fixed assets</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Occupancy</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Pre-clinical research</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(212 )</w:t>
            </w:r>
          </w:p>
        </w:tc>
      </w:tr>
      <w:tr>
        <w:trPr>
          <w:trHeight w:val="22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9,081</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11,403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(2,322 )</w:t>
            </w: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-179070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-179070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Research and development expenses decreased $2.3 million from $11.4 million for the six months ended June 30, 2023 to $9.1 million for the six months ended June 30, 2024. The decrease was primarily attributable to a $1.5 million decrease in clinical development costs driven by decreased regulatory, manufacturing and clinical trial costs for CAN-2409 programs and a $0.6 million decrease in employee-related expenses due to the corporate restructuring in the fourth quarter of 2023. The $0.6 million decrease in employee-related costs was driven by a decrease of $1.8 million in payroll related costs, which was partially offset by a $1.2 million increase in stock based compensation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six months ended June 30,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44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3,506</w:t>
            </w:r>
          </w:p>
        </w:tc>
        <w:tc>
          <w:tcPr>
            <w:tcW w:w="110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4,062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(556 )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2,876</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Occupancy</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Recruiting</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(136 )</w:t>
            </w:r>
          </w:p>
        </w:tc>
      </w:tr>
      <w:tr>
        <w:trPr>
          <w:trHeight w:val="20"/>
        </w:trPr>
        <w:tc>
          <w:tcPr>
            <w:tcW w:w="6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7,392</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7,809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General and administrative expenses decreased $0.4 million from $7.8 million for the six months ended June 30, 2023 to $7.4 million for the six months ended June 30, 2024. The decrease was primarily attributable to a $0.6 million decrease in employee-related expenses due to the corporate restructuring in the fourth quarter of 2023 and a $0.3 million decrease in the cost of directors and officers insurance. These decreases were partially offset by a $0.7 million increase in professional and consulting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9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Grant income was zero and $24,000 for the six months ended June 30, 2024 and 2023, respectively. Grant income for the six months ended June 30, 2023 relates to the recognition of income from a grant from the Massachusetts Life Sciences Center.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Interest income was $0.6 million for the six months ended June 30, 2024, compared to interest income of $1.2 million for the six months ended June 30, 2023, and represents earnings on our cash equivalents. The decrease in interest income is the result of interest being generated on a lower cash equivalents balance for the six months ended June 30, 2024 compared to the six months ended June 30,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Interest expense was $1.2 million and $1.3 million for the six months ended June 30, 2024 and 2023, respectively, and represents interest expense on our outstanding debt obligations.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98"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The change in fair value of our warrant liability was an increase of $13.3 million for the six months ended June 30, 2024, compared to a decrease of $0.9 million for the six months ended June 30, 2023. The change in fair value of the warrant liability is primarily driven by changes in the underlying value of our stock price.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Based on current plans and assumptions, we expect that our existing cash and cash equivalents will be sufficient to fund our current operating plan into the first quarter of 2025.</w:t>
      </w:r>
    </w:p>
    <w:p>
      <w:pPr>
        <w:spacing w:after="0" w:line="7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June 30, 2024, we have raised approximately $165.7 million, including $15.6 million of government grants, $66.1 million from the sale of convertible preferred stock, $82.7 million from the sale of our common stock, and $1.3 million from stock option exercises. Our cash and cash equivalents totaled $21.5 million as of June 30, 2024. We had $17.3 million of debt as of June 30, 2024. As of June 30, 2024, we have raised $3.6 million under our ATM Program (as defined below). Subsequent to June 30, 2024 and through August 5, 2024, we have raised an additional $4.1 million of net proceeds under our ATM Program.</w:t>
      </w:r>
    </w:p>
    <w:p>
      <w:pPr>
        <w:spacing w:after="0" w:line="74" w:lineRule="exact"/>
        <w:rPr>
          <w:sz w:val="20"/>
          <w:szCs w:val="20"/>
          <w:color w:val="auto"/>
        </w:rPr>
      </w:pPr>
    </w:p>
    <w:p>
      <w:pPr>
        <w:ind w:right="320"/>
        <w:spacing w:after="0" w:line="237" w:lineRule="auto"/>
        <w:rPr>
          <w:sz w:val="20"/>
          <w:szCs w:val="20"/>
          <w:color w:val="auto"/>
        </w:rPr>
      </w:pPr>
      <w:r>
        <w:rPr>
          <w:rFonts w:ascii="Arial" w:cs="Arial" w:eastAsia="Arial" w:hAnsi="Arial"/>
          <w:sz w:val="17"/>
          <w:szCs w:val="17"/>
          <w:color w:val="auto"/>
        </w:rPr>
        <w:t>On February 24, 2022, we entered into a loan and security agreement Loan Agreement with SVB pursuant to which SVB agreed to provide term loans to us in an aggregate principal amount of $20.0 million. We borrowed $20.0 million upon entering into the Loan Agreement. We could have borrowed up to an additional aggregate principal amount not to exceed $5.0 million, at any time on or prior to December 31, 2022, upon the achievement of all of the following milestones, inclusively: (a) positive phase 2 clinical activity data from our CAN-2409 NSCLC clinical trial, (b) dosing of our first patient in our phase 3 CAN-2409 high-grade glioma clinical trial; and (c) receipt on or prior to December 31, 2022, of net cash proceeds in an amount equal to at least $75.0 million from the issuance and sale of equity securities to investors acceptable to SVB. We did not borrow any of the additional aggregate principal amount on or prior to December 31, 2022. The term loans are secured by substantially all of our properties, rights and assets, except for our intellectual property, which is subject to a negative pledge under the Loan Agreement.</w:t>
      </w:r>
    </w:p>
    <w:p>
      <w:pPr>
        <w:spacing w:after="0" w:line="7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August 5, 2024, we have sold and issued 1,268,741 shares of common stock under the ATM Program, with total net proceeds of $7.7 million.</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 of June 30, 2024, we had an accumulated deficit of $167.5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3" w:name="page34"/>
    <w:bookmarkEnd w:id="33"/>
    <w:p>
      <w:pPr>
        <w:ind w:right="320"/>
        <w:spacing w:after="0" w:line="267" w:lineRule="auto"/>
        <w:rPr>
          <w:sz w:val="20"/>
          <w:szCs w:val="20"/>
          <w:color w:val="auto"/>
        </w:rPr>
      </w:pPr>
      <w:r>
        <w:rPr>
          <w:rFonts w:ascii="Arial" w:cs="Arial" w:eastAsia="Arial" w:hAnsi="Arial"/>
          <w:sz w:val="17"/>
          <w:szCs w:val="17"/>
          <w:color w:val="auto"/>
        </w:rPr>
        <w:t>unknown factors that may adversely affect our business. We will require substantial additional financing to fund our operations and to continue to execute our strategy, and we will pursue a range of options to secure additional capital.</w:t>
      </w:r>
    </w:p>
    <w:p>
      <w:pPr>
        <w:spacing w:after="0" w:line="5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2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(14,636 )</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(18,014 )</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690</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(13,959 )</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(18,164 )</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-179070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2024 and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8"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Net cash used in operating activities for the six months ended June 30, 2024 was $14.6 million, primarily consisting of a net loss of $30.5 million as we incurred expenses associated with our clinical programs and incurred costs associated with operating as a public company. We had non-cash charges of $17.1 million primarily related to the $13.3 million change in the fair value of our warrant liability and non-cash stock compensation. Net cash used in operating activities was also impacted by $1.2 million in changes in operating assets and liabilities, primarily driven by a decrease of $1.1 million in accrued expenses.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Net cash used in operating activities for the six months ended June 30, 2023 was $18.0 million, primarily consisting of a net loss of $18.4 million as we incurred expenses associated with our clinical programs, increased our headcount and incurred costs associated with operating as a public company. In addition, we had non-cash income of $0.9 million as a result of the change in the fair value of our warrant liability. Non-cash income was offset by $2.3 million in non-cash charges primarily related to non-cash stock compensation and depreciation expense. Net cash used in operating activities was also impacted by $1.1 million in changes in operating assets and liabilities, primarily driven by a decrease of $1.2 million in accrued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six months ended June 30, 2024 was $13,000 and consisted of the purchase of fixed assets.</w:t>
      </w:r>
    </w:p>
    <w:p>
      <w:pPr>
        <w:spacing w:after="0" w:line="10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Net cash used in investing activities for the six months ended June 30, 2023 was $0.2 million and consisted of the purchase of fixed assets, which was partially offset by proceeds from the sale of 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8"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Net cash provided by financing activities for the six months ended June 30, 2024 was $0.7 million and consisted of $1.2 million of proceeds from option exercises and $3.6 million of net proceeds from the issuance of common stock under our ATM Program, partially offset by $4.2 million of principal payments on our term loan with SVB.</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financing activities for the six months ended June 30,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7"/>
          <w:szCs w:val="17"/>
          <w:color w:val="auto"/>
        </w:rPr>
        <w:t>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marketing approval and commercialization. We also expect to incur additional costs associated with operating as a public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5520" w:right="5440" w:hanging="5003"/>
        <w:spacing w:after="0" w:line="852" w:lineRule="auto"/>
        <w:tabs>
          <w:tab w:leader="none" w:pos="1022"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4" w:name="page35"/>
    <w:bookmarkEnd w:id="34"/>
    <w:p>
      <w:pPr>
        <w:ind w:left="1020" w:right="240" w:hanging="503"/>
        <w:spacing w:after="0" w:line="24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commercial manufacturing of our product candidate CAN-2409 and the development, construction and qualification of our clinical manufacturing capabilities, internally or through CDMOs for our product candidate CAN-3110;</w:t>
      </w:r>
    </w:p>
    <w:p>
      <w:pPr>
        <w:spacing w:after="0" w:line="65"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51"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52" w:lineRule="exact"/>
        <w:rPr>
          <w:sz w:val="20"/>
          <w:szCs w:val="20"/>
          <w:color w:val="auto"/>
        </w:rPr>
      </w:pPr>
    </w:p>
    <w:p>
      <w:pPr>
        <w:jc w:val="both"/>
        <w:ind w:right="360"/>
        <w:spacing w:after="0" w:line="249" w:lineRule="auto"/>
        <w:rPr>
          <w:sz w:val="20"/>
          <w:szCs w:val="20"/>
          <w:color w:val="auto"/>
        </w:rPr>
      </w:pPr>
      <w:r>
        <w:rPr>
          <w:rFonts w:ascii="Arial" w:cs="Arial" w:eastAsia="Arial" w:hAnsi="Arial"/>
          <w:sz w:val="17"/>
          <w:szCs w:val="17"/>
          <w:color w:val="auto"/>
        </w:rPr>
        <w:t>We believe that our existing cash and cash equivalents as of June 30, 2024, will enable us to fund our operating expenses and capital expense requirements into the first quarter of 2025. We have based this estimate on assumptions that may prove to be incorrect, and we could utilize our available capital resources sooner than we currently expect.</w:t>
      </w:r>
    </w:p>
    <w:p>
      <w:pPr>
        <w:spacing w:after="0" w:line="6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5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14" w:lineRule="exact"/>
        <w:rPr>
          <w:rFonts w:ascii="Times New Roman" w:cs="Times New Roman" w:eastAsia="Times New Roman" w:hAnsi="Times New Roman"/>
          <w:sz w:val="17"/>
          <w:szCs w:val="17"/>
          <w:color w:val="auto"/>
        </w:rPr>
      </w:pPr>
    </w:p>
    <w:p>
      <w:pPr>
        <w:ind w:left="1020" w:right="98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51" w:lineRule="exact"/>
        <w:rPr>
          <w:rFonts w:ascii="Times New Roman" w:cs="Times New Roman" w:eastAsia="Times New Roman" w:hAnsi="Times New Roman"/>
          <w:sz w:val="17"/>
          <w:szCs w:val="17"/>
          <w:color w:val="auto"/>
        </w:rPr>
      </w:pPr>
    </w:p>
    <w:p>
      <w:pPr>
        <w:ind w:left="1020" w:right="240" w:hanging="503"/>
        <w:spacing w:after="0" w:line="249"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14"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51"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June 30,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79"/>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3 TO 5</w:t>
            </w:r>
          </w:p>
        </w:tc>
      </w:t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r>
      <w:tr>
        <w:trPr>
          <w:trHeight w:val="223"/>
        </w:trPr>
        <w:tc>
          <w:tcPr>
            <w:tcW w:w="5820" w:type="dxa"/>
            <w:vAlign w:val="bottom"/>
            <w:shd w:val="clear" w:color="auto" w:fill="CFF0FC"/>
          </w:tcPr>
          <w:p>
            <w:pPr>
              <w:ind w:left="20"/>
              <w:spacing w:after="0" w:line="222" w:lineRule="exact"/>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1,329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605</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724</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Loan Agreement with SVB </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11,256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6,951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Periphagen Note </w:t>
            </w:r>
            <w:r>
              <w:rPr>
                <w:rFonts w:ascii="Arial" w:cs="Arial" w:eastAsia="Arial" w:hAnsi="Arial"/>
                <w:sz w:val="22"/>
                <w:szCs w:val="22"/>
                <w:color w:val="auto"/>
                <w:vertAlign w:val="superscript"/>
              </w:rPr>
              <w:t>(3)</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1,352</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20,888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11,861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7,675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1,352</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-179070</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-179070</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0" w:lineRule="exact"/>
        <w:rPr>
          <w:sz w:val="20"/>
          <w:szCs w:val="20"/>
          <w:color w:val="auto"/>
        </w:rPr>
      </w:pPr>
    </w:p>
    <w:p>
      <w:pPr>
        <w:ind w:left="380" w:right="120" w:hanging="372"/>
        <w:spacing w:after="0" w:line="205" w:lineRule="auto"/>
        <w:tabs>
          <w:tab w:leader="none" w:pos="38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Represents future minimum lease payments under our operating lease for office and laboratory space at our Needham, Massachusetts facility. Our facility lease extends to August of 2026.</w:t>
      </w:r>
    </w:p>
    <w:p>
      <w:pPr>
        <w:spacing w:after="0" w:line="1" w:lineRule="exact"/>
        <w:rPr>
          <w:rFonts w:ascii="Arial" w:cs="Arial" w:eastAsia="Arial" w:hAnsi="Arial"/>
          <w:sz w:val="23"/>
          <w:szCs w:val="23"/>
          <w:color w:val="auto"/>
          <w:vertAlign w:val="superscript"/>
        </w:rPr>
      </w:pPr>
    </w:p>
    <w:p>
      <w:pPr>
        <w:ind w:left="380" w:hanging="372"/>
        <w:spacing w:after="0" w:line="187" w:lineRule="auto"/>
        <w:tabs>
          <w:tab w:leader="none" w:pos="3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Represents future principal, interest payments, and the final payment fee on our Loan Agreement with SVB, which matures on January 1, 2026.</w:t>
      </w:r>
    </w:p>
    <w:p>
      <w:pPr>
        <w:ind w:left="380" w:right="820" w:hanging="372"/>
        <w:spacing w:after="0" w:line="207" w:lineRule="auto"/>
        <w:tabs>
          <w:tab w:leader="none" w:pos="38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Represents a $1.0 million promissory note plus interest under the terms of our asset purchase agreements with Periphagen, Inc. The promissory note is due upon maturity in November 2027.</w:t>
      </w:r>
    </w:p>
    <w:p>
      <w:pPr>
        <w:spacing w:after="0" w:line="73"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See our condensed consolidated financial statements and related footnotes elsewhere in this Form 10-Q for additional information on these agreements.</w:t>
      </w:r>
    </w:p>
    <w:p>
      <w:pPr>
        <w:spacing w:after="0" w:line="5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7"/>
          <w:szCs w:val="17"/>
          <w:color w:val="auto"/>
        </w:rPr>
        <w:t>management’s discussion and analysis of financial condition and results of operations is based on our financial statements, which have been</w:t>
      </w:r>
      <w:r>
        <w:rPr>
          <w:rFonts w:ascii="Arial" w:cs="Arial" w:eastAsia="Arial" w:hAnsi="Arial"/>
          <w:sz w:val="18"/>
          <w:szCs w:val="18"/>
          <w:color w:val="auto"/>
        </w:rPr>
        <w:t xml:space="preserve"> </w:t>
      </w:r>
      <w:r>
        <w:rPr>
          <w:rFonts w:ascii="Arial" w:cs="Arial" w:eastAsia="Arial" w:hAnsi="Arial"/>
          <w:sz w:val="17"/>
          <w:szCs w:val="17"/>
          <w:color w:val="auto"/>
        </w:rPr>
        <w:t>prepared in accordance with U.S. generally accepted accounting principles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During the three and six months ended June 30, 2024, there were no material changes to our critical accounting estimates as reported in our Annual Report on Form 10-K for the year ended December 31, 2023. For a full discussion of these estimates, see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within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description of recent accounting pronouncements that may potentially impact our financial position, results of operations, or cash flows is</w:t>
      </w:r>
      <w:r>
        <w:rPr>
          <w:rFonts w:ascii="Arial" w:cs="Arial" w:eastAsia="Arial" w:hAnsi="Arial"/>
          <w:sz w:val="18"/>
          <w:szCs w:val="18"/>
          <w:color w:val="auto"/>
        </w:rPr>
        <w:t xml:space="preserve"> </w:t>
      </w:r>
      <w:r>
        <w:rPr>
          <w:rFonts w:ascii="Arial" w:cs="Arial" w:eastAsia="Arial" w:hAnsi="Arial"/>
          <w:sz w:val="17"/>
          <w:szCs w:val="17"/>
          <w:color w:val="auto"/>
        </w:rPr>
        <w:t>disclosed in Note 2 to our condensed consolidated financial statements included elsewhere in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spacing w:after="0" w:line="267" w:lineRule="auto"/>
        <w:rPr>
          <w:sz w:val="20"/>
          <w:szCs w:val="20"/>
          <w:color w:val="auto"/>
        </w:rPr>
      </w:pPr>
      <w:r>
        <w:rPr>
          <w:rFonts w:ascii="Arial" w:cs="Arial" w:eastAsia="Arial" w:hAnsi="Arial"/>
          <w:sz w:val="17"/>
          <w:szCs w:val="17"/>
          <w:color w:val="auto"/>
        </w:rPr>
        <w:t>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6"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(our principal executive officer and principal financial officer, respectively), evaluated the effectiveness of our disclosure controls and procedures as of June 30, 2024. Based on the evaluation of our disclosure controls and procedures as of June 30, 2024, our Chief Executive Officer and Interim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7"/>
          <w:szCs w:val="17"/>
          <w:color w:val="auto"/>
        </w:rPr>
        <w:t>time to time, we may become involved in litigation or other legal proceedings.</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Arial" w:cs="Arial" w:eastAsia="Arial" w:hAnsi="Arial"/>
          <w:sz w:val="21"/>
          <w:szCs w:val="2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sale of our common stock. From our inception through June 30, 2024, we raised an aggregate of $148.8 million of gross proceeds from such transactions. In addition, in February 2022, we borrowed $20.0 million under the Loan Agreement with SVB. As of June 30, 2024, our cash and cash equivalents were $21.5 million. We have incurred net losses in each year since our inception, and we had an accumulated deficit of $167.5 million as of June 30, 2024. For the six months ended June 30, 2024 and 2023, we reported net losses of $30.5 million and $18.4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7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9" w:name="page40"/>
    <w:bookmarkEnd w:id="39"/>
    <w:p>
      <w:pPr>
        <w:ind w:left="1020" w:right="26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ind w:left="1020" w:right="280" w:hanging="503"/>
        <w:spacing w:after="0" w:line="249"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0" w:name="page41"/>
    <w:bookmarkEnd w:id="40"/>
    <w:p>
      <w:pPr>
        <w:ind w:left="1020" w:right="20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There is substantial doubt regarding our ability to continue as a going concern. We will need to raise substantial additional funding, which may not be available on acceptable terms, or at all. If we are unable to raise capital when needed, we would be forced to delay, reduce or eliminate some of our product development programs or commercialization efforts.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first quarter of 2025. However, our future capital requirements will depend on and could increase significantly as a result of many factors, including:</w:t>
      </w:r>
    </w:p>
    <w:p>
      <w:pPr>
        <w:spacing w:after="0" w:line="51" w:lineRule="exact"/>
        <w:rPr>
          <w:sz w:val="20"/>
          <w:szCs w:val="20"/>
          <w:color w:val="auto"/>
        </w:rPr>
      </w:pPr>
    </w:p>
    <w:p>
      <w:pPr>
        <w:ind w:left="1020" w:right="8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ind w:left="1020" w:right="180" w:hanging="503"/>
        <w:spacing w:after="0" w:line="249"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2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1020" w:right="72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51" w:lineRule="exact"/>
        <w:rPr>
          <w:rFonts w:ascii="Times New Roman" w:cs="Times New Roman" w:eastAsia="Times New Roman" w:hAnsi="Times New Roman"/>
          <w:sz w:val="17"/>
          <w:szCs w:val="17"/>
          <w:color w:val="auto"/>
        </w:rPr>
      </w:pPr>
    </w:p>
    <w:p>
      <w:pPr>
        <w:ind w:left="1020" w:right="72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1" w:name="page42"/>
    <w:bookmarkEnd w:id="41"/>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1020" w:right="42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 of June 30, 2024, our cash and cash equivalents were $21.5 million. Based on our current business plan, there is substantial doubt regarding our ability to continue as a going concern for a period of one year after the date that our financial statements for the quarter ended June 30, 2024 are issued and we need to raise significant amounts of additional funding to complete all of our ongoing trials and execute on our business plan. Financing may not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In addition, our efforts to raise additional capital may divert our management from their day-to-day activities, which may adversely affect our ability to develop our product candidates in a timely manner.</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auto"/>
        </w:rPr>
        <w:t>If we are unable to obtain adequate funding on a timely basis, we may be required to revise our business plan and strategy and potentially curtail, delay, or discontinue one or more of our clinical trials, our research efforts, product development, future commercialization efforts, or may result in our being unable to expand our operations or otherwise capitalize on our business opportunities. As a result, our business, financial condition and results of operations could be materially affected.</w:t>
      </w:r>
    </w:p>
    <w:p>
      <w:pPr>
        <w:spacing w:after="0" w:line="6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we undertook an organizational restructuring that significantly reduced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 Our restructuring may lead to employee litigation related to the headcount reduction, which could be costly and prevent management from fully concentrating on the business.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2" w:name="page43"/>
    <w:bookmarkEnd w:id="42"/>
    <w:p>
      <w:pPr>
        <w:jc w:val="both"/>
        <w:ind w:right="140"/>
        <w:spacing w:after="0" w:line="249" w:lineRule="auto"/>
        <w:rPr>
          <w:sz w:val="20"/>
          <w:szCs w:val="20"/>
          <w:color w:val="auto"/>
        </w:rPr>
      </w:pPr>
      <w:r>
        <w:rPr>
          <w:rFonts w:ascii="Arial" w:cs="Arial" w:eastAsia="Arial" w:hAnsi="Arial"/>
          <w:sz w:val="17"/>
          <w:szCs w:val="17"/>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67"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3" w:name="page44"/>
    <w:bookmarkEnd w:id="43"/>
    <w:p>
      <w:pPr>
        <w:ind w:right="140"/>
        <w:spacing w:after="0" w:line="239" w:lineRule="auto"/>
        <w:rPr>
          <w:sz w:val="20"/>
          <w:szCs w:val="20"/>
          <w:color w:val="auto"/>
        </w:rPr>
      </w:pPr>
      <w:r>
        <w:rPr>
          <w:rFonts w:ascii="Arial" w:cs="Arial" w:eastAsia="Arial" w:hAnsi="Arial"/>
          <w:sz w:val="17"/>
          <w:szCs w:val="17"/>
          <w:color w:val="auto"/>
        </w:rPr>
        <w:t>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4"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6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4" w:name="page45"/>
    <w:bookmarkEnd w:id="44"/>
    <w:p>
      <w:pPr>
        <w:ind w:right="8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79"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4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5" w:name="page46"/>
    <w:bookmarkEnd w:id="45"/>
    <w:p>
      <w:pPr>
        <w:ind w:right="40"/>
        <w:spacing w:after="0" w:line="244" w:lineRule="auto"/>
        <w:rPr>
          <w:sz w:val="20"/>
          <w:szCs w:val="20"/>
          <w:color w:val="auto"/>
        </w:rPr>
      </w:pPr>
      <w:r>
        <w:rPr>
          <w:rFonts w:ascii="Arial" w:cs="Arial" w:eastAsia="Arial" w:hAnsi="Arial"/>
          <w:sz w:val="17"/>
          <w:szCs w:val="17"/>
          <w:color w:val="auto"/>
        </w:rPr>
        <w:t>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6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2"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6" w:name="page47"/>
    <w:bookmarkEnd w:id="46"/>
    <w:p>
      <w:pPr>
        <w:ind w:right="20"/>
        <w:spacing w:after="0" w:line="267" w:lineRule="auto"/>
        <w:rPr>
          <w:sz w:val="20"/>
          <w:szCs w:val="20"/>
          <w:color w:val="auto"/>
        </w:rPr>
      </w:pPr>
      <w:r>
        <w:rPr>
          <w:rFonts w:ascii="Arial" w:cs="Arial" w:eastAsia="Arial" w:hAnsi="Arial"/>
          <w:sz w:val="17"/>
          <w:szCs w:val="17"/>
          <w:color w:val="auto"/>
        </w:rPr>
        <w:t>that are in preclinical development may demonstrate different chemical and biological properties in patients than they do in laboratory animal studies or may interact with human biological systems in unforeseen or harmful ways.</w:t>
      </w:r>
    </w:p>
    <w:p>
      <w:pPr>
        <w:spacing w:after="0" w:line="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11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spacing w:after="0" w:line="6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investigating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76"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7" w:name="page48"/>
    <w:bookmarkEnd w:id="47"/>
    <w:p>
      <w:pPr>
        <w:ind w:right="4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7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8" w:name="page49"/>
    <w:bookmarkEnd w:id="48"/>
    <w:p>
      <w:pPr>
        <w:ind w:right="80"/>
        <w:spacing w:after="0" w:line="244" w:lineRule="auto"/>
        <w:rPr>
          <w:sz w:val="20"/>
          <w:szCs w:val="20"/>
          <w:color w:val="auto"/>
        </w:rPr>
      </w:pPr>
      <w:r>
        <w:rPr>
          <w:rFonts w:ascii="Arial" w:cs="Arial" w:eastAsia="Arial" w:hAnsi="Arial"/>
          <w:sz w:val="17"/>
          <w:szCs w:val="17"/>
          <w:color w:val="auto"/>
        </w:rPr>
        <w:t>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6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1"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1020" w:right="200" w:hanging="503"/>
        <w:spacing w:after="0" w:line="249"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1020" w:right="64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9" w:name="page50"/>
    <w:bookmarkEnd w:id="49"/>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0" w:name="page51"/>
    <w:bookmarkEnd w:id="50"/>
    <w:p>
      <w:pPr>
        <w:ind w:right="40"/>
        <w:spacing w:after="0" w:line="241" w:lineRule="auto"/>
        <w:rPr>
          <w:sz w:val="20"/>
          <w:szCs w:val="20"/>
          <w:color w:val="auto"/>
        </w:rPr>
      </w:pPr>
      <w:r>
        <w:rPr>
          <w:rFonts w:ascii="Arial" w:cs="Arial" w:eastAsia="Arial" w:hAnsi="Arial"/>
          <w:sz w:val="17"/>
          <w:szCs w:val="17"/>
          <w:color w:val="auto"/>
        </w:rPr>
        <w:t>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79"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5"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1" w:name="page52"/>
    <w:bookmarkEnd w:id="51"/>
    <w:p>
      <w:pPr>
        <w:ind w:right="620"/>
        <w:spacing w:after="0" w:line="267" w:lineRule="auto"/>
        <w:rPr>
          <w:sz w:val="20"/>
          <w:szCs w:val="20"/>
          <w:color w:val="auto"/>
        </w:rPr>
      </w:pPr>
      <w:r>
        <w:rPr>
          <w:rFonts w:ascii="Arial" w:cs="Arial" w:eastAsia="Arial" w:hAnsi="Arial"/>
          <w:sz w:val="17"/>
          <w:szCs w:val="17"/>
          <w:color w:val="auto"/>
        </w:rPr>
        <w:t>ability of enrolled patients to complete the trial or result in potential product liability claims. Any of these occurrences may materially harm our business, financial condition, results of operations, stock price and prospects.</w:t>
      </w:r>
    </w:p>
    <w:p>
      <w:pPr>
        <w:spacing w:after="0" w:line="5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Special Protocol Assessment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CAN-2409 and CAN-3110, or if received for any other future product candidates, may not lead to a faster development or regulatory review or approval process, and does not increase the likelihood that our product candidates will receive marketing approval.</w:t>
      </w:r>
    </w:p>
    <w:p>
      <w:pPr>
        <w:spacing w:after="0" w:line="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HGG to improve overall survival. We may also seek fast track designation for certain of our future product candidates, as appropriate. However, there is no assurance that the FDA will grant this status to CAN-3110, CAN-2409,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product candidates or additional indications in CAN-2409 and CAN-3110,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2" w:name="page53"/>
    <w:bookmarkEnd w:id="52"/>
    <w:p>
      <w:pPr>
        <w:ind w:right="16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7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76"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b w:val="1"/>
          <w:bCs w:val="1"/>
          <w:i w:val="1"/>
          <w:iCs w:val="1"/>
          <w:color w:val="auto"/>
        </w:rPr>
        <w:t>We have received orphan drug designation from the FDA for CAN-2409 for the treatment of pancreatic cancer and for CAN-3110 for the treatment of recurrent HGG. We may seek orphan drug designation from regulatory authorities in other jurisdictions for CAN-2409 and CAN-3110,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received orphan drug designation from the FDA for CAN-2409 for the treatment of pancreatic cancer and for CAN-3110 for the treatment of recurrent HGG. Even if CAN-2409 or CAN-3110 were to obtain orphan drug exclusivity for this use upon marketing approval by the FDA, the benefit of that exclusivity may be limited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9"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3" w:name="page54"/>
    <w:bookmarkEnd w:id="53"/>
    <w:p>
      <w:pPr>
        <w:ind w:right="60"/>
        <w:spacing w:after="0" w:line="280" w:lineRule="auto"/>
        <w:rPr>
          <w:sz w:val="20"/>
          <w:szCs w:val="20"/>
          <w:color w:val="auto"/>
        </w:rPr>
      </w:pPr>
      <w:r>
        <w:rPr>
          <w:rFonts w:ascii="Arial" w:cs="Arial" w:eastAsia="Arial" w:hAnsi="Arial"/>
          <w:sz w:val="17"/>
          <w:szCs w:val="17"/>
          <w:b w:val="1"/>
          <w:bCs w:val="1"/>
          <w:i w:val="1"/>
          <w:iCs w:val="1"/>
          <w:color w:val="auto"/>
        </w:rPr>
        <w:t>We may seek approval of our product candidate into Real-Time Oncology Review (RTOR). This program may not lead to a faster regulatory review or approval process and does not increase the likelihood that our product candidate(s) will receive marketing approval.</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1020" w:right="12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4" w:name="page55"/>
    <w:bookmarkEnd w:id="54"/>
    <w:p>
      <w:pPr>
        <w:ind w:right="140"/>
        <w:spacing w:after="0" w:line="237"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w:t>
      </w:r>
    </w:p>
    <w:p>
      <w:pPr>
        <w:spacing w:after="0" w:line="76" w:lineRule="exact"/>
        <w:rPr>
          <w:sz w:val="20"/>
          <w:szCs w:val="20"/>
          <w:color w:val="auto"/>
        </w:rPr>
      </w:pPr>
    </w:p>
    <w:p>
      <w:pPr>
        <w:jc w:val="both"/>
        <w:ind w:right="14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5" w:name="page56"/>
    <w:bookmarkEnd w:id="55"/>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6" w:name="page57"/>
    <w:bookmarkEnd w:id="56"/>
    <w:p>
      <w:pPr>
        <w:ind w:right="60"/>
        <w:spacing w:after="0" w:line="236" w:lineRule="auto"/>
        <w:rPr>
          <w:sz w:val="20"/>
          <w:szCs w:val="20"/>
          <w:color w:val="auto"/>
        </w:rPr>
      </w:pPr>
      <w:r>
        <w:rPr>
          <w:rFonts w:ascii="Arial" w:cs="Arial" w:eastAsia="Arial" w:hAnsi="Arial"/>
          <w:sz w:val="17"/>
          <w:szCs w:val="17"/>
          <w:color w:val="auto"/>
        </w:rPr>
        <w:t>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see “</w:t>
      </w:r>
      <w:r>
        <w:rPr>
          <w:rFonts w:ascii="Arial" w:cs="Arial" w:eastAsia="Arial" w:hAnsi="Arial"/>
          <w:sz w:val="17"/>
          <w:szCs w:val="17"/>
          <w:i w:val="1"/>
          <w:iCs w:val="1"/>
          <w:color w:val="auto"/>
        </w:rPr>
        <w:t>Business – Health Reform</w:t>
      </w:r>
      <w:r>
        <w:rPr>
          <w:rFonts w:ascii="Arial" w:cs="Arial" w:eastAsia="Arial" w:hAnsi="Arial"/>
          <w:sz w:val="17"/>
          <w:szCs w:val="17"/>
          <w:color w:val="auto"/>
        </w:rPr>
        <w:t>” in our Annual Report on Form 10-K for the year ended December 31, 2023.</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8" w:name="page59"/>
    <w:bookmarkEnd w:id="58"/>
    <w:p>
      <w:pPr>
        <w:ind w:right="60"/>
        <w:spacing w:after="0" w:line="249" w:lineRule="auto"/>
        <w:rPr>
          <w:sz w:val="20"/>
          <w:szCs w:val="20"/>
          <w:color w:val="auto"/>
        </w:rPr>
      </w:pPr>
      <w:r>
        <w:rPr>
          <w:rFonts w:ascii="Arial" w:cs="Arial" w:eastAsia="Arial" w:hAnsi="Arial"/>
          <w:sz w:val="17"/>
          <w:szCs w:val="17"/>
          <w:color w:val="auto"/>
        </w:rPr>
        <w:t>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67"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1020" w:right="50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6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9" w:name="page60"/>
    <w:bookmarkEnd w:id="59"/>
    <w:p>
      <w:pPr>
        <w:ind w:right="20"/>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(HIPAA), as amended by the Health Information Technology for Economic and Clinical Health Act.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73"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0" w:name="page61"/>
    <w:bookmarkEnd w:id="60"/>
    <w:p>
      <w:pPr>
        <w:spacing w:after="0" w:line="235"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7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74"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1" w:name="page62"/>
    <w:bookmarkEnd w:id="61"/>
    <w:p>
      <w:pPr>
        <w:ind w:right="20"/>
        <w:spacing w:after="0" w:line="236" w:lineRule="auto"/>
        <w:rPr>
          <w:sz w:val="20"/>
          <w:szCs w:val="20"/>
          <w:color w:val="auto"/>
        </w:rPr>
      </w:pPr>
      <w:r>
        <w:rPr>
          <w:rFonts w:ascii="Arial" w:cs="Arial" w:eastAsia="Arial" w:hAnsi="Arial"/>
          <w:sz w:val="17"/>
          <w:szCs w:val="17"/>
          <w:color w:val="auto"/>
        </w:rPr>
        <w:t>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66"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 public health crisis may cause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18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On December 11, 2023, Jason A. Amello resigned from his position as our Chief Financial Officer, principal financial officer and principal accounting officer, effective January 12, 2024. Mr. Amello will remain an advisor to us in order to support the transition of his responsibilities. On January 12, 2024, our board of directors unanimously appointed Charles Schoch as the Company’s interim Chief Financial Officer, principal financial officer and principal accounting officer, effective January 12, 2024.</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63" w:name="page64"/>
    <w:bookmarkEnd w:id="63"/>
    <w:p>
      <w:pPr>
        <w:spacing w:after="0" w:line="239" w:lineRule="auto"/>
        <w:rPr>
          <w:sz w:val="20"/>
          <w:szCs w:val="20"/>
          <w:color w:val="auto"/>
        </w:rPr>
      </w:pPr>
      <w:r>
        <w:rPr>
          <w:rFonts w:ascii="Arial" w:cs="Arial" w:eastAsia="Arial" w:hAnsi="Arial"/>
          <w:sz w:val="17"/>
          <w:szCs w:val="17"/>
          <w:color w:val="auto"/>
        </w:rPr>
        <w:t>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security incidents, which could result in a material disruption of our product candidates’ development programs.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incident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incidents, cyber-attacks or other related liabilities.</w:t>
      </w:r>
    </w:p>
    <w:p>
      <w:pPr>
        <w:spacing w:after="0" w:line="7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incident. Our business partners face similar risks, and any security incident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incident, industrial espionage attacks or insider threat attacks which could result in financial, legal, business or reputational harm.</w:t>
      </w:r>
    </w:p>
    <w:p>
      <w:pPr>
        <w:spacing w:after="0" w:line="7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If a material security incident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64" w:name="page65"/>
    <w:bookmarkEnd w:id="64"/>
    <w:p>
      <w:pPr>
        <w:ind w:right="120"/>
        <w:spacing w:after="0" w:line="241" w:lineRule="auto"/>
        <w:rPr>
          <w:sz w:val="20"/>
          <w:szCs w:val="20"/>
          <w:color w:val="auto"/>
        </w:rPr>
      </w:pPr>
      <w:r>
        <w:rPr>
          <w:rFonts w:ascii="Arial" w:cs="Arial" w:eastAsia="Arial" w:hAnsi="Arial"/>
          <w:sz w:val="17"/>
          <w:szCs w:val="17"/>
          <w:color w:val="auto"/>
        </w:rPr>
        <w:t>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spacing w:after="0" w:line="72"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5" w:name="page66"/>
    <w:bookmarkEnd w:id="65"/>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6" w:name="page67"/>
    <w:bookmarkEnd w:id="66"/>
    <w:p>
      <w:pPr>
        <w:spacing w:after="0" w:line="244" w:lineRule="auto"/>
        <w:rPr>
          <w:sz w:val="20"/>
          <w:szCs w:val="20"/>
          <w:color w:val="auto"/>
        </w:rPr>
      </w:pPr>
      <w:r>
        <w:rPr>
          <w:rFonts w:ascii="Arial" w:cs="Arial" w:eastAsia="Arial" w:hAnsi="Arial"/>
          <w:sz w:val="17"/>
          <w:szCs w:val="17"/>
          <w:color w:val="auto"/>
        </w:rPr>
        <w:t>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69"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4"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Other Healthcare Laws and Compliance Requirements</w:t>
      </w:r>
      <w:r>
        <w:rPr>
          <w:rFonts w:ascii="Arial" w:cs="Arial" w:eastAsia="Arial" w:hAnsi="Arial"/>
          <w:sz w:val="17"/>
          <w:szCs w:val="17"/>
          <w:color w:val="auto"/>
        </w:rPr>
        <w:t>” in our Annual Report on Form 10-K for the year ended December 31, 2023.</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initial public offering (the IPO), and other transactions that have occurred over the past three years, we may have experienced, an “ownership change.” We may also experience ownership changes in the future as a result of subsequent shifts in our stock ownership. As of December 31, 2023, we had U.S. federal and state net operating loss carryforwards of $86.2 million and $79.6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2023, we had a U.S. federal net operating loss carryforward of $77.4 million which do not expire but is limited to an annual deduction equal to 80% of annual taxable income.</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2023.</w:t>
      </w:r>
    </w:p>
    <w:p>
      <w:pPr>
        <w:spacing w:after="0" w:line="76"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8" w:name="page69"/>
    <w:bookmarkEnd w:id="68"/>
    <w:p>
      <w:pPr>
        <w:spacing w:after="0" w:line="235" w:lineRule="auto"/>
        <w:rPr>
          <w:sz w:val="20"/>
          <w:szCs w:val="20"/>
          <w:color w:val="auto"/>
        </w:rPr>
      </w:pPr>
      <w:r>
        <w:rPr>
          <w:rFonts w:ascii="Arial" w:cs="Arial" w:eastAsia="Arial" w:hAnsi="Arial"/>
          <w:sz w:val="17"/>
          <w:szCs w:val="17"/>
          <w:color w:val="auto"/>
        </w:rPr>
        <w:t>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9" w:name="page70"/>
    <w:bookmarkEnd w:id="69"/>
    <w:p>
      <w:pPr>
        <w:ind w:right="440"/>
        <w:spacing w:after="0" w:line="267" w:lineRule="auto"/>
        <w:rPr>
          <w:sz w:val="20"/>
          <w:szCs w:val="20"/>
          <w:color w:val="auto"/>
        </w:rPr>
      </w:pPr>
      <w:r>
        <w:rPr>
          <w:rFonts w:ascii="Arial" w:cs="Arial" w:eastAsia="Arial" w:hAnsi="Arial"/>
          <w:sz w:val="17"/>
          <w:szCs w:val="17"/>
          <w:color w:val="auto"/>
        </w:rPr>
        <w:t>impact on our business, financial condition, results of operations, stock price and prospects, including the imposition of significant fines or other sanctions.</w:t>
      </w:r>
    </w:p>
    <w:p>
      <w:pPr>
        <w:spacing w:after="0" w:line="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 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 Dr. Aguilar-Cordova’s term as a director of the Company expired at our 2024 annual meeting of stockholders held on June 26, 2024.</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For certain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we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or will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on development and commercialization collaborators to develop and conduct clinical trials with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obtain regulatory approvals for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and if approved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market and sell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If such collaborators fail to perform as expected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the potential for us to generate future revenue from such product candidates would be significantly reduced and our business would be harmed</w:t>
      </w:r>
      <w:r>
        <w:rPr>
          <w:rFonts w:ascii="Arial" w:cs="Arial" w:eastAsia="Arial" w:hAnsi="Arial"/>
          <w:sz w:val="17"/>
          <w:szCs w:val="17"/>
          <w:i w:val="1"/>
          <w:iCs w:val="1"/>
          <w:color w:val="auto"/>
        </w:rPr>
        <w:t>.</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3"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0" w:name="page71"/>
    <w:bookmarkEnd w:id="70"/>
    <w:p>
      <w:pPr>
        <w:ind w:left="102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r>
        <w:rPr>
          <w:rFonts w:ascii="Arial" w:cs="Arial" w:eastAsia="Arial" w:hAnsi="Arial"/>
          <w:sz w:val="17"/>
          <w:szCs w:val="17"/>
          <w:i w:val="1"/>
          <w:iCs w:val="1"/>
          <w:color w:val="auto"/>
        </w:rPr>
        <w:t>.</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1" w:name="page72"/>
    <w:bookmarkEnd w:id="71"/>
    <w:p>
      <w:pPr>
        <w:ind w:left="1020" w:right="42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Arial" w:cs="Arial" w:eastAsia="Arial" w:hAnsi="Arial"/>
          <w:sz w:val="17"/>
          <w:szCs w:val="17"/>
          <w:i w:val="1"/>
          <w:iCs w:val="1"/>
          <w:color w:val="auto"/>
        </w:rPr>
        <w:t>.</w:t>
      </w:r>
    </w:p>
    <w:p>
      <w:pPr>
        <w:spacing w:after="0" w:line="4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72" w:name="page73"/>
    <w:bookmarkEnd w:id="72"/>
    <w:p>
      <w:pPr>
        <w:ind w:right="220"/>
        <w:spacing w:after="0" w:line="267" w:lineRule="auto"/>
        <w:rPr>
          <w:sz w:val="20"/>
          <w:szCs w:val="20"/>
          <w:color w:val="auto"/>
        </w:rPr>
      </w:pPr>
      <w:r>
        <w:rPr>
          <w:rFonts w:ascii="Arial" w:cs="Arial" w:eastAsia="Arial" w:hAnsi="Arial"/>
          <w:sz w:val="17"/>
          <w:szCs w:val="17"/>
          <w:color w:val="auto"/>
        </w:rPr>
        <w:t>trials, or our interpretation of preclinical, manufacturing or clinical data from these investigator-sponsored trials. If so, the FDA or EMA may require us to obtain and submit additional preclinical, manufacturing, or clinical data.</w:t>
      </w:r>
    </w:p>
    <w:p>
      <w:pPr>
        <w:spacing w:after="0" w:line="51"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 difficulty, or there may be contractual restrictions prohibiting us from, transferring such skills to a</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3" w:name="page74"/>
    <w:bookmarkEnd w:id="73"/>
    <w:p>
      <w:pPr>
        <w:ind w:right="40"/>
        <w:spacing w:after="0" w:line="236" w:lineRule="auto"/>
        <w:rPr>
          <w:sz w:val="20"/>
          <w:szCs w:val="20"/>
          <w:color w:val="auto"/>
        </w:rPr>
      </w:pPr>
      <w:r>
        <w:rPr>
          <w:rFonts w:ascii="Arial" w:cs="Arial" w:eastAsia="Arial" w:hAnsi="Arial"/>
          <w:sz w:val="17"/>
          <w:szCs w:val="17"/>
          <w:color w:val="auto"/>
        </w:rPr>
        <w:t>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Executive Officer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74" w:name="page75"/>
    <w:bookmarkEnd w:id="74"/>
    <w:p>
      <w:pPr>
        <w:ind w:right="18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7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As of August 5, 2024, Estuardo Aguilar-Cordova and Laura Aguilar beneficially owned 6,214,995 shares of our common stock, or approximately 19.3%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 business and affairs. In connection with the IPO, we adopted a written related-person transactions policy that sets forth our policies and procedures regarding the identification, review, consideration and oversight of related-person transactions.</w:t>
      </w:r>
    </w:p>
    <w:p>
      <w:pPr>
        <w:spacing w:after="0" w:line="74"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which increases the possibility that a competitor will discover them or that our trade secrets will be misappropriated or disclosed</w:t>
      </w:r>
      <w:r>
        <w:rPr>
          <w:rFonts w:ascii="Arial" w:cs="Arial" w:eastAsia="Arial" w:hAnsi="Arial"/>
          <w:sz w:val="17"/>
          <w:szCs w:val="17"/>
          <w:i w:val="1"/>
          <w:iCs w:val="1"/>
          <w:color w:val="auto"/>
        </w:rPr>
        <w:t>.</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5" w:name="page76"/>
    <w:bookmarkEnd w:id="75"/>
    <w:p>
      <w:pPr>
        <w:ind w:right="40"/>
        <w:spacing w:after="0" w:line="241" w:lineRule="auto"/>
        <w:rPr>
          <w:sz w:val="20"/>
          <w:szCs w:val="20"/>
          <w:color w:val="auto"/>
        </w:rPr>
      </w:pPr>
      <w:r>
        <w:rPr>
          <w:rFonts w:ascii="Arial" w:cs="Arial" w:eastAsia="Arial" w:hAnsi="Arial"/>
          <w:sz w:val="17"/>
          <w:szCs w:val="17"/>
          <w:color w:val="auto"/>
        </w:rPr>
        <w:t>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6" w:name="page77"/>
    <w:bookmarkEnd w:id="76"/>
    <w:p>
      <w:pPr>
        <w:ind w:right="20"/>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3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jc w:val="both"/>
        <w:ind w:right="140"/>
        <w:spacing w:after="0" w:line="241"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7" w:name="page78"/>
    <w:bookmarkEnd w:id="77"/>
    <w:p>
      <w:pPr>
        <w:spacing w:after="0" w:line="236" w:lineRule="auto"/>
        <w:rPr>
          <w:sz w:val="20"/>
          <w:szCs w:val="20"/>
          <w:color w:val="auto"/>
        </w:rPr>
      </w:pPr>
      <w:r>
        <w:rPr>
          <w:rFonts w:ascii="Arial" w:cs="Arial" w:eastAsia="Arial" w:hAnsi="Arial"/>
          <w:sz w:val="17"/>
          <w:szCs w:val="17"/>
          <w:color w:val="auto"/>
        </w:rPr>
        <w:t>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3"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have opted out of the UPC for our European patents and applications and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2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8" w:name="page79"/>
    <w:bookmarkEnd w:id="78"/>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affected product candidates, which could have a material adverse effect on our business, financial conditions, results of operations, and prospects.</w:t>
      </w:r>
    </w:p>
    <w:p>
      <w:pPr>
        <w:spacing w:after="0" w:line="10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0" w:name="page81"/>
    <w:bookmarkEnd w:id="80"/>
    <w:p>
      <w:pPr>
        <w:ind w:right="80"/>
        <w:spacing w:after="0" w:line="267" w:lineRule="auto"/>
        <w:rPr>
          <w:sz w:val="20"/>
          <w:szCs w:val="20"/>
          <w:color w:val="auto"/>
        </w:rPr>
      </w:pPr>
      <w:r>
        <w:rPr>
          <w:rFonts w:ascii="Arial" w:cs="Arial" w:eastAsia="Arial" w:hAnsi="Arial"/>
          <w:sz w:val="17"/>
          <w:szCs w:val="17"/>
          <w:color w:val="auto"/>
        </w:rPr>
        <w:t>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0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6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0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1" w:name="page82"/>
    <w:bookmarkEnd w:id="81"/>
    <w:p>
      <w:pPr>
        <w:ind w:right="20"/>
        <w:spacing w:after="0" w:line="241" w:lineRule="auto"/>
        <w:rPr>
          <w:sz w:val="20"/>
          <w:szCs w:val="20"/>
          <w:color w:val="auto"/>
        </w:rPr>
      </w:pPr>
      <w:r>
        <w:rPr>
          <w:rFonts w:ascii="Arial" w:cs="Arial" w:eastAsia="Arial" w:hAnsi="Arial"/>
          <w:sz w:val="17"/>
          <w:szCs w:val="17"/>
          <w:color w:val="auto"/>
        </w:rPr>
        <w:t>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2"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2" w:name="page83"/>
    <w:bookmarkEnd w:id="82"/>
    <w:p>
      <w:pPr>
        <w:ind w:right="78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3" w:name="page84"/>
    <w:bookmarkEnd w:id="83"/>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2044,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4" w:name="page85"/>
    <w:bookmarkEnd w:id="84"/>
    <w:p>
      <w:pPr>
        <w:ind w:right="220"/>
        <w:spacing w:after="0" w:line="244" w:lineRule="auto"/>
        <w:rPr>
          <w:sz w:val="20"/>
          <w:szCs w:val="20"/>
          <w:color w:val="auto"/>
        </w:rPr>
      </w:pPr>
      <w:r>
        <w:rPr>
          <w:rFonts w:ascii="Arial" w:cs="Arial" w:eastAsia="Arial" w:hAnsi="Arial"/>
          <w:sz w:val="17"/>
          <w:szCs w:val="17"/>
          <w:color w:val="auto"/>
        </w:rPr>
        <w:t>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9" w:lineRule="exact"/>
        <w:rPr>
          <w:sz w:val="20"/>
          <w:szCs w:val="20"/>
          <w:color w:val="auto"/>
        </w:rPr>
      </w:pPr>
    </w:p>
    <w:p>
      <w:pPr>
        <w:ind w:right="78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2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6" w:right="399" w:bottom="1440" w:gutter="0" w:footer="0" w:header="0"/>
        </w:sectPr>
      </w:pPr>
    </w:p>
    <w:bookmarkStart w:id="85" w:name="page86"/>
    <w:bookmarkEnd w:id="85"/>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maintain compliance with Nasdaq’s continued listing requirements could result in the delisting of our common stock.</w:t>
      </w:r>
    </w:p>
    <w:p>
      <w:pPr>
        <w:spacing w:after="0" w:line="10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common stock is currently listed for trading on The Nasdaq Global Market (Nasdaq). We must satisfy the continued listing requirements of Nasdaq to maintain the listing of our common stock on Nasdaq. On November 15, 2023, we received a letter from the Listing Qualifications Department (the Staff) of The Nasdaq Stock Market LLC notifying us that, for the previous 30 consecutive business days, the closing bid price for our common stock had been below the minimum $1.00 per share required for continued listing on Nasdaq under Nasdaq Listing Rule 5450(a)(1) (the Bid Price Requirement). On December 28, 2023, the Staff notified us that, as of December 28, 2023, we had regained compliance with the Bid Price Requirement and that the matter was closed.</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If we are deficient in maintaining the necessary listing requirements, our common stock may be delisted.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7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August 5, 2024, we have sold and issued 1,268,741 shares of common stock under the ATM Program, with total net proceeds of $7.7 million. Any sale or issuance of securities pursuant to this registration statement or otherwise may result in dilution to our stockholders and may cause our stock price to decline. During a portion of the three months ended June 30, 2024, we were subject to the SEC’s “baby shelf rules,” which prohibit companies with a public float of less than $75.0 million from issuing securities under a shelf registration statement in excess of one third of such company’s public float in a 12-month period, and we were only able to issue a limited number of shares which aggregate to no more than one-third of our public float using our Shelf. On April 4, 2024, our public float increased above $75.0 million, and as a result, we are no longer subject to the “baby shelf rules.” If our public float is less than $75.0 million on the applicable measurement date in the future, we will again become subject to the baby shelf rules. Although alternative public and private transaction structures may be available, these may require additional time and cost, may impose operational restrictions on us, and may not be available on attractive terms.</w:t>
      </w:r>
    </w:p>
    <w:p>
      <w:pPr>
        <w:spacing w:after="0" w:line="81"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6" w:name="page87"/>
    <w:bookmarkEnd w:id="86"/>
    <w:p>
      <w:pPr>
        <w:ind w:right="10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58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our Annual Report on Form 10-K. In particular, we provided only two years of audited financial statements and a correspondingly reduced “Management’s Discussion and Analysis of Financial Condition and Results of Operations” disclosure, and did not include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6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7" w:name="page88"/>
    <w:bookmarkEnd w:id="87"/>
    <w:p>
      <w:pPr>
        <w:ind w:right="580"/>
        <w:spacing w:after="0" w:line="267" w:lineRule="auto"/>
        <w:rPr>
          <w:sz w:val="20"/>
          <w:szCs w:val="20"/>
          <w:color w:val="auto"/>
        </w:rPr>
      </w:pPr>
      <w:r>
        <w:rPr>
          <w:rFonts w:ascii="Arial" w:cs="Arial" w:eastAsia="Arial" w:hAnsi="Arial"/>
          <w:sz w:val="17"/>
          <w:szCs w:val="17"/>
          <w:color w:val="auto"/>
        </w:rPr>
        <w:t>less attractive as a result, there may be a less active trading market for our common stock, and our stock price may be more volatile and may decline.</w:t>
      </w:r>
    </w:p>
    <w:p>
      <w:pPr>
        <w:spacing w:after="0" w:line="92"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9"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August 5, 2024, we had a total of 32,084,777 shares of common stock outstanding.</w:t>
      </w:r>
    </w:p>
    <w:p>
      <w:pPr>
        <w:spacing w:after="0" w:line="5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8" w:name="page89"/>
    <w:bookmarkEnd w:id="88"/>
    <w:p>
      <w:pPr>
        <w:ind w:right="8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57.3% of our outstanding common stock with Estuardo Aguilar-Cordova and Laura Aguilar (together, both directly and indirectly) beneficially owning approximately 19.3% of our outstanding common stock, and with entities and persons affiliated with PBM Capital Group, LLC (PBM Capital), beneficially owning approximately 26.7%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6"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4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9" w:name="page90"/>
    <w:bookmarkEnd w:id="89"/>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70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we issued to the purchaser of</w:t>
      </w:r>
      <w:r>
        <w:rPr>
          <w:rFonts w:ascii="Arial" w:cs="Arial" w:eastAsia="Arial" w:hAnsi="Arial"/>
          <w:sz w:val="18"/>
          <w:szCs w:val="18"/>
          <w:color w:val="auto"/>
        </w:rPr>
        <w:t xml:space="preserve"> </w:t>
      </w:r>
      <w:r>
        <w:rPr>
          <w:rFonts w:ascii="Arial" w:cs="Arial" w:eastAsia="Arial" w:hAnsi="Arial"/>
          <w:sz w:val="17"/>
          <w:szCs w:val="17"/>
          <w:color w:val="auto"/>
        </w:rPr>
        <w:t>the Series B Preferred, warrants to purchase 3,672,484 shares of common stock for $6.81 per share (the Series B Warrants) which were and remain fully exercisable upon issuance. The Series B Warrants contain provisions allowing cashless exercise.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0" w:name="page91"/>
    <w:bookmarkEnd w:id="90"/>
    <w:p>
      <w:pPr>
        <w:jc w:val="both"/>
        <w:ind w:right="22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6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6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76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6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7020" w:firstLine="8"/>
        <w:spacing w:after="0" w:line="381" w:lineRule="auto"/>
        <w:tabs>
          <w:tab w:leader="none" w:pos="25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Sales of Unregistered Equity Securities </w:t>
      </w:r>
      <w:r>
        <w:rPr>
          <w:rFonts w:ascii="Arial" w:cs="Arial" w:eastAsia="Arial" w:hAnsi="Arial"/>
          <w:sz w:val="17"/>
          <w:szCs w:val="17"/>
          <w:color w:val="auto"/>
        </w:rPr>
        <w:t>None.</w:t>
      </w:r>
    </w:p>
    <w:p>
      <w:pPr>
        <w:ind w:left="280" w:hanging="272"/>
        <w:spacing w:after="0"/>
        <w:tabs>
          <w:tab w:leader="none" w:pos="28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the Initial Public Offering of Common Stock</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offer and sale of all the shares of our common stock in our initial public offering were registered under the Securities Act pursuant to a registration statement on Form S-1 (Reg. No. 333-257444), as amended, which was declared effective by the SEC on July 26, 2021. There has been no material change in the expected use of the net proceeds from our Annual Report on Form 10-K for the year ended December 31, 2023 as filed with the SEC on March 28, 2024.</w:t>
      </w:r>
    </w:p>
    <w:p>
      <w:pPr>
        <w:spacing w:after="0" w:line="110" w:lineRule="exact"/>
        <w:rPr>
          <w:sz w:val="20"/>
          <w:szCs w:val="20"/>
          <w:color w:val="auto"/>
        </w:rPr>
      </w:pPr>
    </w:p>
    <w:p>
      <w:pPr>
        <w:ind w:right="7780" w:firstLine="8"/>
        <w:spacing w:after="0" w:line="391" w:lineRule="auto"/>
        <w:tabs>
          <w:tab w:leader="none" w:pos="256"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three months ended June 30, 2024,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1"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gridSpan w:val="15"/>
          </w:tcPr>
          <w:p>
            <w:pPr>
              <w:ind w:left="2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6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160" w:type="dxa"/>
            <w:vAlign w:val="bottom"/>
            <w:gridSpan w:val="16"/>
          </w:tcPr>
          <w:p>
            <w:pPr>
              <w:spacing w:after="0" w:line="169" w:lineRule="exact"/>
              <w:rPr>
                <w:rFonts w:ascii="Arial" w:cs="Arial" w:eastAsia="Arial" w:hAnsi="Arial"/>
                <w:sz w:val="18"/>
                <w:szCs w:val="18"/>
                <w:color w:val="0000FF"/>
              </w:rPr>
            </w:pPr>
            <w:hyperlink r:id="rId257">
              <w:r>
                <w:rPr>
                  <w:rFonts w:ascii="Arial" w:cs="Arial" w:eastAsia="Arial" w:hAnsi="Arial"/>
                  <w:sz w:val="18"/>
                  <w:szCs w:val="18"/>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62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257">
              <w:r>
                <w:rPr>
                  <w:rFonts w:ascii="Arial" w:cs="Arial" w:eastAsia="Arial" w:hAnsi="Arial"/>
                  <w:sz w:val="18"/>
                  <w:szCs w:val="18"/>
                  <w:color w:val="0000FF"/>
                  <w:w w:val="99"/>
                </w:rPr>
                <w:t>Registrant’s Current Report on Form 8-K filed with the SEC on July 30, 2021).</w:t>
              </w:r>
            </w:hyperlink>
          </w:p>
        </w:tc>
        <w:tc>
          <w:tcPr>
            <w:tcW w:w="39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FF"/>
              </w:rPr>
            </w:pPr>
            <w:hyperlink r:id="rId258">
              <w:r>
                <w:rPr>
                  <w:rFonts w:ascii="Arial" w:cs="Arial" w:eastAsia="Arial" w:hAnsi="Arial"/>
                  <w:sz w:val="18"/>
                  <w:szCs w:val="18"/>
                  <w:color w:val="0000FF"/>
                </w:rPr>
                <w:t>Amended and Restated Bylaws of Candel Therapeutics, Inc. (incorporated by reference to Exhibit 3.2 to the Registrant’s</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Current Report on Form 8-K filed with the SEC on July 30,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160" w:type="dxa"/>
            <w:vAlign w:val="bottom"/>
            <w:gridSpan w:val="16"/>
          </w:tcPr>
          <w:p>
            <w:pPr>
              <w:spacing w:after="0"/>
              <w:rPr>
                <w:rFonts w:ascii="Arial" w:cs="Arial" w:eastAsia="Arial" w:hAnsi="Arial"/>
                <w:sz w:val="18"/>
                <w:szCs w:val="18"/>
                <w:color w:val="0000FF"/>
              </w:rPr>
            </w:pPr>
            <w:hyperlink r:id="rId259">
              <w:r>
                <w:rPr>
                  <w:rFonts w:ascii="Arial" w:cs="Arial" w:eastAsia="Arial" w:hAnsi="Arial"/>
                  <w:sz w:val="18"/>
                  <w:szCs w:val="18"/>
                  <w:color w:val="0000FF"/>
                </w:rPr>
                <w:t>Amendment to Amended and Restated Bylaws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59">
              <w:r>
                <w:rPr>
                  <w:rFonts w:ascii="Arial" w:cs="Arial" w:eastAsia="Arial" w:hAnsi="Arial"/>
                  <w:sz w:val="18"/>
                  <w:szCs w:val="18"/>
                  <w:color w:val="0000FF"/>
                  <w:w w:val="99"/>
                </w:rPr>
                <w:t>Registrant's Current Report on Form 8-K filed with the SEC on May 30, 2024).</w:t>
              </w:r>
            </w:hyperlink>
          </w:p>
        </w:tc>
        <w:tc>
          <w:tcPr>
            <w:tcW w:w="362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FF"/>
              </w:rPr>
            </w:pPr>
            <w:hyperlink r:id="rId260">
              <w:r>
                <w:rPr>
                  <w:rFonts w:ascii="Arial" w:cs="Arial" w:eastAsia="Arial" w:hAnsi="Arial"/>
                  <w:sz w:val="18"/>
                  <w:szCs w:val="18"/>
                  <w:color w:val="0000FF"/>
                </w:rPr>
                <w:t>Specimen Common Stock Certificate (incorporated by reference to Exhibit 4.1 to the Registrant’s Registration Statement on</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Form S-1/A (File No. 333- 257444) filed with the SEC on July 16, 2021)</w:t>
              </w:r>
              <w:r>
                <w:rPr>
                  <w:rFonts w:ascii="Times New Roman" w:cs="Times New Roman" w:eastAsia="Times New Roman" w:hAnsi="Times New Roman"/>
                  <w:sz w:val="18"/>
                  <w:szCs w:val="18"/>
                  <w:color w:val="000000"/>
                </w:rPr>
                <w:t>.</w:t>
              </w:r>
            </w:hyperlink>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right"/>
              <w:ind w:right="3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16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6"/>
          </w:tcPr>
          <w:p>
            <w:pPr>
              <w:spacing w:after="0"/>
              <w:rPr>
                <w:sz w:val="15"/>
                <w:szCs w:val="15"/>
                <w:color w:val="auto"/>
              </w:rPr>
            </w:pP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4"/>
          </w:tcPr>
          <w:p>
            <w:pPr>
              <w:spacing w:after="0"/>
              <w:rPr>
                <w:sz w:val="15"/>
                <w:szCs w:val="15"/>
                <w:color w:val="auto"/>
              </w:rPr>
            </w:pPr>
          </w:p>
        </w:tc>
        <w:tc>
          <w:tcPr>
            <w:tcW w:w="3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974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5"/>
                <w:szCs w:val="15"/>
                <w:color w:val="auto"/>
              </w:rPr>
            </w:pPr>
          </w:p>
        </w:tc>
        <w:tc>
          <w:tcPr>
            <w:tcW w:w="96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6"/>
          </w:tcPr>
          <w:p>
            <w:pPr>
              <w:spacing w:after="0" w:line="20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9"/>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0"/>
                <w:szCs w:val="20"/>
                <w:color w:val="auto"/>
              </w:rPr>
            </w:pPr>
          </w:p>
        </w:tc>
        <w:tc>
          <w:tcPr>
            <w:tcW w:w="101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3880" w:firstLine="21"/>
        <w:spacing w:after="0" w:line="415"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(embedded within the Inline XBRL document) </w:t>
      </w: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9512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both"/>
        <w:ind w:right="180" w:firstLine="8"/>
        <w:spacing w:after="0" w:line="249" w:lineRule="auto"/>
        <w:tabs>
          <w:tab w:leader="none" w:pos="1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Candel Therapeutics, Inc.</w:t>
      </w:r>
    </w:p>
    <w:p>
      <w:pPr>
        <w:spacing w:after="0" w:line="21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7"/>
          <w:szCs w:val="17"/>
          <w:color w:val="auto"/>
        </w:rPr>
        <w:t>Date: August 13,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Paul Peter Tak</w:t>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(Principal executive officer)</w:t>
      </w:r>
    </w:p>
    <w:p>
      <w:pPr>
        <w:spacing w:after="0" w:line="214"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7"/>
          <w:szCs w:val="17"/>
          <w:color w:val="auto"/>
        </w:rPr>
        <w:t>Date: August 13,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Charles Schoch</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Interim Chief Financial Officer</w:t>
      </w:r>
    </w:p>
    <w:p>
      <w:pPr>
        <w:ind w:left="64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94" w:name="page95"/>
    <w:bookmarkEnd w:id="94"/>
    <w:p>
      <w:pPr>
        <w:jc w:val="right"/>
        <w:spacing w:after="0"/>
        <w:rPr>
          <w:sz w:val="20"/>
          <w:szCs w:val="20"/>
          <w:color w:val="auto"/>
        </w:rPr>
      </w:pPr>
      <w:r>
        <w:rPr>
          <w:rFonts w:ascii="Arial" w:cs="Arial" w:eastAsia="Arial" w:hAnsi="Arial"/>
          <w:sz w:val="21"/>
          <w:szCs w:val="21"/>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Paul Peter Tak, certify that:</w:t>
      </w:r>
    </w:p>
    <w:p>
      <w:pPr>
        <w:spacing w:after="0" w:line="12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5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5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60" w:hanging="512"/>
        <w:spacing w:after="0" w:line="257" w:lineRule="auto"/>
        <w:tabs>
          <w:tab w:leader="none" w:pos="471"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57"/>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57"/>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40" w:hanging="479"/>
        <w:spacing w:after="0" w:line="257" w:lineRule="auto"/>
        <w:tabs>
          <w:tab w:leader="none" w:pos="995" w:val="left"/>
        </w:tabs>
        <w:numPr>
          <w:ilvl w:val="1"/>
          <w:numId w:val="5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5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5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5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5640" w:val="left"/>
          <w:tab w:leader="none" w:pos="7880" w:val="left"/>
        </w:tabs>
        <w:rPr>
          <w:sz w:val="20"/>
          <w:szCs w:val="20"/>
          <w:color w:val="auto"/>
        </w:rPr>
      </w:pPr>
      <w:r>
        <w:rPr>
          <w:rFonts w:ascii="Arial" w:cs="Arial" w:eastAsia="Arial" w:hAnsi="Arial"/>
          <w:sz w:val="21"/>
          <w:szCs w:val="21"/>
          <w:color w:val="auto"/>
        </w:rPr>
        <w:t>Date: August 13, 2024</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 w:lineRule="exact"/>
        <w:rPr>
          <w:sz w:val="20"/>
          <w:szCs w:val="20"/>
          <w:color w:val="auto"/>
        </w:rPr>
      </w:pPr>
    </w:p>
    <w:p>
      <w:pPr>
        <w:ind w:left="8020"/>
        <w:spacing w:after="0"/>
        <w:rPr>
          <w:sz w:val="20"/>
          <w:szCs w:val="20"/>
          <w:color w:val="auto"/>
        </w:rPr>
      </w:pPr>
      <w:r>
        <w:rPr>
          <w:rFonts w:ascii="Arial" w:cs="Arial" w:eastAsia="Arial" w:hAnsi="Arial"/>
          <w:sz w:val="21"/>
          <w:szCs w:val="21"/>
          <w:b w:val="1"/>
          <w:bCs w:val="1"/>
          <w:color w:val="auto"/>
        </w:rPr>
        <w:t>Paul Peter Tak</w:t>
      </w:r>
    </w:p>
    <w:p>
      <w:pPr>
        <w:spacing w:after="0" w:line="42" w:lineRule="exact"/>
        <w:rPr>
          <w:sz w:val="20"/>
          <w:szCs w:val="20"/>
          <w:color w:val="auto"/>
        </w:rPr>
      </w:pPr>
    </w:p>
    <w:p>
      <w:pPr>
        <w:ind w:left="686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8" w:lineRule="exact"/>
        <w:rPr>
          <w:sz w:val="20"/>
          <w:szCs w:val="20"/>
          <w:color w:val="auto"/>
        </w:rPr>
      </w:pPr>
    </w:p>
    <w:p>
      <w:pPr>
        <w:ind w:left="7380"/>
        <w:spacing w:after="0"/>
        <w:rPr>
          <w:sz w:val="20"/>
          <w:szCs w:val="20"/>
          <w:color w:val="auto"/>
        </w:rPr>
      </w:pPr>
      <w:r>
        <w:rPr>
          <w:rFonts w:ascii="Arial" w:cs="Arial" w:eastAsia="Arial" w:hAnsi="Arial"/>
          <w:sz w:val="21"/>
          <w:szCs w:val="21"/>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1"/>
          <w:szCs w:val="21"/>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I, Charles Schoch, certify that:</w:t>
      </w:r>
    </w:p>
    <w:p>
      <w:pPr>
        <w:spacing w:after="0" w:line="12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Candel Therapeutics, Inc.;</w:t>
      </w:r>
    </w:p>
    <w:p>
      <w:pPr>
        <w:spacing w:after="0" w:line="123" w:lineRule="exact"/>
        <w:rPr>
          <w:rFonts w:ascii="Arial" w:cs="Arial" w:eastAsia="Arial" w:hAnsi="Arial"/>
          <w:sz w:val="21"/>
          <w:szCs w:val="21"/>
          <w:color w:val="auto"/>
        </w:rPr>
      </w:pPr>
    </w:p>
    <w:p>
      <w:pPr>
        <w:ind w:left="520" w:right="40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1"/>
          <w:szCs w:val="21"/>
          <w:color w:val="auto"/>
        </w:rPr>
      </w:pPr>
    </w:p>
    <w:p>
      <w:pPr>
        <w:jc w:val="both"/>
        <w:ind w:left="520" w:right="2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1"/>
          <w:szCs w:val="21"/>
          <w:color w:val="auto"/>
        </w:rPr>
      </w:pPr>
    </w:p>
    <w:p>
      <w:pPr>
        <w:ind w:left="520" w:right="36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1"/>
          <w:szCs w:val="21"/>
          <w:color w:val="auto"/>
        </w:rPr>
      </w:pPr>
    </w:p>
    <w:p>
      <w:pPr>
        <w:ind w:left="1020" w:right="180" w:hanging="479"/>
        <w:spacing w:after="0" w:line="252"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21"/>
          <w:szCs w:val="21"/>
          <w:color w:val="auto"/>
        </w:rPr>
      </w:pPr>
    </w:p>
    <w:p>
      <w:pPr>
        <w:ind w:left="1020" w:right="220" w:hanging="479"/>
        <w:spacing w:after="0" w:line="252"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21"/>
          <w:szCs w:val="21"/>
          <w:color w:val="auto"/>
        </w:rPr>
      </w:pPr>
    </w:p>
    <w:p>
      <w:pPr>
        <w:jc w:val="both"/>
        <w:ind w:left="1020" w:right="240" w:hanging="479"/>
        <w:spacing w:after="0" w:line="257"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1"/>
          <w:szCs w:val="21"/>
          <w:color w:val="auto"/>
        </w:rPr>
      </w:pPr>
    </w:p>
    <w:p>
      <w:pPr>
        <w:ind w:left="1020" w:right="280" w:hanging="479"/>
        <w:spacing w:after="0" w:line="252"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21"/>
          <w:szCs w:val="21"/>
          <w:color w:val="auto"/>
        </w:rPr>
      </w:pPr>
    </w:p>
    <w:p>
      <w:pPr>
        <w:ind w:left="520" w:right="20" w:hanging="512"/>
        <w:spacing w:after="0" w:line="257" w:lineRule="auto"/>
        <w:tabs>
          <w:tab w:leader="none" w:pos="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1"/>
          <w:szCs w:val="21"/>
          <w:color w:val="auto"/>
        </w:rPr>
      </w:pPr>
    </w:p>
    <w:p>
      <w:pPr>
        <w:ind w:left="1020" w:right="180" w:hanging="479"/>
        <w:spacing w:after="0" w:line="257"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1"/>
          <w:szCs w:val="21"/>
          <w:color w:val="auto"/>
        </w:rPr>
      </w:pPr>
    </w:p>
    <w:p>
      <w:pPr>
        <w:ind w:left="1020" w:right="40" w:hanging="479"/>
        <w:spacing w:after="0" w:line="273" w:lineRule="auto"/>
        <w:tabs>
          <w:tab w:leader="none" w:pos="995" w:val="left"/>
        </w:tabs>
        <w:numPr>
          <w:ilvl w:val="1"/>
          <w:numId w:val="5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5640" w:val="left"/>
          <w:tab w:leader="none" w:pos="7820" w:val="left"/>
        </w:tabs>
        <w:rPr>
          <w:sz w:val="20"/>
          <w:szCs w:val="20"/>
          <w:color w:val="auto"/>
        </w:rPr>
      </w:pPr>
      <w:r>
        <w:rPr>
          <w:rFonts w:ascii="Arial" w:cs="Arial" w:eastAsia="Arial" w:hAnsi="Arial"/>
          <w:sz w:val="21"/>
          <w:szCs w:val="21"/>
          <w:color w:val="auto"/>
        </w:rPr>
        <w:t>Date: August 13, 2024</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 w:lineRule="exact"/>
        <w:rPr>
          <w:sz w:val="20"/>
          <w:szCs w:val="20"/>
          <w:color w:val="auto"/>
        </w:rPr>
      </w:pPr>
    </w:p>
    <w:p>
      <w:pPr>
        <w:ind w:left="7940"/>
        <w:spacing w:after="0"/>
        <w:rPr>
          <w:sz w:val="20"/>
          <w:szCs w:val="20"/>
          <w:color w:val="auto"/>
        </w:rPr>
      </w:pPr>
      <w:r>
        <w:rPr>
          <w:rFonts w:ascii="Arial" w:cs="Arial" w:eastAsia="Arial" w:hAnsi="Arial"/>
          <w:sz w:val="21"/>
          <w:szCs w:val="21"/>
          <w:b w:val="1"/>
          <w:bCs w:val="1"/>
          <w:color w:val="auto"/>
        </w:rPr>
        <w:t>Charles Schoch</w:t>
      </w:r>
    </w:p>
    <w:p>
      <w:pPr>
        <w:spacing w:after="0" w:line="42" w:lineRule="exact"/>
        <w:rPr>
          <w:sz w:val="20"/>
          <w:szCs w:val="20"/>
          <w:color w:val="auto"/>
        </w:rPr>
      </w:pPr>
    </w:p>
    <w:p>
      <w:pPr>
        <w:ind w:left="7240"/>
        <w:spacing w:after="0"/>
        <w:rPr>
          <w:sz w:val="20"/>
          <w:szCs w:val="20"/>
          <w:color w:val="auto"/>
        </w:rPr>
      </w:pPr>
      <w:r>
        <w:rPr>
          <w:rFonts w:ascii="Arial" w:cs="Arial" w:eastAsia="Arial" w:hAnsi="Arial"/>
          <w:sz w:val="21"/>
          <w:szCs w:val="21"/>
          <w:b w:val="1"/>
          <w:bCs w:val="1"/>
          <w:color w:val="auto"/>
        </w:rPr>
        <w:t>Interim Chief Financial Officer</w:t>
      </w:r>
    </w:p>
    <w:p>
      <w:pPr>
        <w:spacing w:after="0" w:line="8" w:lineRule="exact"/>
        <w:rPr>
          <w:sz w:val="20"/>
          <w:szCs w:val="20"/>
          <w:color w:val="auto"/>
        </w:rPr>
      </w:pPr>
    </w:p>
    <w:p>
      <w:pPr>
        <w:jc w:val="center"/>
        <w:ind w:left="6160"/>
        <w:spacing w:after="0"/>
        <w:rPr>
          <w:sz w:val="20"/>
          <w:szCs w:val="20"/>
          <w:color w:val="auto"/>
        </w:rPr>
      </w:pPr>
      <w:r>
        <w:rPr>
          <w:rFonts w:ascii="Arial" w:cs="Arial" w:eastAsia="Arial" w:hAnsi="Arial"/>
          <w:sz w:val="20"/>
          <w:szCs w:val="20"/>
          <w:b w:val="1"/>
          <w:bCs w:val="1"/>
          <w:i w:val="1"/>
          <w:iCs w:val="1"/>
          <w:color w:val="auto"/>
        </w:rPr>
        <w:t>(principal financial officer and principal accounting</w:t>
      </w:r>
    </w:p>
    <w:p>
      <w:pPr>
        <w:spacing w:after="0" w:line="13" w:lineRule="exact"/>
        <w:rPr>
          <w:sz w:val="20"/>
          <w:szCs w:val="20"/>
          <w:color w:val="auto"/>
        </w:rPr>
      </w:pPr>
    </w:p>
    <w:p>
      <w:pPr>
        <w:jc w:val="center"/>
        <w:ind w:left="6180"/>
        <w:spacing w:after="0"/>
        <w:rPr>
          <w:sz w:val="20"/>
          <w:szCs w:val="20"/>
          <w:color w:val="auto"/>
        </w:rPr>
      </w:pPr>
      <w:r>
        <w:rPr>
          <w:rFonts w:ascii="Arial" w:cs="Arial" w:eastAsia="Arial" w:hAnsi="Arial"/>
          <w:sz w:val="21"/>
          <w:szCs w:val="21"/>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June 30, 2024 as filed with the Securities and Exchange Commission on the date hereof (the “Report”), I, Paul Peter Tak,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6180" w:val="left"/>
          <w:tab w:leader="none" w:pos="8020" w:val="left"/>
        </w:tabs>
        <w:rPr>
          <w:sz w:val="20"/>
          <w:szCs w:val="20"/>
          <w:color w:val="auto"/>
        </w:rPr>
      </w:pPr>
      <w:r>
        <w:rPr>
          <w:rFonts w:ascii="Arial" w:cs="Arial" w:eastAsia="Arial" w:hAnsi="Arial"/>
          <w:sz w:val="22"/>
          <w:szCs w:val="22"/>
          <w:color w:val="auto"/>
        </w:rPr>
        <w:t>Date: August 13,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19050</wp:posOffset>
            </wp:positionV>
            <wp:extent cx="29832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8160"/>
        <w:spacing w:after="0"/>
        <w:rPr>
          <w:sz w:val="20"/>
          <w:szCs w:val="20"/>
          <w:color w:val="auto"/>
        </w:rPr>
      </w:pPr>
      <w:r>
        <w:rPr>
          <w:rFonts w:ascii="Arial" w:cs="Arial" w:eastAsia="Arial" w:hAnsi="Arial"/>
          <w:sz w:val="22"/>
          <w:szCs w:val="22"/>
          <w:b w:val="1"/>
          <w:bCs w:val="1"/>
          <w:color w:val="auto"/>
        </w:rPr>
        <w:t>Paul Peter Tak</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2"/>
          <w:szCs w:val="22"/>
          <w:b w:val="1"/>
          <w:bCs w:val="1"/>
          <w:color w:val="auto"/>
        </w:rPr>
        <w:t>President and Chief Executive Officer</w:t>
      </w:r>
    </w:p>
    <w:p>
      <w:pPr>
        <w:ind w:left="748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June 30, 2024 as filed with the Securities and Exchange Commission on the date hereof (the “Report”), I, Charles Schoch,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6180" w:val="left"/>
          <w:tab w:leader="none" w:pos="7960" w:val="left"/>
        </w:tabs>
        <w:rPr>
          <w:sz w:val="20"/>
          <w:szCs w:val="20"/>
          <w:color w:val="auto"/>
        </w:rPr>
      </w:pPr>
      <w:r>
        <w:rPr>
          <w:rFonts w:ascii="Arial" w:cs="Arial" w:eastAsia="Arial" w:hAnsi="Arial"/>
          <w:sz w:val="22"/>
          <w:szCs w:val="22"/>
          <w:color w:val="auto"/>
        </w:rPr>
        <w:t>Date: August 13,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19050</wp:posOffset>
            </wp:positionV>
            <wp:extent cx="29832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Charles Schoch</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Interim Chief Financial Officer</w:t>
      </w:r>
    </w:p>
    <w:p>
      <w:pPr>
        <w:jc w:val="center"/>
        <w:ind w:left="646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1"/>
    </w:lvl>
  </w:abstractNum>
  <w:abstractNum w:abstractNumId="6">
    <w:nsid w:val="3006C83E"/>
    <w:multiLevelType w:val="hybridMultilevel"/>
    <w:lvl w:ilvl="0">
      <w:lvlJc w:val="left"/>
      <w:lvlText w:val="%1."/>
      <w:numFmt w:val="decimal"/>
      <w:start w:val="15"/>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5577F8E1"/>
    <w:multiLevelType w:val="hybridMultilevel"/>
    <w:lvl w:ilvl="0">
      <w:lvlJc w:val="left"/>
      <w:lvlText w:val="▪"/>
      <w:numFmt w:val="bullet"/>
      <w:start w:val="1"/>
    </w:lvl>
    <w:lvl w:ilvl="1">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3"/>
    </w:lvl>
  </w:abstractNum>
  <w:abstractNum w:abstractNumId="54">
    <w:nsid w:val="180115BE"/>
    <w:multiLevelType w:val="hybridMultilevel"/>
    <w:lvl w:ilvl="0">
      <w:lvlJc w:val="left"/>
      <w:lvlText w:val="*"/>
      <w:numFmt w:val="bullet"/>
      <w:start w:val="1"/>
    </w:lvl>
    <w:lvl w:ilvl="1">
      <w:lvlJc w:val="left"/>
      <w:lvlText w:val="%2"/>
      <w:numFmt w:val="decimal"/>
      <w:start w:val="104"/>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57" Type="http://schemas.openxmlformats.org/officeDocument/2006/relationships/hyperlink" Target="https://www.sec.gov/Archives/edgar/data/0001841387/000119312521229437/d203496dex31.htm" TargetMode="External"/><Relationship Id="rId258" Type="http://schemas.openxmlformats.org/officeDocument/2006/relationships/hyperlink" Target="https://www.sec.gov/Archives/edgar/data/0001841387/000119312521229437/d203496dex32.htm" TargetMode="External"/><Relationship Id="rId259" Type="http://schemas.openxmlformats.org/officeDocument/2006/relationships/hyperlink" Target="https://www.sec.gov/Archives/edgar/data/1841387/000095017024066608/cadl-ex3_1.htm" TargetMode="External"/><Relationship Id="rId260" Type="http://schemas.openxmlformats.org/officeDocument/2006/relationships/hyperlink" Target="https://www.sec.gov/Archives/edgar/data/0001841387/000119312521216891/d12090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2024-08-13T07:40:05Z</dcterms:created>
  <dcterms:modified xsi:type="dcterms:W3CDTF">2024-08-13T07:40:05Z</dcterms:modified>
</cp:coreProperties>
</file>