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cadl-20260630.htm"/>
      <w:bookmarkStart w:id="1" w:name="kscadl20260630"/>
      <w:bookmarkEnd w:id="0"/>
      <w:bookmarkEnd w:id="1"/>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quarterly period ended June 30, 2026</w:t>
      </w:r>
    </w:p>
    <w:p>
      <w:pPr>
        <w:pStyle w:val="TextBody"/>
        <w:bidi w:val="0"/>
        <w:spacing w:before="8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transition period from ______________ to ______________</w:t>
      </w:r>
    </w:p>
    <w:p>
      <w:pPr>
        <w:pStyle w:val="TextBody"/>
        <w:bidi w:val="0"/>
        <w:spacing w:before="80" w:after="283"/>
        <w:jc w:val="center"/>
        <w:rPr>
          <w:rFonts w:ascii="Arial" w:hAnsi="Arial"/>
          <w:b/>
          <w:color w:val="000000"/>
          <w:sz w:val="20"/>
        </w:rPr>
      </w:pPr>
      <w:r>
        <w:rPr>
          <w:rFonts w:ascii="Arial" w:hAnsi="Arial"/>
          <w:b/>
          <w:color w:val="000000"/>
          <w:sz w:val="20"/>
        </w:rPr>
        <w:t>Commission File Number: 001-40629</w:t>
      </w:r>
    </w:p>
    <w:p>
      <w:pPr>
        <w:pStyle w:val="TextBody"/>
        <w:pBdr>
          <w:bottom w:val="single" w:sz="4" w:space="1" w:color="000000"/>
        </w:pBdr>
        <w:bidi w:val="0"/>
        <w:jc w:val="center"/>
        <w:rPr/>
      </w:pPr>
      <w:r>
        <w:rPr/>
        <w:t> </w:t>
      </w:r>
    </w:p>
    <w:p>
      <w:pPr>
        <w:pStyle w:val="TextBody"/>
        <w:bidi w:val="0"/>
        <w:spacing w:before="80" w:after="283"/>
        <w:jc w:val="center"/>
        <w:rPr>
          <w:rFonts w:ascii="Arial" w:hAnsi="Arial"/>
          <w:b/>
          <w:color w:val="000000"/>
          <w:sz w:val="48"/>
        </w:rPr>
      </w:pPr>
      <w:r>
        <w:rPr>
          <w:rFonts w:ascii="Arial" w:hAnsi="Arial"/>
          <w:b/>
          <w:color w:val="000000"/>
          <w:sz w:val="48"/>
        </w:rPr>
        <w:t>CANDEL THERAPEUTICS,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52-2214851</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60" w:after="283"/>
              <w:jc w:val="center"/>
              <w:rPr>
                <w:rFonts w:ascii="Arial" w:hAnsi="Arial"/>
                <w:b/>
                <w:color w:val="000000"/>
                <w:sz w:val="18"/>
              </w:rPr>
            </w:pPr>
            <w:r>
              <w:rPr>
                <w:rFonts w:ascii="Arial" w:hAnsi="Arial"/>
                <w:b/>
                <w:color w:val="000000"/>
                <w:sz w:val="18"/>
              </w:rPr>
              <w:t>117 Kendrick St, Suite 450</w:t>
              <w:br/>
              <w:t>Needham, MA</w:t>
            </w:r>
          </w:p>
        </w:tc>
        <w:tc>
          <w:tcPr>
            <w:tcW w:w="1291" w:type="dxa"/>
            <w:tcBorders/>
            <w:tcMar>
              <w:top w:w="0" w:type="dxa"/>
              <w:left w:w="0" w:type="dxa"/>
              <w:bottom w:w="0" w:type="dxa"/>
              <w:right w:w="0" w:type="dxa"/>
            </w:tcMar>
            <w:vAlign w:val="center"/>
          </w:tcPr>
          <w:p>
            <w:pPr>
              <w:pStyle w:val="TableContents"/>
              <w:bidi w:val="0"/>
              <w:spacing w:before="60" w:after="283"/>
              <w:jc w:val="center"/>
              <w:rPr>
                <w:rFonts w:ascii="Arial" w:hAnsi="Arial"/>
                <w:b/>
                <w:color w:val="000000"/>
                <w:sz w:val="18"/>
              </w:rPr>
            </w:pPr>
            <w:r>
              <w:rPr>
                <w:rFonts w:ascii="Arial" w:hAnsi="Arial"/>
                <w:b/>
                <w:color w:val="000000"/>
                <w:sz w:val="18"/>
              </w:rPr>
              <w:t>02494</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80" w:after="283"/>
        <w:jc w:val="center"/>
        <w:rPr>
          <w:rFonts w:ascii="Arial" w:hAnsi="Arial"/>
          <w:b/>
          <w:color w:val="000000"/>
          <w:sz w:val="18"/>
        </w:rPr>
      </w:pPr>
      <w:r>
        <w:rPr>
          <w:rFonts w:ascii="Arial" w:hAnsi="Arial"/>
          <w:b/>
          <w:color w:val="000000"/>
          <w:sz w:val="18"/>
        </w:rPr>
        <w:t>Registrant’s telephone number, including area code: (617) 916-5445</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425" w:type="dxa"/>
        <w:jc w:val="left"/>
        <w:tblInd w:w="0" w:type="dxa"/>
        <w:tblLayout w:type="fixed"/>
        <w:tblCellMar>
          <w:top w:w="28" w:type="dxa"/>
          <w:left w:w="28" w:type="dxa"/>
          <w:bottom w:w="28" w:type="dxa"/>
          <w:right w:w="28" w:type="dxa"/>
        </w:tblCellMar>
      </w:tblPr>
      <w:tblGrid>
        <w:gridCol w:w="3556"/>
        <w:gridCol w:w="146"/>
        <w:gridCol w:w="916"/>
        <w:gridCol w:w="146"/>
        <w:gridCol w:w="366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CADL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Nasdaq Global Market</w:t>
            </w:r>
          </w:p>
        </w:tc>
      </w:tr>
    </w:tbl>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1951"/>
        <w:gridCol w:w="146"/>
        <w:gridCol w:w="316"/>
        <w:gridCol w:w="146"/>
        <w:gridCol w:w="2311"/>
        <w:gridCol w:w="146"/>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As of August 6, 2026, the registrant had 76,518,565</w:t>
      </w:r>
      <w:r>
        <w:rPr>
          <w:rFonts w:ascii="Times New Roman" w:hAnsi="Times New Roman"/>
          <w:color w:val="000000"/>
          <w:sz w:val="20"/>
        </w:rPr>
        <w:t xml:space="preserve"> </w:t>
      </w:r>
      <w:r>
        <w:rPr>
          <w:rFonts w:ascii="Arial" w:hAnsi="Arial"/>
          <w:color w:val="000000"/>
          <w:sz w:val="18"/>
        </w:rPr>
        <w:t>shares of common stock, $0.01 par value per share, outstanding.</w:t>
      </w:r>
    </w:p>
    <w:p>
      <w:pPr>
        <w:pStyle w:val="TextBody"/>
        <w:pBdr>
          <w:bottom w:val="double" w:sz="4"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160" w:after="283"/>
        <w:jc w:val="center"/>
        <w:rPr>
          <w:rFonts w:ascii="Arial" w:hAnsi="Arial"/>
          <w:b/>
          <w:color w:val="000000"/>
          <w:sz w:val="20"/>
        </w:rPr>
      </w:pPr>
      <w:r>
        <w:rPr>
          <w:rFonts w:ascii="Arial" w:hAnsi="Arial"/>
          <w:b/>
          <w:color w:val="000000"/>
          <w:sz w:val="20"/>
        </w:rPr>
        <w:t>SPECIAL NOTE REGARDING FORWARD-LOOKING STATEMENTS</w:t>
      </w:r>
    </w:p>
    <w:p>
      <w:pPr>
        <w:pStyle w:val="TextBody"/>
        <w:bidi w:val="0"/>
        <w:spacing w:before="160" w:after="283"/>
        <w:jc w:val="left"/>
        <w:rPr>
          <w:rFonts w:ascii="Arial" w:hAnsi="Arial"/>
          <w:color w:val="000000"/>
          <w:sz w:val="19"/>
        </w:rPr>
      </w:pPr>
      <w:r>
        <w:rPr>
          <w:rFonts w:ascii="Arial" w:hAnsi="Arial"/>
          <w:color w:val="000000"/>
          <w:sz w:val="19"/>
        </w:rPr>
        <w:t>This Quarterly Report on Form 10-Q (Form 10-Q), including the section entitled “Management’s Discussion and Analysis of Financial Condition and Results of Operations,”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10-Q may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timing and the success of preclinical studies and clinical trials of aglatimagene besadenovec (referred to herein as aglatimagene and previously as CAN-2409) and linoserpaturev (referred to previously as CAN-3110) and any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initiation of any clinical trials of aglatimagene and linoserpaturev and any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need to raise additional funding before we can expect to generate any revenues from product sales;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conduct successful clinical trials or obtain regulatory approval for aglatimagene and linoserpaturev or any other product candidates that we may identify or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ability of our research to generate and advance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effects of public health crises, outbreaks of an infectious disease or ongoing geopolitical conflicts, including mitigation efforts and economic effects, on any of the foregoing or other aspects of our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establish an adequate safety or efficacy profile for aglatimagene, linoserpaturev or any other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manufacture aglatimagene, linoserpaturev or any other product candidate in conformity with our specifications and the U.S. Food and Drug Administration’s (FDA) requirements and to scale up manufacturing of our product candidates to commercial scale,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restrictions that the terms of the RTW Purchase Agreement (as defined below) currently impose, and that the terms of the RTW Purchase Agreement will impose on our operating and financial flexibility;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implementation of our strategic plans for our business, any product candidates we may develop and any companion diagnostics;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intellectual property position, including the scope of protection we are able to establish and maintain for intellectual property rights covering our product candidates and any companion diagnostics;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rate and degree of market acceptance and clinical utility for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estimates of our expenses, future revenues, capital requirements and our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period we estimate to be funded by our existing financial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establish and maintain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potential benefits with the continued existence of our license agreement with Mass General Brigham (MGB);</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effectively manage our anticipated growth;</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developments relating to our competitors and our industry, including the impact of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retain the continued service of our key professionals and to identify, hire and retain additional qualified professionals;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other risks and uncertainties, including those discussed in Part II, Item 1A - Risk Factors in this Form 10-Q.</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Arial" w:hAnsi="Arial"/>
          <w:color w:val="000000"/>
          <w:sz w:val="19"/>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Form 10-Q.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pStyle w:val="TextBody"/>
        <w:bidi w:val="0"/>
        <w:spacing w:before="120" w:after="283"/>
        <w:jc w:val="left"/>
        <w:rPr>
          <w:rFonts w:ascii="Arial" w:hAnsi="Arial"/>
          <w:color w:val="000000"/>
          <w:sz w:val="19"/>
        </w:rPr>
      </w:pPr>
      <w:r>
        <w:rPr>
          <w:rFonts w:ascii="Arial" w:hAnsi="Arial"/>
          <w:color w:val="000000"/>
          <w:sz w:val="19"/>
        </w:rPr>
        <w:t>The forward-looking statements in this Form 10-Q represent our views as of the date of this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10-Q.</w:t>
      </w:r>
    </w:p>
    <w:p>
      <w:pPr>
        <w:pStyle w:val="TextBody"/>
        <w:bidi w:val="0"/>
        <w:spacing w:before="120" w:after="283"/>
        <w:jc w:val="left"/>
        <w:rPr>
          <w:rFonts w:ascii="Arial" w:hAnsi="Arial"/>
          <w:color w:val="000000"/>
          <w:sz w:val="19"/>
        </w:rPr>
      </w:pPr>
      <w:r>
        <w:rPr>
          <w:rFonts w:ascii="Arial" w:hAnsi="Arial"/>
          <w:color w:val="000000"/>
          <w:sz w:val="19"/>
        </w:rPr>
        <w:t>This Form 10-Q may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have not independently verified the information contained in such sources.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color w:val="000000"/>
          <w:sz w:val="20"/>
        </w:rPr>
        <w:br/>
      </w:r>
      <w:r>
        <w:rPr>
          <w:rFonts w:ascii="Arial" w:hAnsi="Arial"/>
          <w:b/>
          <w:color w:val="000000"/>
          <w:sz w:val="20"/>
        </w:rPr>
        <w:t>SUMMARY OF THE MATERIAL AND OTHER RISKS ASSOCIATED WITH OUR BUSINESS</w:t>
      </w:r>
    </w:p>
    <w:p>
      <w:pPr>
        <w:pStyle w:val="TextBody"/>
        <w:bidi w:val="0"/>
        <w:spacing w:before="160" w:after="283"/>
        <w:jc w:val="left"/>
        <w:rPr>
          <w:rFonts w:ascii="Arial" w:hAnsi="Arial"/>
          <w:color w:val="000000"/>
          <w:sz w:val="19"/>
        </w:rPr>
      </w:pPr>
      <w:r>
        <w:rPr>
          <w:rFonts w:ascii="Arial" w:hAnsi="Arial"/>
          <w:color w:val="000000"/>
          <w:sz w:val="19"/>
        </w:rPr>
        <w:t>Our business is subject to numerous risks and uncertainties, including those described more fully in Part II, Item 1A - Risk Factors in this Form 10-Q. You should carefully consider these risks and uncertainties when investing in our common stock. The principal risks and uncertainties affecting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We are a biopharmaceutical company with a limited operating history and we have not generated any revenue from product sales. We expect to continue to incur significant expenses and increasing operating losses for the foreseeable future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We will need to raise substantial additional funding. If we are unable to raise capital when needed, we would be forced to delay, reduce or eliminate some of our product development programs or commercialization efforts or initiate steps to cease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We have incurred indebtedness, and we may incur additional indebtedness, which could adversely affect our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business is dependent on the success of aglatimagene, linoserpaturev and any other product candidates that we advance into the clinic. All of our product candidates will require additional development before we may be able to seek regulatory approval for and launch a product commercially.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preclinical studies and clinical trials may fail to demonstrate adequately the safety and efficacy of any of our product candidates, which would prevent or delay development,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product candidates are based on a novel approach to the treatment of cancer, which makes it difficult to predict the time and cost of product candidate development and subsequently obtaining regulatory approval,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Even if we receive marketing approval for our current or future product candidates, our current or future product candidates may not achieve broad market acceptance, which would limit the revenue that we generate from their sales.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aglatimagene, linoserpaturev and future product candidates as expected, and our ability to generate revenue may be materially impaired.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FDA’s agreement to a Special Protocol Assessment with respect to the study design of our pivotal phase 3 clinical trial of aglatimagene in newly diagnosed localized prostate cancer in intermediate- and high-risk patients does not guarantee any particular outcome from regulatory review, including ultimate approval, and may not lead to a successful review or approval process.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Some of our product candidates are being, and may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Changes in product candidate manufacturing or formulation may result in additional costs or delay.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 xml:space="preserve">Any future public health crisis, outbreaks of an infectious disease or ongoing geopolitical conflicts, may have adverse effects on our business and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transition of our manufacturing operations to a third-party contract manufacturer may result in further delays or expenses, and we may not experience the anticipated operating efficiencies.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NOTE REGARDING COMPANY REFERENCES</w:t>
      </w:r>
    </w:p>
    <w:p>
      <w:pPr>
        <w:pStyle w:val="TextBody"/>
        <w:bidi w:val="0"/>
        <w:jc w:val="left"/>
        <w:rPr/>
      </w:pPr>
      <w:r>
        <w:rPr/>
        <w:t> </w:t>
      </w:r>
    </w:p>
    <w:p>
      <w:pPr>
        <w:pStyle w:val="TextBody"/>
        <w:bidi w:val="0"/>
        <w:jc w:val="left"/>
        <w:rPr>
          <w:rFonts w:ascii="Arial" w:hAnsi="Arial"/>
          <w:color w:val="000000"/>
          <w:sz w:val="19"/>
        </w:rPr>
      </w:pPr>
      <w:r>
        <w:rPr>
          <w:rFonts w:ascii="Arial" w:hAnsi="Arial"/>
          <w:color w:val="000000"/>
          <w:sz w:val="19"/>
        </w:rPr>
        <w:t>Unless the context otherwise requires, the terms “Candel Therapeutics,” “the Company,” “we,” “us,” and “our” in this Form 10-Q refer to Candel Therapeutics, Inc. and its consolidated subsidiary.</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NOTE REGARDING TRADEMARKS</w:t>
      </w:r>
    </w:p>
    <w:p>
      <w:pPr>
        <w:pStyle w:val="TextBody"/>
        <w:bidi w:val="0"/>
        <w:jc w:val="left"/>
        <w:rPr/>
      </w:pPr>
      <w:r>
        <w:rPr/>
        <w:t> </w:t>
      </w:r>
    </w:p>
    <w:p>
      <w:pPr>
        <w:pStyle w:val="TextBody"/>
        <w:bidi w:val="0"/>
        <w:jc w:val="left"/>
        <w:rPr>
          <w:rFonts w:ascii="Arial" w:hAnsi="Arial"/>
          <w:color w:val="000000"/>
          <w:sz w:val="19"/>
        </w:rPr>
      </w:pPr>
      <w:r>
        <w:rPr>
          <w:rFonts w:ascii="Arial" w:hAnsi="Arial"/>
          <w:color w:val="000000"/>
          <w:sz w:val="19"/>
        </w:rPr>
        <w:t>We own or have rights to various trademarks, service marks and trade names that are used in connection with the operation of our business, including our company name, Candel Therapeutics, our logo, and the names of our CAN-2409 and CAN-3110 product candidates. This Form 10-Q may also contain trademarks, service marks and trade names of third parties, which are the property of their respective owners. Our use or display of third parties’ trademarks, service marks, trade names or products in this Form 10-Q is not intended to and does not imply a relationship with, or endorsement or sponsorship by, us. Solely for convenience, the trademarks, service marks and trade names referred to in this Form 10-Q may appear without the ®, TM or SM symbols, but the omission of such references is not intended to indicate, in any way, that we will not assert, to the fullest extent under applicable law, our rights or the right of the applicable owner of these trademarks, service marks and trade names.</w:t>
      </w:r>
    </w:p>
    <w:p>
      <w:pPr>
        <w:pStyle w:val="TextBody"/>
        <w:bidi w:val="0"/>
        <w:spacing w:before="240" w:after="283"/>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10128" w:type="dxa"/>
        <w:jc w:val="left"/>
        <w:tblInd w:w="0" w:type="dxa"/>
        <w:tblLayout w:type="fixed"/>
        <w:tblCellMar>
          <w:top w:w="28" w:type="dxa"/>
          <w:left w:w="28" w:type="dxa"/>
          <w:bottom w:w="28" w:type="dxa"/>
          <w:right w:w="28" w:type="dxa"/>
        </w:tblCellMar>
      </w:tblPr>
      <w:tblGrid>
        <w:gridCol w:w="886"/>
        <w:gridCol w:w="8701"/>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870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000FF"/>
                  <w:sz w:val="20"/>
                  <w:u w:val="single"/>
                </w:rPr>
                <w:t>FINANCIAL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Arial" w:hAnsi="Arial"/>
                  <w:color w:val="0000FF"/>
                  <w:sz w:val="20"/>
                  <w:u w:val="single"/>
                </w:rPr>
                <w:t>Condensed Consolidated Statements of Operations and Comprehensive Income (Loss)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onver">
              <w:r>
                <w:rPr>
                  <w:rStyle w:val="InternetLink"/>
                  <w:rFonts w:ascii="Arial" w:hAnsi="Arial"/>
                  <w:color w:val="0000FF"/>
                  <w:sz w:val="20"/>
                  <w:u w:val="single"/>
                </w:rPr>
                <w:t>Condensed Consolidated Statements of Stockholders’ Equity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Arial" w:hAnsi="Arial"/>
                  <w:color w:val="0000FF"/>
                  <w:sz w:val="20"/>
                  <w:u w:val="single"/>
                </w:rPr>
                <w:t>Notes to Condensed Consolidated 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Management’s Discussion and Analysis of Financial Condition and Results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20"/>
                  <w:u w:val="single"/>
                </w:rPr>
                <w:t>Quantitative and Qualitative Disclosures About Market Risk</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Controls and Procedures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and Use of Proceeds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no">
              <w:r>
                <w:rPr>
                  <w:rStyle w:val="InternetLink"/>
                  <w:rFonts w:ascii="Arial" w:hAnsi="Arial"/>
                  <w:color w:val="0000FF"/>
                  <w:sz w:val="20"/>
                  <w:u w:val="single"/>
                </w:rPr>
                <w:t>Defaults Upon Senior Securities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r>
      <w:tr>
        <w:trPr/>
        <w:tc>
          <w:tcPr>
            <w:tcW w:w="9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bookmarkStart w:id="2" w:name="part_ifinancial_information"/>
      <w:bookmarkEnd w:id="2"/>
      <w:r>
        <w:rPr>
          <w:rFonts w:ascii="Arial" w:hAnsi="Arial"/>
          <w:b/>
          <w:color w:val="000000"/>
          <w:sz w:val="20"/>
        </w:rPr>
        <w:t>PART I—FINANCIAL INFORMATION</w:t>
      </w:r>
    </w:p>
    <w:p>
      <w:pPr>
        <w:pStyle w:val="TextBody"/>
        <w:bidi w:val="0"/>
        <w:spacing w:before="120" w:after="283"/>
        <w:jc w:val="left"/>
        <w:rPr>
          <w:rFonts w:ascii="Arial" w:hAnsi="Arial"/>
          <w:b/>
          <w:color w:val="000000"/>
          <w:sz w:val="20"/>
        </w:rPr>
      </w:pPr>
      <w:bookmarkStart w:id="3" w:name="item_1_financial_statements"/>
      <w:bookmarkEnd w:id="3"/>
      <w:r>
        <w:rPr>
          <w:rFonts w:ascii="Arial" w:hAnsi="Arial"/>
          <w:b/>
          <w:color w:val="000000"/>
          <w:sz w:val="20"/>
        </w:rPr>
        <w:t>Item 1. Financial Statements.</w:t>
      </w:r>
    </w:p>
    <w:p>
      <w:pPr>
        <w:pStyle w:val="TextBody"/>
        <w:bidi w:val="0"/>
        <w:spacing w:before="120" w:after="283"/>
        <w:jc w:val="center"/>
        <w:rPr>
          <w:rFonts w:ascii="Times New Roman" w:hAnsi="Times New Roman"/>
          <w:sz w:val="20"/>
        </w:rPr>
      </w:pPr>
      <w:r>
        <w:rPr>
          <w:rFonts w:ascii="Arial" w:hAnsi="Arial"/>
          <w:b/>
          <w:caps/>
          <w:color w:val="000000"/>
          <w:sz w:val="20"/>
        </w:rPr>
        <w:t>Candel Therapeutics,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bookmarkStart w:id="4" w:name="condensed_consolidated_balance_sheets"/>
      <w:bookmarkEnd w:id="4"/>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21"/>
        <w:gridCol w:w="146"/>
        <w:gridCol w:w="211"/>
        <w:gridCol w:w="856"/>
        <w:gridCol w:w="166"/>
        <w:gridCol w:w="146"/>
        <w:gridCol w:w="218"/>
        <w:gridCol w:w="888"/>
        <w:gridCol w:w="1053"/>
      </w:tblGrid>
      <w:tr>
        <w:trPr/>
        <w:tc>
          <w:tcPr>
            <w:tcW w:w="6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119,731</w:t>
            </w:r>
          </w:p>
        </w:tc>
        <w:tc>
          <w:tcPr>
            <w:tcW w:w="105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1,658</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b/>
                <w:color w:val="000000"/>
                <w:sz w:val="20"/>
              </w:rPr>
            </w:pPr>
            <w:r>
              <w:rPr>
                <w:rFonts w:ascii="Arial" w:hAnsi="Arial"/>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121,389</w:t>
            </w:r>
          </w:p>
        </w:tc>
        <w:tc>
          <w:tcPr>
            <w:tcW w:w="10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Fixed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1,642</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Lease 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1,661</w:t>
            </w:r>
          </w:p>
        </w:tc>
        <w:tc>
          <w:tcPr>
            <w:tcW w:w="10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b/>
                <w:color w:val="000000"/>
                <w:sz w:val="20"/>
              </w:rPr>
            </w:pPr>
            <w:r>
              <w:rPr>
                <w:rFonts w:ascii="Arial" w:hAnsi="Arial"/>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125,195</w:t>
            </w:r>
          </w:p>
        </w:tc>
        <w:tc>
          <w:tcPr>
            <w:tcW w:w="10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1,129</w:t>
            </w:r>
          </w:p>
        </w:tc>
        <w:tc>
          <w:tcPr>
            <w:tcW w:w="105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7,334</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Current portion of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w:t>
            </w:r>
          </w:p>
        </w:tc>
        <w:tc>
          <w:tcPr>
            <w:tcW w:w="105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b/>
                <w:color w:val="000000"/>
                <w:sz w:val="20"/>
              </w:rPr>
            </w:pPr>
            <w:r>
              <w:rPr>
                <w:rFonts w:ascii="Arial" w:hAnsi="Arial"/>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8,997</w:t>
            </w:r>
          </w:p>
        </w:tc>
        <w:tc>
          <w:tcPr>
            <w:tcW w:w="10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46,122</w:t>
            </w:r>
          </w:p>
        </w:tc>
        <w:tc>
          <w:tcPr>
            <w:tcW w:w="10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1,008</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1,459</w:t>
            </w:r>
          </w:p>
        </w:tc>
        <w:tc>
          <w:tcPr>
            <w:tcW w:w="10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15,598</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b/>
                <w:color w:val="000000"/>
                <w:sz w:val="20"/>
              </w:rPr>
            </w:pPr>
            <w:r>
              <w:rPr>
                <w:rFonts w:ascii="Arial" w:hAnsi="Arial"/>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73,273</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Commitments and contingencies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sz w:val="20"/>
              </w:rPr>
            </w:pPr>
            <w:r>
              <w:rPr>
                <w:rFonts w:ascii="Arial" w:hAnsi="Arial"/>
                <w:color w:val="000000"/>
                <w:sz w:val="20"/>
              </w:rPr>
              <w:t>Preferred stock, $0.01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shares authorized at June 30, 2026 and December 31, 2025; no</w:t>
            </w:r>
            <w:r>
              <w:rPr>
                <w:rFonts w:ascii="Times New Roman" w:hAnsi="Times New Roman"/>
                <w:color w:val="000000"/>
                <w:sz w:val="20"/>
              </w:rPr>
              <w:t> </w:t>
            </w:r>
            <w:r>
              <w:rPr>
                <w:rFonts w:ascii="Arial" w:hAnsi="Arial"/>
                <w:color w:val="000000"/>
                <w:sz w:val="20"/>
              </w:rPr>
              <w:t>shares issued or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sz w:val="20"/>
              </w:rPr>
            </w:pPr>
            <w:r>
              <w:rPr>
                <w:rFonts w:ascii="Arial" w:hAnsi="Arial"/>
                <w:color w:val="000000"/>
                <w:sz w:val="20"/>
              </w:rPr>
              <w:t>Common stock, $0.01</w:t>
            </w:r>
            <w:r>
              <w:rPr>
                <w:rFonts w:ascii="Times New Roman" w:hAnsi="Times New Roman"/>
                <w:color w:val="000000"/>
                <w:sz w:val="20"/>
              </w:rPr>
              <w:t> </w:t>
            </w:r>
            <w:r>
              <w:rPr>
                <w:rFonts w:ascii="Arial" w:hAnsi="Arial"/>
                <w:color w:val="000000"/>
                <w:sz w:val="20"/>
              </w:rPr>
              <w:t>par value; 150,000,000</w:t>
            </w:r>
            <w:r>
              <w:rPr>
                <w:rFonts w:ascii="Times New Roman" w:hAnsi="Times New Roman"/>
                <w:color w:val="000000"/>
                <w:sz w:val="20"/>
              </w:rPr>
              <w:t> </w:t>
            </w:r>
            <w:r>
              <w:rPr>
                <w:rFonts w:ascii="Arial" w:hAnsi="Arial"/>
                <w:color w:val="000000"/>
                <w:sz w:val="20"/>
              </w:rPr>
              <w:t>shares authorized at June 30, 2026 and December 31, 2025; 76,240,884</w:t>
            </w:r>
            <w:r>
              <w:rPr>
                <w:rFonts w:ascii="Times New Roman" w:hAnsi="Times New Roman"/>
                <w:color w:val="000000"/>
                <w:sz w:val="20"/>
              </w:rPr>
              <w:t> </w:t>
            </w:r>
            <w:r>
              <w:rPr>
                <w:rFonts w:ascii="Arial" w:hAnsi="Arial"/>
                <w:color w:val="000000"/>
                <w:sz w:val="20"/>
              </w:rPr>
              <w:t>and 55,020,911</w:t>
            </w:r>
            <w:r>
              <w:rPr>
                <w:rFonts w:ascii="Times New Roman" w:hAnsi="Times New Roman"/>
                <w:color w:val="000000"/>
                <w:sz w:val="20"/>
              </w:rPr>
              <w:t> </w:t>
            </w:r>
            <w:r>
              <w:rPr>
                <w:rFonts w:ascii="Arial" w:hAnsi="Arial"/>
                <w:color w:val="000000"/>
                <w:sz w:val="20"/>
              </w:rPr>
              <w:t>shares issued at June 30, 2026 and December 31, 2025, respectively; 76,118,276</w:t>
            </w:r>
            <w:r>
              <w:rPr>
                <w:rFonts w:ascii="Times New Roman" w:hAnsi="Times New Roman"/>
                <w:color w:val="000000"/>
                <w:sz w:val="20"/>
              </w:rPr>
              <w:t> </w:t>
            </w:r>
            <w:r>
              <w:rPr>
                <w:rFonts w:ascii="Arial" w:hAnsi="Arial"/>
                <w:color w:val="000000"/>
                <w:sz w:val="20"/>
              </w:rPr>
              <w:t>and 54,898,303</w:t>
            </w:r>
            <w:r>
              <w:rPr>
                <w:rFonts w:ascii="Times New Roman" w:hAnsi="Times New Roman"/>
                <w:color w:val="000000"/>
                <w:sz w:val="20"/>
              </w:rPr>
              <w:t> </w:t>
            </w:r>
            <w:r>
              <w:rPr>
                <w:rFonts w:ascii="Arial" w:hAnsi="Arial"/>
                <w:color w:val="000000"/>
                <w:sz w:val="20"/>
              </w:rPr>
              <w:t>shares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w:t>
            </w:r>
          </w:p>
        </w:tc>
        <w:tc>
          <w:tcPr>
            <w:tcW w:w="105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Treasury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282,207</w:t>
            </w:r>
          </w:p>
        </w:tc>
        <w:tc>
          <w:tcPr>
            <w:tcW w:w="105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(230,387</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b/>
                <w:color w:val="000000"/>
                <w:sz w:val="20"/>
              </w:rPr>
            </w:pPr>
            <w:r>
              <w:rPr>
                <w:rFonts w:ascii="Arial" w:hAnsi="Arial"/>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51,922</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b/>
                <w:color w:val="000000"/>
                <w:sz w:val="20"/>
              </w:rPr>
            </w:pPr>
            <w:r>
              <w:rPr>
                <w:rFonts w:ascii="Arial" w:hAnsi="Arial"/>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125,195</w:t>
            </w:r>
          </w:p>
        </w:tc>
        <w:tc>
          <w:tcPr>
            <w:tcW w:w="10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b/>
          <w:caps/>
          <w:color w:val="000000"/>
          <w:sz w:val="20"/>
        </w:rPr>
        <w:t>Candel Therapeutics, Inc.</w:t>
      </w:r>
      <w:r>
        <w:rPr>
          <w:rFonts w:ascii="Times New Roman" w:hAnsi="Times New Roman"/>
          <w:caps/>
          <w:color w:val="000000"/>
          <w:sz w:val="20"/>
        </w:rPr>
        <w:t xml:space="preserve"> </w:t>
      </w:r>
    </w:p>
    <w:p>
      <w:pPr>
        <w:pStyle w:val="TextBody"/>
        <w:bidi w:val="0"/>
        <w:spacing w:before="120" w:after="283"/>
        <w:jc w:val="center"/>
        <w:rPr>
          <w:rFonts w:ascii="Arial" w:hAnsi="Arial"/>
          <w:b/>
          <w:color w:val="000000"/>
          <w:sz w:val="20"/>
        </w:rPr>
      </w:pPr>
      <w:bookmarkStart w:id="5" w:name="condensed_consolidated_statements_operat"/>
      <w:bookmarkEnd w:id="5"/>
      <w:r>
        <w:rPr>
          <w:rFonts w:ascii="Arial" w:hAnsi="Arial"/>
          <w:b/>
          <w:color w:val="000000"/>
          <w:sz w:val="20"/>
        </w:rPr>
        <w:t>Condensed Consolidated Statements of Operations and Comprehensive Income (Loss)</w:t>
      </w:r>
    </w:p>
    <w:p>
      <w:pPr>
        <w:pStyle w:val="TextBody"/>
        <w:bidi w:val="0"/>
        <w:jc w:val="center"/>
        <w:rPr>
          <w:rFonts w:ascii="Times New Roman" w:hAnsi="Times New Roman"/>
          <w:sz w:val="20"/>
        </w:rPr>
      </w:pPr>
      <w:r>
        <w:rPr>
          <w:rFonts w:ascii="Arial" w:hAnsi="Arial"/>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4"/>
        <w:gridCol w:w="146"/>
        <w:gridCol w:w="211"/>
        <w:gridCol w:w="1036"/>
        <w:gridCol w:w="166"/>
        <w:gridCol w:w="146"/>
        <w:gridCol w:w="211"/>
        <w:gridCol w:w="1036"/>
        <w:gridCol w:w="166"/>
        <w:gridCol w:w="146"/>
        <w:gridCol w:w="211"/>
        <w:gridCol w:w="1036"/>
        <w:gridCol w:w="166"/>
        <w:gridCol w:w="146"/>
        <w:gridCol w:w="211"/>
        <w:gridCol w:w="1036"/>
        <w:gridCol w:w="1031"/>
      </w:tblGrid>
      <w:tr>
        <w:trPr/>
        <w:tc>
          <w:tcPr>
            <w:tcW w:w="3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br/>
              <w:t>JUNE 30,</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11,007</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8,300</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b/>
                <w:color w:val="000000"/>
                <w:sz w:val="18"/>
              </w:rPr>
            </w:pPr>
            <w:r>
              <w:rPr>
                <w:rFonts w:ascii="Arial" w:hAnsi="Arial"/>
                <w:b/>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19,307</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b/>
                <w:color w:val="000000"/>
                <w:sz w:val="18"/>
              </w:rPr>
            </w:pPr>
            <w:r>
              <w:rPr>
                <w:rFonts w:ascii="Arial" w:hAnsi="Arial"/>
                <w:b/>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(19,307</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1,860</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(542</w:t>
            </w:r>
          </w:p>
        </w:tc>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20,572</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b/>
                <w:color w:val="000000"/>
                <w:sz w:val="18"/>
              </w:rPr>
            </w:pPr>
            <w:r>
              <w:rPr>
                <w:rFonts w:ascii="Arial" w:hAnsi="Arial"/>
                <w:b/>
                <w:color w:val="000000"/>
                <w:sz w:val="18"/>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21,890</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income (loss) and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2,583</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income (loss) per share,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0.05</w:t>
            </w:r>
          </w:p>
        </w:tc>
        <w:tc>
          <w:tcPr>
            <w:tcW w:w="10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Weighted-average common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74,131,229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51,489,929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68,279,075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50,988,887</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income (loss)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0.05</w:t>
            </w:r>
          </w:p>
        </w:tc>
        <w:tc>
          <w:tcPr>
            <w:tcW w:w="10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Weighted-average common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74,131,229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51,489,929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68,279,075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53,369,582</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Arial" w:hAnsi="Arial"/>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b/>
          <w:caps/>
          <w:color w:val="000000"/>
          <w:sz w:val="20"/>
        </w:rPr>
        <w:t>Candel ThErapeutics,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bookmarkStart w:id="6" w:name="condensed_consolidated_statements_conver"/>
      <w:bookmarkEnd w:id="6"/>
      <w:r>
        <w:rPr>
          <w:rFonts w:ascii="Arial" w:hAnsi="Arial"/>
          <w:b/>
          <w:color w:val="000000"/>
          <w:sz w:val="20"/>
        </w:rPr>
        <w:t>Condensed Consolidated Statements of</w:t>
      </w:r>
      <w:r>
        <w:rPr>
          <w:rFonts w:ascii="Times New Roman" w:hAnsi="Times New Roman"/>
          <w:color w:val="000000"/>
          <w:sz w:val="20"/>
        </w:rPr>
        <w:t xml:space="preserve"> </w:t>
      </w:r>
      <w:r>
        <w:rPr>
          <w:rFonts w:ascii="Arial" w:hAnsi="Arial"/>
          <w:b/>
          <w:color w:val="000000"/>
          <w:sz w:val="20"/>
        </w:rPr>
        <w:t>Stockholders’ Equity</w:t>
      </w:r>
    </w:p>
    <w:p>
      <w:pPr>
        <w:pStyle w:val="TextBody"/>
        <w:bidi w:val="0"/>
        <w:jc w:val="center"/>
        <w:rPr>
          <w:rFonts w:ascii="Times New Roman" w:hAnsi="Times New Roman"/>
          <w:sz w:val="20"/>
        </w:rPr>
      </w:pPr>
      <w:r>
        <w:rPr>
          <w:rFonts w:ascii="Arial" w:hAnsi="Arial"/>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015" w:type="dxa"/>
        <w:jc w:val="left"/>
        <w:tblInd w:w="0" w:type="dxa"/>
        <w:tblLayout w:type="fixed"/>
        <w:tblCellMar>
          <w:top w:w="28" w:type="dxa"/>
          <w:left w:w="28" w:type="dxa"/>
          <w:bottom w:w="28" w:type="dxa"/>
          <w:right w:w="28" w:type="dxa"/>
        </w:tblCellMar>
      </w:tblPr>
      <w:tblGrid>
        <w:gridCol w:w="2356"/>
        <w:gridCol w:w="146"/>
        <w:gridCol w:w="146"/>
        <w:gridCol w:w="796"/>
        <w:gridCol w:w="146"/>
        <w:gridCol w:w="146"/>
        <w:gridCol w:w="190"/>
        <w:gridCol w:w="366"/>
        <w:gridCol w:w="146"/>
        <w:gridCol w:w="146"/>
        <w:gridCol w:w="146"/>
        <w:gridCol w:w="646"/>
        <w:gridCol w:w="151"/>
        <w:gridCol w:w="146"/>
        <w:gridCol w:w="181"/>
        <w:gridCol w:w="376"/>
        <w:gridCol w:w="151"/>
        <w:gridCol w:w="146"/>
        <w:gridCol w:w="181"/>
        <w:gridCol w:w="601"/>
        <w:gridCol w:w="146"/>
        <w:gridCol w:w="146"/>
        <w:gridCol w:w="200"/>
        <w:gridCol w:w="716"/>
        <w:gridCol w:w="151"/>
        <w:gridCol w:w="146"/>
        <w:gridCol w:w="231"/>
        <w:gridCol w:w="774"/>
        <w:gridCol w:w="19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55,020,911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(122,608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282,207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(230,387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51,922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32,455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3,589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Change in fair value of</w:t>
              <w:br/>
              <w:t>   NC Ohio Trust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3"/>
              </w:rPr>
              <w:t>Issuance of common stock in public</w:t>
              <w:br/>
              <w:t>  offering, net of issuance costs of</w:t>
              <w:br/>
              <w:t>  $6.5</w:t>
            </w:r>
            <w:r>
              <w:rPr>
                <w:rFonts w:ascii="Times New Roman" w:hAnsi="Times New Roman"/>
                <w:color w:val="000000"/>
                <w:sz w:val="20"/>
              </w:rPr>
              <w:t> </w:t>
            </w:r>
            <w:r>
              <w:rPr>
                <w:rFonts w:ascii="Arial" w:hAnsi="Arial"/>
                <w:color w:val="000000"/>
                <w:sz w:val="13"/>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18,348,624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93,305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93,488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Sale of common stock through</w:t>
              <w:br/>
              <w:t xml:space="preserve">   at-the-market offerings, </w:t>
              <w:br/>
              <w: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2,838,894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24,089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24,117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(47,766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(47,766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76,240,884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(122,608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403,970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(278,153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126,130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73,380,472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(122,608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376,992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(239,248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138,029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21,518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2,010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Change in fair value of</w:t>
              <w:br/>
              <w:t>   NC Ohio Trust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Sale of common stock through</w:t>
              <w:br/>
              <w:t xml:space="preserve">   at-the-market offerings, </w:t>
              <w:br/>
              <w: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2,838,894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24,089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24,117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(38,905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(38,905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76,240,884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(122,608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(448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403,970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(278,153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126,130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43"/>
        <w:gridCol w:w="146"/>
        <w:gridCol w:w="146"/>
        <w:gridCol w:w="796"/>
        <w:gridCol w:w="146"/>
        <w:gridCol w:w="146"/>
        <w:gridCol w:w="190"/>
        <w:gridCol w:w="366"/>
        <w:gridCol w:w="146"/>
        <w:gridCol w:w="146"/>
        <w:gridCol w:w="146"/>
        <w:gridCol w:w="646"/>
        <w:gridCol w:w="151"/>
        <w:gridCol w:w="146"/>
        <w:gridCol w:w="181"/>
        <w:gridCol w:w="376"/>
        <w:gridCol w:w="151"/>
        <w:gridCol w:w="146"/>
        <w:gridCol w:w="181"/>
        <w:gridCol w:w="601"/>
        <w:gridCol w:w="151"/>
        <w:gridCol w:w="146"/>
        <w:gridCol w:w="200"/>
        <w:gridCol w:w="716"/>
        <w:gridCol w:w="151"/>
        <w:gridCol w:w="146"/>
        <w:gridCol w:w="255"/>
        <w:gridCol w:w="746"/>
        <w:gridCol w:w="198"/>
      </w:tblGrid>
      <w:tr>
        <w:trPr/>
        <w:tc>
          <w:tcPr>
            <w:tcW w:w="2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46,933,088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(122,608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258,511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(192,205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66,327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211,141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492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1,947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1,947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Restricted stock unit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330,779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Change in fair value of</w:t>
              <w:br/>
              <w:t>   NC Ohio Trust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(583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Sale of common stock through</w:t>
              <w:br/>
              <w:t xml:space="preserve">   at-the-market offerings, </w:t>
              <w:br/>
              <w: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987,772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5,038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3,328,064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 xml:space="preserve">Issuance costs related to common stock </w:t>
              <w:br/>
              <w:t>   and accompanying pre-funded</w:t>
              <w:br/>
              <w:t>   warrants in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3"/>
              </w:rPr>
              <w:t xml:space="preserve">Issuance of common stock </w:t>
              <w:br/>
              <w:t>   in registered direct offering, net of</w:t>
              <w:br/>
              <w:t>   issuance costs of $0.7</w:t>
            </w:r>
            <w:r>
              <w:rPr>
                <w:rFonts w:ascii="Times New Roman" w:hAnsi="Times New Roman"/>
                <w:color w:val="000000"/>
                <w:sz w:val="20"/>
              </w:rPr>
              <w:t> </w:t>
            </w:r>
            <w:r>
              <w:rPr>
                <w:rFonts w:ascii="Arial" w:hAnsi="Arial"/>
                <w:color w:val="000000"/>
                <w:sz w:val="13"/>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3,221,395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14,299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14,331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2,583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2,583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55,012,239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(122,608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(448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279,731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(189,622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90,210</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49,369,749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(122,608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259,456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(184,826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74,675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92,785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245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1,149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Change in fair value of</w:t>
              <w:br/>
              <w:t>   NC Ohio Trust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Sale of common stock through</w:t>
              <w:br/>
              <w:t xml:space="preserve">   at-the-market offerings, </w:t>
              <w:br/>
              <w: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947,438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4,655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1,380,872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 xml:space="preserve">Issuance costs related to common stock </w:t>
              <w:br/>
              <w:t>   and accompanying pre-funded</w:t>
              <w:br/>
              <w:t>   warrants in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3"/>
              </w:rPr>
              <w:t xml:space="preserve">Issuance of common stock </w:t>
              <w:br/>
              <w:t>   in registered direct offering, net of</w:t>
              <w:br/>
              <w:t>   issuance costs of $0.7</w:t>
            </w:r>
            <w:r>
              <w:rPr>
                <w:rFonts w:ascii="Times New Roman" w:hAnsi="Times New Roman"/>
                <w:color w:val="000000"/>
                <w:sz w:val="20"/>
              </w:rPr>
              <w:t> </w:t>
            </w:r>
            <w:r>
              <w:rPr>
                <w:rFonts w:ascii="Arial" w:hAnsi="Arial"/>
                <w:color w:val="000000"/>
                <w:sz w:val="13"/>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3,221,395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14,299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14,331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(4,796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(4,796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55,012,239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(122,608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279,731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(189,622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90,210</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b/>
          <w:caps/>
          <w:color w:val="000000"/>
          <w:sz w:val="20"/>
        </w:rPr>
        <w:t>Candel Therapeutics,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bookmarkStart w:id="7" w:name="condensed_consolidated_statements_cash_f"/>
      <w:bookmarkEnd w:id="7"/>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82"/>
        <w:gridCol w:w="146"/>
        <w:gridCol w:w="211"/>
        <w:gridCol w:w="796"/>
        <w:gridCol w:w="166"/>
        <w:gridCol w:w="146"/>
        <w:gridCol w:w="211"/>
        <w:gridCol w:w="796"/>
        <w:gridCol w:w="1051"/>
      </w:tblGrid>
      <w:tr>
        <w:trPr/>
        <w:tc>
          <w:tcPr>
            <w:tcW w:w="6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2,583</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Adjustments to reconcile net income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Impairment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Loss on the disposal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Non-cash 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1,364</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(20,572</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Accretion of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(1,771</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1,513</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(1,243</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Deferred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(17,507</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Purchase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10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Proceeds from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Proceeds from issuance of common stock in public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Proceeds from issuance of common stock in registered direct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15,044</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Proceeds from sale of common stock through at-the-market offerings,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5,038</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Principal payments on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117,797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15,574</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(1,967</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102,920</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201,981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100,953</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444</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disclosures of non-cash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Issuance costs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638</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Capital expenditures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0"/>
        </w:rPr>
      </w:pPr>
      <w:r>
        <w:rPr>
          <w:rFonts w:ascii="Arial" w:hAnsi="Arial"/>
          <w:b/>
          <w:caps/>
          <w:color w:val="000000"/>
          <w:sz w:val="20"/>
        </w:rPr>
        <w:t>Candel Therapeutics, Inc.</w:t>
      </w:r>
    </w:p>
    <w:p>
      <w:pPr>
        <w:pStyle w:val="TextBody"/>
        <w:bidi w:val="0"/>
        <w:spacing w:before="120" w:after="283"/>
        <w:jc w:val="center"/>
        <w:rPr>
          <w:rFonts w:ascii="Arial" w:hAnsi="Arial"/>
          <w:b/>
          <w:color w:val="000000"/>
          <w:sz w:val="20"/>
        </w:rPr>
      </w:pPr>
      <w:bookmarkStart w:id="8" w:name="notes_to_condensed_consolidated_financia"/>
      <w:bookmarkEnd w:id="8"/>
      <w:r>
        <w:rPr>
          <w:rFonts w:ascii="Arial" w:hAnsi="Arial"/>
          <w:b/>
          <w:color w:val="000000"/>
          <w:sz w:val="20"/>
        </w:rPr>
        <w:t>Notes to Condensed Consolidated Financial Statements</w:t>
      </w:r>
    </w:p>
    <w:p>
      <w:pPr>
        <w:pStyle w:val="TextBody"/>
        <w:bidi w:val="0"/>
        <w:jc w:val="center"/>
        <w:rPr>
          <w:rFonts w:ascii="Arial" w:hAnsi="Arial"/>
          <w:color w:val="000000"/>
          <w:sz w:val="20"/>
        </w:rPr>
      </w:pPr>
      <w:r>
        <w:rPr>
          <w:rFonts w:ascii="Arial" w:hAnsi="Arial"/>
          <w:color w:val="000000"/>
          <w:sz w:val="20"/>
        </w:rPr>
        <w:t>(Unaudited)</w:t>
      </w:r>
    </w:p>
    <w:p>
      <w:pPr>
        <w:pStyle w:val="TextBody"/>
        <w:bidi w:val="0"/>
        <w:jc w:val="left"/>
        <w:rPr/>
      </w:pPr>
      <w:r>
        <w:rPr/>
        <w:t> </w:t>
      </w:r>
    </w:p>
    <w:p>
      <w:pPr>
        <w:pStyle w:val="TextBody"/>
        <w:bidi w:val="0"/>
        <w:spacing w:before="160" w:after="283"/>
        <w:jc w:val="left"/>
        <w:rPr>
          <w:rFonts w:ascii="Arial" w:hAnsi="Arial"/>
          <w:b/>
          <w:color w:val="000000"/>
          <w:sz w:val="20"/>
        </w:rPr>
      </w:pPr>
      <w:r>
        <w:rPr>
          <w:rFonts w:ascii="Arial" w:hAnsi="Arial"/>
          <w:b/>
          <w:color w:val="000000"/>
          <w:sz w:val="20"/>
        </w:rPr>
        <w:t>1. Organization and Basis of Presentation</w:t>
      </w:r>
    </w:p>
    <w:p>
      <w:pPr>
        <w:pStyle w:val="TextBody"/>
        <w:bidi w:val="0"/>
        <w:spacing w:before="120" w:after="283"/>
        <w:jc w:val="left"/>
        <w:rPr>
          <w:rFonts w:ascii="Arial" w:hAnsi="Arial"/>
          <w:color w:val="000000"/>
          <w:sz w:val="19"/>
        </w:rPr>
      </w:pPr>
      <w:r>
        <w:rPr>
          <w:rFonts w:ascii="Arial" w:hAnsi="Arial"/>
          <w:color w:val="000000"/>
          <w:sz w:val="19"/>
        </w:rPr>
        <w:t>Candel Therapeutics, Inc., formerly known as Advantagene, Inc. (the Company), is a clinical stage biopharmaceutical company that was incorporated in Delaware in June 2003. On November 30, 2020, the Company changed its name to Candel Therapeutics, Inc. The Company is focused on developing off-the-shelf viral immunotherapies that elicit an individualized, systemic anti-tumor immune response to help patients fight cancer. The Company’s engineered viruses are designed to induce immunogenic cell death through direct viral-mediated cytotoxicity in cancer cells, thus releasing tumor neo-antigens and creating a pro-inflammatory microenvironment at the site of injection. This is intended to lead to in-situ immunization against the injected tumor and uninjected distant metastases. The Company has established two off-the-shelf viral immunotherapy platforms and its two product candidates, aglatimagene and linoserpaturev, are in clinical trials for a variety of solid tumor types.</w:t>
      </w:r>
    </w:p>
    <w:p>
      <w:pPr>
        <w:pStyle w:val="TextBody"/>
        <w:bidi w:val="0"/>
        <w:spacing w:before="120" w:after="283"/>
        <w:jc w:val="left"/>
        <w:rPr>
          <w:rFonts w:ascii="Times New Roman" w:hAnsi="Times New Roman"/>
          <w:sz w:val="20"/>
        </w:rPr>
      </w:pPr>
      <w:r>
        <w:rPr>
          <w:rFonts w:ascii="Arial" w:hAnsi="Arial"/>
          <w:color w:val="000000"/>
          <w:sz w:val="19"/>
        </w:rPr>
        <w:t>The Company is subject to risks and uncertainties common to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Since inception, the Company has funded its operations primarily with proceeds from the sale of its convertible notes and capital stock and from debt borrowings. The Company had net loss of $47.8</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and net income of $2.6</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for the six months ended June 30, 2026 and 2025, respectively. In addition, as of June 30, 2026, the Company had an accumulated deficit of $278.2</w:t>
      </w:r>
      <w:r>
        <w:rPr>
          <w:rFonts w:ascii="Times New Roman" w:hAnsi="Times New Roman"/>
          <w:color w:val="000000"/>
          <w:sz w:val="20"/>
        </w:rPr>
        <w:t xml:space="preserve"> </w:t>
      </w:r>
      <w:r>
        <w:rPr>
          <w:rFonts w:ascii="Arial" w:hAnsi="Arial"/>
          <w:color w:val="000000"/>
          <w:sz w:val="19"/>
        </w:rPr>
        <w:t>million. The Company expects to continue to generate operating losses and negative cash flows from operations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On August 14, 2025, the Company filed a shelf registration statement on Form S-3 (the 2025 Shelf) with the SEC, which covers the offering, issuance, and sale by us of up to an aggregate of $300.0</w:t>
      </w:r>
      <w:r>
        <w:rPr>
          <w:rFonts w:ascii="Times New Roman" w:hAnsi="Times New Roman"/>
          <w:color w:val="000000"/>
          <w:sz w:val="20"/>
        </w:rPr>
        <w:t xml:space="preserve"> </w:t>
      </w:r>
      <w:r>
        <w:rPr>
          <w:rFonts w:ascii="Arial" w:hAnsi="Arial"/>
          <w:color w:val="000000"/>
          <w:sz w:val="19"/>
        </w:rPr>
        <w:t>million of our common stock, preferred stock, debt securities, warrants and/or units of any combination thereof. The Company simultaneously entered into a sales agreement with Jefferies LLC, as sales agent, to provide for the issuance and sale by the Company of up to $50.0</w:t>
      </w:r>
      <w:r>
        <w:rPr>
          <w:rFonts w:ascii="Times New Roman" w:hAnsi="Times New Roman"/>
          <w:color w:val="000000"/>
          <w:sz w:val="20"/>
        </w:rPr>
        <w:t xml:space="preserve"> </w:t>
      </w:r>
      <w:r>
        <w:rPr>
          <w:rFonts w:ascii="Arial" w:hAnsi="Arial"/>
          <w:color w:val="000000"/>
          <w:sz w:val="19"/>
        </w:rPr>
        <w:t>million of our common stock from time to time in “at-the-market” offerings under the 2025 Shelf (the 2025 ATM Program). The 2025 Shelf was declared effective by the SEC on August 22, 2025. As of June 30, 2026, the Company has sold and issued 2,838,894</w:t>
      </w:r>
      <w:r>
        <w:rPr>
          <w:rFonts w:ascii="Times New Roman" w:hAnsi="Times New Roman"/>
          <w:color w:val="000000"/>
          <w:sz w:val="20"/>
        </w:rPr>
        <w:t xml:space="preserve"> </w:t>
      </w:r>
      <w:r>
        <w:rPr>
          <w:rFonts w:ascii="Arial" w:hAnsi="Arial"/>
          <w:color w:val="000000"/>
          <w:sz w:val="19"/>
        </w:rPr>
        <w:t>shares of common stock under the 2025 ATM Program, for total net proceeds of $24.2</w:t>
      </w:r>
      <w:r>
        <w:rPr>
          <w:rFonts w:ascii="Times New Roman" w:hAnsi="Times New Roman"/>
          <w:color w:val="000000"/>
          <w:sz w:val="20"/>
        </w:rPr>
        <w:t xml:space="preserve"> </w:t>
      </w:r>
      <w:r>
        <w:rPr>
          <w:rFonts w:ascii="Arial" w:hAnsi="Arial"/>
          <w:color w:val="000000"/>
          <w:sz w:val="19"/>
        </w:rPr>
        <w:t>million. Subsequent to June 30, 2026 and through August 11, 2026, the Company has sold and issued 617,345</w:t>
      </w:r>
      <w:r>
        <w:rPr>
          <w:rFonts w:ascii="Times New Roman" w:hAnsi="Times New Roman"/>
          <w:color w:val="000000"/>
          <w:sz w:val="20"/>
        </w:rPr>
        <w:t xml:space="preserve"> </w:t>
      </w:r>
      <w:r>
        <w:rPr>
          <w:rFonts w:ascii="Arial" w:hAnsi="Arial"/>
          <w:color w:val="000000"/>
          <w:sz w:val="19"/>
        </w:rPr>
        <w:t>additional shares of common stock under the 2025 ATM Program, for total net proceeds of $6.3</w:t>
      </w:r>
      <w:r>
        <w:rPr>
          <w:rFonts w:ascii="Times New Roman" w:hAnsi="Times New Roman"/>
          <w:color w:val="000000"/>
          <w:sz w:val="20"/>
        </w:rPr>
        <w:t xml:space="preserve"> </w:t>
      </w:r>
      <w:r>
        <w:rPr>
          <w:rFonts w:ascii="Arial" w:hAnsi="Arial"/>
          <w:color w:val="000000"/>
          <w:sz w:val="19"/>
        </w:rPr>
        <w:t>million.</w:t>
      </w:r>
    </w:p>
    <w:p>
      <w:pPr>
        <w:pStyle w:val="TextBody"/>
        <w:bidi w:val="0"/>
        <w:spacing w:before="120" w:after="283"/>
        <w:jc w:val="left"/>
        <w:rPr>
          <w:rFonts w:ascii="Times New Roman" w:hAnsi="Times New Roman"/>
          <w:sz w:val="20"/>
        </w:rPr>
      </w:pPr>
      <w:r>
        <w:rPr>
          <w:rFonts w:ascii="Arial" w:hAnsi="Arial"/>
          <w:color w:val="000000"/>
          <w:sz w:val="19"/>
        </w:rPr>
        <w:t>On February 23, 2026, the Company completed a public offering of its common stock (the 2026 Follow-On Offering). The Company issued and sold 18,348,624</w:t>
      </w:r>
      <w:r>
        <w:rPr>
          <w:rFonts w:ascii="Times New Roman" w:hAnsi="Times New Roman"/>
          <w:color w:val="000000"/>
          <w:sz w:val="20"/>
        </w:rPr>
        <w:t xml:space="preserve"> </w:t>
      </w:r>
      <w:r>
        <w:rPr>
          <w:rFonts w:ascii="Arial" w:hAnsi="Arial"/>
          <w:color w:val="000000"/>
          <w:sz w:val="19"/>
        </w:rPr>
        <w:t>shares of common stock at a price to the public of $5.45</w:t>
      </w:r>
      <w:r>
        <w:rPr>
          <w:rFonts w:ascii="Times New Roman" w:hAnsi="Times New Roman"/>
          <w:color w:val="000000"/>
          <w:sz w:val="20"/>
        </w:rPr>
        <w:t xml:space="preserve"> </w:t>
      </w:r>
      <w:r>
        <w:rPr>
          <w:rFonts w:ascii="Arial" w:hAnsi="Arial"/>
          <w:color w:val="000000"/>
          <w:sz w:val="19"/>
        </w:rPr>
        <w:t>per share for aggregate gross proceeds of approximately $100</w:t>
      </w:r>
      <w:r>
        <w:rPr>
          <w:rFonts w:ascii="Times New Roman" w:hAnsi="Times New Roman"/>
          <w:color w:val="000000"/>
          <w:sz w:val="20"/>
        </w:rPr>
        <w:t xml:space="preserve"> </w:t>
      </w:r>
      <w:r>
        <w:rPr>
          <w:rFonts w:ascii="Arial" w:hAnsi="Arial"/>
          <w:color w:val="000000"/>
          <w:sz w:val="19"/>
        </w:rPr>
        <w:t>million. The Company received approximately $93.5</w:t>
      </w:r>
      <w:r>
        <w:rPr>
          <w:rFonts w:ascii="Times New Roman" w:hAnsi="Times New Roman"/>
          <w:color w:val="000000"/>
          <w:sz w:val="20"/>
        </w:rPr>
        <w:t xml:space="preserve"> </w:t>
      </w:r>
      <w:r>
        <w:rPr>
          <w:rFonts w:ascii="Arial" w:hAnsi="Arial"/>
          <w:color w:val="000000"/>
          <w:sz w:val="19"/>
        </w:rPr>
        <w:t>million in net proceeds from the 2026 Follow-On Offering after deducting underwriting discounts and commissions and offering expenses.</w:t>
      </w:r>
    </w:p>
    <w:p>
      <w:pPr>
        <w:pStyle w:val="TextBody"/>
        <w:bidi w:val="0"/>
        <w:spacing w:before="120" w:after="283"/>
        <w:jc w:val="left"/>
        <w:rPr>
          <w:rFonts w:ascii="Arial" w:hAnsi="Arial"/>
          <w:color w:val="000000"/>
          <w:sz w:val="19"/>
        </w:rPr>
      </w:pPr>
      <w:r>
        <w:rPr>
          <w:rFonts w:ascii="Arial" w:hAnsi="Arial"/>
          <w:color w:val="000000"/>
          <w:sz w:val="19"/>
        </w:rPr>
        <w:t>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The Company believes that existing resources will fund planned operations for at least 12 months from the issuance date of these condensed consolidated financial statements.</w:t>
      </w:r>
    </w:p>
    <w:p>
      <w:pPr>
        <w:pStyle w:val="TextBody"/>
        <w:bidi w:val="0"/>
        <w:spacing w:before="120" w:after="283"/>
        <w:jc w:val="left"/>
        <w:rPr>
          <w:rFonts w:ascii="Arial" w:hAnsi="Arial"/>
          <w:color w:val="000000"/>
          <w:sz w:val="19"/>
        </w:rPr>
      </w:pPr>
      <w:r>
        <w:rPr>
          <w:rFonts w:ascii="Arial" w:hAnsi="Arial"/>
          <w:color w:val="000000"/>
          <w:sz w:val="19"/>
        </w:rPr>
        <w:t>Accordingly, the condensed consolidated financial statements have been prepared on a basis that assumes the Company will continue as a going concern and that contemplates the realization of assets and satisfaction of liabilities and commitments in the ordinary course of business.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sz w:val="20"/>
        </w:rPr>
      </w:pPr>
      <w:r>
        <w:rPr>
          <w:rFonts w:ascii="Arial" w:hAnsi="Arial"/>
          <w:b/>
          <w:color w:val="000000"/>
          <w:sz w:val="20"/>
        </w:rPr>
        <w:t>2. Summary of Significant Accounting Policies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accompanying condensed consolidated financial statements have been prepared in accordance with accounting standards set by the Financial Accounting Standards Board (FASB). The FASB sets generally accepted accounting principles (GAAP) that the Company follows to ensure its financial condition, results of operations, and cash flows are consistently reported. References to GAAP issued by the FASB in these notes to the condensed consolidated financial statements are to the FASB</w:t>
      </w:r>
      <w:r>
        <w:rPr>
          <w:rFonts w:ascii="Times New Roman" w:hAnsi="Times New Roman"/>
          <w:color w:val="000000"/>
          <w:sz w:val="20"/>
        </w:rPr>
        <w:t xml:space="preserve"> </w:t>
      </w:r>
      <w:r>
        <w:rPr>
          <w:rFonts w:ascii="Arial" w:hAnsi="Arial"/>
          <w:color w:val="000000"/>
          <w:sz w:val="19"/>
        </w:rPr>
        <w:t>Accounting Standards Codification (ASC).</w:t>
      </w:r>
    </w:p>
    <w:p>
      <w:pPr>
        <w:pStyle w:val="TextBody"/>
        <w:bidi w:val="0"/>
        <w:spacing w:before="160" w:after="283"/>
        <w:jc w:val="left"/>
        <w:rPr>
          <w:rFonts w:ascii="Times New Roman" w:hAnsi="Times New Roman"/>
          <w:sz w:val="20"/>
        </w:rPr>
      </w:pPr>
      <w:r>
        <w:rPr>
          <w:rFonts w:ascii="Arial" w:hAnsi="Arial"/>
          <w:b/>
          <w:i/>
          <w:color w:val="000000"/>
          <w:sz w:val="20"/>
        </w:rPr>
        <w:t>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condensed consolidated financial statements include the accounts of Candel Therapeutics, Inc. and its wholly owned subsidiary Candel Therapeutics Securities Corporation. All intercompany transactions and balances have been eliminated.</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i/>
          <w:color w:val="000000"/>
          <w:sz w:val="20"/>
        </w:rPr>
        <w:t>Emerging Growth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is (i)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i/>
          <w:color w:val="000000"/>
          <w:sz w:val="20"/>
        </w:rPr>
        <w:t>Unaudited Interim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accompanying condensed consolidated balance sheet as of June 30, 2026, the condensed consolidated statements of operations and comprehensive income (loss) for the three and six months ended June 30, 2026 and 2025, the condensed consolidated statements of stockholders’ equity for the three and six months ended June 30, 2026 and 2025, the condensed consolidated statements of cash flows for the six months ended June 30, 2026 and 2025, and the related interim disclosures are unaudited. These unaudited condensed consolidated financial statements include all adjustments necessary, consisting of only normal recurring adjustments,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unaudited condensed consolidated financial statements should be read in conjunction with the Company’s audited consolidated financial statements and notes thereto for the year ended December 31, 2025</w:t>
      </w:r>
      <w:r>
        <w:rPr>
          <w:rFonts w:ascii="Times New Roman" w:hAnsi="Times New Roman"/>
          <w:color w:val="000000"/>
          <w:sz w:val="20"/>
        </w:rPr>
        <w:t xml:space="preserve"> </w:t>
      </w:r>
      <w:r>
        <w:rPr>
          <w:rFonts w:ascii="Arial" w:hAnsi="Arial"/>
          <w:color w:val="000000"/>
          <w:sz w:val="19"/>
        </w:rPr>
        <w:t>included in the Company’s Annual Report on Form 10-K on file with the SEC.</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preparation of the Company’s condensed consolidated financial statements in conformity with GAAP requires management to make estimates and assumptions that affect the reported amounts of assets, liabilities, and related disclosure of contingent assets and liabilities at the date of the financial statements and reported amounts of revenue and expenses during the reporting period. On an ongoing basis, the Company’s management evaluates its estimates, which include but are not limited to management’s judgments of accrued expenses, valuation of stock-based option awards, valuations of warrants, and income taxes. Actual results could differ from those estimates.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i/>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Company had $0.4</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of restricted cash as of both June 30, 2026 and December 31, 2025, which represents cash held as a security deposit under the terms of the Company’s Needham, Massachusetts facility lease and as security for the Company credit card program.</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sz w:val="20"/>
        </w:rPr>
      </w:pPr>
      <w:r>
        <w:rPr>
          <w:rFonts w:ascii="Arial" w:hAnsi="Arial"/>
          <w:b/>
          <w:i/>
          <w:color w:val="000000"/>
          <w:sz w:val="20"/>
        </w:rPr>
        <w:t>Recently Issued Accounting Standards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In October 2023, the FASB issued ASU 2023-06, Disclosure Improvements: Codification Amendments in Response to the SEC's Disclosure Update and Simplification Initiative, which modifies the disclosure or presentation requirements related to a variety of FASB Accounting Standard Codification topics. The effective date for each amendment will be the date on which the SEC's removal of that related disclosure from Regulation S-X or Regulation S-K is effective, with early adoption prohibited. If by June 30, 2027, the SEC has not removed the applicable requirement from Regulation S-X or Regulation S-K, the pending content of the associated amendment will be removed from the Codification and will not become effective for any entities. The Company is currently evaluating the potential impact that ASU 2023-06 may have on its condensed consolidated financial statements and related disclosures.</w:t>
      </w:r>
    </w:p>
    <w:p>
      <w:pPr>
        <w:pStyle w:val="TextBody"/>
        <w:bidi w:val="0"/>
        <w:spacing w:before="120" w:after="283"/>
        <w:jc w:val="left"/>
        <w:rPr>
          <w:rFonts w:ascii="Arial" w:hAnsi="Arial"/>
          <w:color w:val="000000"/>
          <w:sz w:val="19"/>
        </w:rPr>
      </w:pPr>
      <w:r>
        <w:rPr>
          <w:rFonts w:ascii="Arial" w:hAnsi="Arial"/>
          <w:color w:val="000000"/>
          <w:sz w:val="19"/>
        </w:rPr>
        <w:t>In November 2024, the FASB issued ASU 2024-03, Income Statement-Reporting Comprehensive Income-Expense Disaggregation Disclosures (Subtopic 220-40): Disaggregation of Income Statement Expenses, which requires additional disclosure in the notes to the financial statements of the nature of certain expenses included in the income statement. The ASU's amendments are effective for annual reporting periods beginning after December 15, 2026, and interim reporting periods beginning after December 15, 2027. Early adoption is permitted. Adoption can be either prospectively or retrospectively applied. The Company is currently evaluating the potential impact that ASU 2024-03 may have on its consolidated financial statements and related disclosures.</w:t>
      </w:r>
    </w:p>
    <w:p>
      <w:pPr>
        <w:pStyle w:val="TextBody"/>
        <w:bidi w:val="0"/>
        <w:spacing w:before="120" w:after="283"/>
        <w:jc w:val="left"/>
        <w:rPr>
          <w:rFonts w:ascii="Arial" w:hAnsi="Arial"/>
          <w:color w:val="000000"/>
          <w:sz w:val="19"/>
        </w:rPr>
      </w:pPr>
      <w:r>
        <w:rPr>
          <w:rFonts w:ascii="Arial" w:hAnsi="Arial"/>
          <w:color w:val="000000"/>
          <w:sz w:val="19"/>
        </w:rPr>
        <w:t>In September 2025, the FASB issued ASU 2025-06, Intangibles-Goodwill and Other-Internal-Use Software (Subtopic 350-40): Targeted Improvements to the Accounting for Internal-Use Software, which removes references to prescriptive and sequential development stages, requiring companies to capitalize internal-use software costs when management commits to funding the software project and it is probable the project will be completed. The ASU's amendments are effective for annual reporting periods beginning after December 15, 2027, and interim reporting periods within those annual reporting periods. Early adoption is permitted as of the beginning of an annual reporting period. Adoption can be applied prospectively, retrospectively or with a modified transition approach. The Company is currently evaluating the potential impact that ASU 2025-06 may have on its consolidated financial statements and related disclosures.</w:t>
      </w:r>
    </w:p>
    <w:p>
      <w:pPr>
        <w:pStyle w:val="TextBody"/>
        <w:bidi w:val="0"/>
        <w:spacing w:before="160" w:after="283"/>
        <w:jc w:val="left"/>
        <w:rPr>
          <w:rFonts w:ascii="Times New Roman" w:hAnsi="Times New Roman"/>
          <w:sz w:val="20"/>
        </w:rPr>
      </w:pPr>
      <w:r>
        <w:rPr>
          <w:rFonts w:ascii="Arial" w:hAnsi="Arial"/>
          <w:b/>
          <w:color w:val="000000"/>
          <w:sz w:val="20"/>
        </w:rPr>
        <w:t>3. Fair Value of Financial Assets and Liabilities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The following tables present information about the Company’s financial assets and liabilities measured at fair value on a recurring basis and indicate the level of the fair value hierarchy utilized to determine such fair values (in thousands):</w:t>
      </w:r>
    </w:p>
    <w:p>
      <w:pPr>
        <w:pStyle w:val="TextBody"/>
        <w:bidi w:val="0"/>
        <w:spacing w:before="120" w:after="283"/>
        <w:jc w:val="left"/>
        <w:rPr/>
      </w:pPr>
      <w:r>
        <w:rPr/>
        <w:t> </w:t>
      </w:r>
    </w:p>
    <w:tbl>
      <w:tblPr>
        <w:tblW w:w="6713" w:type="dxa"/>
        <w:jc w:val="left"/>
        <w:tblInd w:w="0" w:type="dxa"/>
        <w:tblLayout w:type="fixed"/>
        <w:tblCellMar>
          <w:top w:w="28" w:type="dxa"/>
          <w:left w:w="28" w:type="dxa"/>
          <w:bottom w:w="28" w:type="dxa"/>
          <w:right w:w="28" w:type="dxa"/>
        </w:tblCellMar>
      </w:tblPr>
      <w:tblGrid>
        <w:gridCol w:w="1886"/>
        <w:gridCol w:w="146"/>
        <w:gridCol w:w="290"/>
        <w:gridCol w:w="475"/>
        <w:gridCol w:w="146"/>
        <w:gridCol w:w="146"/>
        <w:gridCol w:w="290"/>
        <w:gridCol w:w="475"/>
        <w:gridCol w:w="146"/>
        <w:gridCol w:w="146"/>
        <w:gridCol w:w="211"/>
        <w:gridCol w:w="691"/>
        <w:gridCol w:w="146"/>
        <w:gridCol w:w="146"/>
        <w:gridCol w:w="211"/>
        <w:gridCol w:w="691"/>
        <w:gridCol w:w="471"/>
      </w:tblGrid>
      <w:tr>
        <w:trPr/>
        <w:tc>
          <w:tcPr>
            <w:tcW w:w="1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MEASUREMENTS AS OF</w:t>
              <w:br/>
              <w:t>JUNE 30, 2026 USING:</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20,233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8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20,233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6713" w:type="dxa"/>
        <w:jc w:val="left"/>
        <w:tblInd w:w="0" w:type="dxa"/>
        <w:tblLayout w:type="fixed"/>
        <w:tblCellMar>
          <w:top w:w="28" w:type="dxa"/>
          <w:left w:w="28" w:type="dxa"/>
          <w:bottom w:w="28" w:type="dxa"/>
          <w:right w:w="28" w:type="dxa"/>
        </w:tblCellMar>
      </w:tblPr>
      <w:tblGrid>
        <w:gridCol w:w="1886"/>
        <w:gridCol w:w="146"/>
        <w:gridCol w:w="290"/>
        <w:gridCol w:w="475"/>
        <w:gridCol w:w="146"/>
        <w:gridCol w:w="146"/>
        <w:gridCol w:w="290"/>
        <w:gridCol w:w="475"/>
        <w:gridCol w:w="146"/>
        <w:gridCol w:w="146"/>
        <w:gridCol w:w="211"/>
        <w:gridCol w:w="691"/>
        <w:gridCol w:w="146"/>
        <w:gridCol w:w="146"/>
        <w:gridCol w:w="211"/>
        <w:gridCol w:w="691"/>
        <w:gridCol w:w="471"/>
      </w:tblGrid>
      <w:tr>
        <w:trPr/>
        <w:tc>
          <w:tcPr>
            <w:tcW w:w="1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MEASUREMENTS AS OF</w:t>
              <w:br/>
              <w:t>DECEMBER 31, 2025 USING:</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15,598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15,598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8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15,598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19"/>
        </w:rPr>
        <w:t>The following table provides a roll forward of the aggregate fair values of the Company’s warrant liabilities, for which fair value is determined by Level 3</w:t>
      </w:r>
      <w:r>
        <w:rPr>
          <w:rFonts w:ascii="Times New Roman" w:hAnsi="Times New Roman"/>
          <w:color w:val="000000"/>
          <w:sz w:val="20"/>
        </w:rPr>
        <w:t xml:space="preserve"> </w:t>
      </w:r>
      <w:r>
        <w:rPr>
          <w:rFonts w:ascii="Arial" w:hAnsi="Arial"/>
          <w:color w:val="000000"/>
          <w:sz w:val="19"/>
        </w:rPr>
        <w:t>inputs (in thousands):</w:t>
      </w:r>
      <w:r>
        <w:rPr>
          <w:rFonts w:ascii="Times New Roman" w:hAnsi="Times New Roman"/>
          <w:color w:val="000000"/>
          <w:sz w:val="20"/>
        </w:rPr>
        <w:t xml:space="preserve"> </w:t>
      </w:r>
    </w:p>
    <w:p>
      <w:pPr>
        <w:pStyle w:val="TextBody"/>
        <w:bidi w:val="0"/>
        <w:jc w:val="left"/>
        <w:rPr/>
      </w:pPr>
      <w:r>
        <w:rPr/>
        <w:t> </w:t>
      </w:r>
    </w:p>
    <w:tbl>
      <w:tblPr>
        <w:tblW w:w="4194" w:type="dxa"/>
        <w:jc w:val="left"/>
        <w:tblInd w:w="0" w:type="dxa"/>
        <w:tblLayout w:type="fixed"/>
        <w:tblCellMar>
          <w:top w:w="28" w:type="dxa"/>
          <w:left w:w="28" w:type="dxa"/>
          <w:bottom w:w="28" w:type="dxa"/>
          <w:right w:w="28" w:type="dxa"/>
        </w:tblCellMar>
      </w:tblPr>
      <w:tblGrid>
        <w:gridCol w:w="2806"/>
        <w:gridCol w:w="146"/>
        <w:gridCol w:w="245"/>
        <w:gridCol w:w="806"/>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WARRANT</w:t>
              <w:br/>
              <w:t>LIABILITIES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19"/>
        </w:rPr>
      </w:pPr>
      <w:r>
        <w:rPr>
          <w:rFonts w:ascii="Arial" w:hAnsi="Arial"/>
          <w:color w:val="000000"/>
          <w:sz w:val="19"/>
        </w:rPr>
        <w:t>The carrying value of cash equivalents (considered as Level 1 measurements) approximates the fair value due to the short-term nature of these assets.</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sz w:val="20"/>
        </w:rPr>
      </w:pPr>
      <w:r>
        <w:rPr>
          <w:rFonts w:ascii="Arial" w:hAnsi="Arial"/>
          <w:b/>
          <w:color w:val="000000"/>
          <w:sz w:val="20"/>
        </w:rPr>
        <w:t>4. Fixed Assets,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Fixed assets, net consisted of the</w:t>
      </w:r>
      <w:r>
        <w:rPr>
          <w:rFonts w:ascii="Times New Roman" w:hAnsi="Times New Roman"/>
          <w:color w:val="000000"/>
          <w:sz w:val="20"/>
        </w:rPr>
        <w:t xml:space="preserve"> </w:t>
      </w:r>
      <w:r>
        <w:rPr>
          <w:rFonts w:ascii="Arial" w:hAnsi="Arial"/>
          <w:color w:val="000000"/>
          <w:sz w:val="19"/>
        </w:rPr>
        <w:t>following (in thousands):</w:t>
      </w:r>
      <w:r>
        <w:rPr>
          <w:rFonts w:ascii="Times New Roman" w:hAnsi="Times New Roman"/>
          <w:color w:val="000000"/>
          <w:sz w:val="20"/>
        </w:rPr>
        <w:t xml:space="preserve"> </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3286"/>
        <w:gridCol w:w="146"/>
        <w:gridCol w:w="211"/>
        <w:gridCol w:w="646"/>
        <w:gridCol w:w="166"/>
        <w:gridCol w:w="146"/>
        <w:gridCol w:w="321"/>
        <w:gridCol w:w="984"/>
        <w:gridCol w:w="4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Manufacturing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Networking and 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Fixed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9"/>
        </w:rPr>
        <w:t>Depreciation expense was $0.2</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and $0.3</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for the three and six months ended June 30, 2026, respectively. Depreciation expense was $0.2</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and $0.5</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for the three and six months ended June 30, 2025, respectively.</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color w:val="000000"/>
          <w:sz w:val="20"/>
        </w:rPr>
        <w:t>5. 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Accrued expenses consisted of the</w:t>
      </w:r>
      <w:r>
        <w:rPr>
          <w:rFonts w:ascii="Times New Roman" w:hAnsi="Times New Roman"/>
          <w:color w:val="000000"/>
          <w:sz w:val="20"/>
        </w:rPr>
        <w:t xml:space="preserve"> </w:t>
      </w:r>
      <w:r>
        <w:rPr>
          <w:rFonts w:ascii="Arial" w:hAnsi="Arial"/>
          <w:color w:val="000000"/>
          <w:sz w:val="19"/>
        </w:rPr>
        <w:t>following (in thousands):</w:t>
      </w:r>
      <w:r>
        <w:rPr>
          <w:rFonts w:ascii="Times New Roman" w:hAnsi="Times New Roman"/>
          <w:color w:val="000000"/>
          <w:sz w:val="20"/>
        </w:rPr>
        <w:t xml:space="preserve"> </w:t>
      </w:r>
    </w:p>
    <w:p>
      <w:pPr>
        <w:pStyle w:val="TextBody"/>
        <w:bidi w:val="0"/>
        <w:jc w:val="left"/>
        <w:rPr/>
      </w:pPr>
      <w:r>
        <w:rPr/>
        <w:t> </w:t>
      </w:r>
    </w:p>
    <w:tbl>
      <w:tblPr>
        <w:tblW w:w="7050" w:type="dxa"/>
        <w:jc w:val="left"/>
        <w:tblInd w:w="0" w:type="dxa"/>
        <w:tblLayout w:type="fixed"/>
        <w:tblCellMar>
          <w:top w:w="28" w:type="dxa"/>
          <w:left w:w="28" w:type="dxa"/>
          <w:bottom w:w="28" w:type="dxa"/>
          <w:right w:w="28" w:type="dxa"/>
        </w:tblCellMar>
      </w:tblPr>
      <w:tblGrid>
        <w:gridCol w:w="4306"/>
        <w:gridCol w:w="146"/>
        <w:gridCol w:w="214"/>
        <w:gridCol w:w="596"/>
        <w:gridCol w:w="146"/>
        <w:gridCol w:w="146"/>
        <w:gridCol w:w="345"/>
        <w:gridCol w:w="960"/>
        <w:gridCol w:w="1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Third-party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and employee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Arial" w:hAnsi="Arial"/>
          <w:b/>
          <w:color w:val="000000"/>
          <w:sz w:val="20"/>
        </w:rPr>
        <w:t>6. Term Loan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19"/>
        </w:rPr>
        <w:t>On February 24, 2022, the Company entered into a four-year</w:t>
      </w:r>
      <w:r>
        <w:rPr>
          <w:rFonts w:ascii="Times New Roman" w:hAnsi="Times New Roman"/>
          <w:color w:val="000000"/>
          <w:sz w:val="20"/>
        </w:rPr>
        <w:t xml:space="preserve"> </w:t>
      </w:r>
      <w:r>
        <w:rPr>
          <w:rFonts w:ascii="Arial" w:hAnsi="Arial"/>
          <w:color w:val="000000"/>
          <w:sz w:val="19"/>
        </w:rPr>
        <w:t>loan and security agreement (the SVB Loan Agreement) with Silicon Valley Bank (SVB) pursuant to which SVB has agreed to provide term loans to the Company in an aggregate principal amount of up to $25.0</w:t>
      </w:r>
      <w:r>
        <w:rPr>
          <w:rFonts w:ascii="Times New Roman" w:hAnsi="Times New Roman"/>
          <w:color w:val="000000"/>
          <w:sz w:val="20"/>
        </w:rPr>
        <w:t xml:space="preserve"> </w:t>
      </w:r>
      <w:r>
        <w:rPr>
          <w:rFonts w:ascii="Arial" w:hAnsi="Arial"/>
          <w:color w:val="000000"/>
          <w:sz w:val="19"/>
        </w:rPr>
        <w:t>million. The Company borrowed $20.0</w:t>
      </w:r>
      <w:r>
        <w:rPr>
          <w:rFonts w:ascii="Times New Roman" w:hAnsi="Times New Roman"/>
          <w:color w:val="000000"/>
          <w:sz w:val="20"/>
        </w:rPr>
        <w:t xml:space="preserve"> </w:t>
      </w:r>
      <w:r>
        <w:rPr>
          <w:rFonts w:ascii="Arial" w:hAnsi="Arial"/>
          <w:color w:val="000000"/>
          <w:sz w:val="19"/>
        </w:rPr>
        <w:t>million upon entering into the SVB Loan Agreement. The term loan was secured by substantially all of the Company’s properties, rights and assets, except for its intellectual property, which was subject to a negative pledge under the Loan Agreement.</w:t>
      </w:r>
    </w:p>
    <w:p>
      <w:pPr>
        <w:pStyle w:val="TextBody"/>
        <w:bidi w:val="0"/>
        <w:spacing w:before="0" w:after="120"/>
        <w:jc w:val="left"/>
        <w:rPr>
          <w:rFonts w:ascii="Times New Roman" w:hAnsi="Times New Roman"/>
          <w:sz w:val="20"/>
        </w:rPr>
      </w:pPr>
      <w:r>
        <w:rPr>
          <w:rFonts w:ascii="Arial" w:hAnsi="Arial"/>
          <w:color w:val="000000"/>
          <w:sz w:val="19"/>
        </w:rPr>
        <w:t>The term loan bore interest at a floating rate per annum equal to the greater of (A) 5.75% and (B) the prime rate (as published in the money rates section of The Wall Street Journal) plus 2.50%. The Company was required to make monthly interest payments, and commencing on February 1, 2024, 24</w:t>
      </w:r>
      <w:r>
        <w:rPr>
          <w:rFonts w:ascii="Times New Roman" w:hAnsi="Times New Roman"/>
          <w:color w:val="000000"/>
          <w:sz w:val="20"/>
        </w:rPr>
        <w:t xml:space="preserve"> </w:t>
      </w:r>
      <w:r>
        <w:rPr>
          <w:rFonts w:ascii="Arial" w:hAnsi="Arial"/>
          <w:color w:val="000000"/>
          <w:sz w:val="19"/>
        </w:rPr>
        <w:t>consecutive installments of principal plus monthly payments of accrued interest. The term loan had a maturity date of January 1, 2026. Upon repayment in full of the term loans, the Company was required to pay a final payment fee equal to 4.50% of the original principal amount of any funded term loan being repaid. The SVB Loan Agreement permitted voluntary prepayment of all, but not less than all, of the SVB term loan, subject to a prepayment premium of 1% to 3% based upon the timing of the repayment.</w:t>
      </w:r>
    </w:p>
    <w:p>
      <w:pPr>
        <w:pStyle w:val="TextBody"/>
        <w:bidi w:val="0"/>
        <w:jc w:val="left"/>
        <w:rPr>
          <w:rFonts w:ascii="Times New Roman" w:hAnsi="Times New Roman"/>
          <w:sz w:val="20"/>
        </w:rPr>
      </w:pPr>
      <w:r>
        <w:rPr>
          <w:rFonts w:ascii="Arial" w:hAnsi="Arial"/>
          <w:color w:val="000000"/>
          <w:sz w:val="19"/>
        </w:rPr>
        <w:t>The Company incurred $0.1</w:t>
      </w:r>
      <w:r>
        <w:rPr>
          <w:rFonts w:ascii="Times New Roman" w:hAnsi="Times New Roman"/>
          <w:color w:val="000000"/>
          <w:sz w:val="20"/>
        </w:rPr>
        <w:t xml:space="preserve"> </w:t>
      </w:r>
      <w:r>
        <w:rPr>
          <w:rFonts w:ascii="Arial" w:hAnsi="Arial"/>
          <w:color w:val="000000"/>
          <w:sz w:val="19"/>
        </w:rPr>
        <w:t>million of debt issuance costs and a $0.9</w:t>
      </w:r>
      <w:r>
        <w:rPr>
          <w:rFonts w:ascii="Times New Roman" w:hAnsi="Times New Roman"/>
          <w:color w:val="000000"/>
          <w:sz w:val="20"/>
        </w:rPr>
        <w:t xml:space="preserve"> </w:t>
      </w:r>
      <w:r>
        <w:rPr>
          <w:rFonts w:ascii="Arial" w:hAnsi="Arial"/>
          <w:color w:val="000000"/>
          <w:sz w:val="19"/>
        </w:rPr>
        <w:t>million final payment fee, which were recorded as debt discount and amortized over the term of the SVB Loan Agreement. The Company used a portion of the proceeds from the First Tranche of the Trinity LSA to repay the SVB Loan Agreement on October 14, 2025 (see below).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During both the three and six months ended June 30, 2026, the Company did not record any interest expense relating to the SVB Loan Agreement. During the three and six months ended June 30, 2025, the Company recorded interest expense relating to the SVB Loan Agreement of $0.2</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and $0.5</w:t>
      </w:r>
      <w:r>
        <w:rPr>
          <w:rFonts w:ascii="Times New Roman" w:hAnsi="Times New Roman"/>
          <w:color w:val="000000"/>
          <w:sz w:val="20"/>
        </w:rPr>
        <w:t xml:space="preserve"> </w:t>
      </w:r>
      <w:r>
        <w:rPr>
          <w:rFonts w:ascii="Arial" w:hAnsi="Arial"/>
          <w:color w:val="000000"/>
          <w:sz w:val="19"/>
        </w:rPr>
        <w:t>million, respectively.</w:t>
      </w:r>
    </w:p>
    <w:p>
      <w:pPr>
        <w:pStyle w:val="TextBody"/>
        <w:bidi w:val="0"/>
        <w:spacing w:before="120" w:after="283"/>
        <w:jc w:val="left"/>
        <w:rPr>
          <w:rFonts w:ascii="Times New Roman" w:hAnsi="Times New Roman"/>
          <w:sz w:val="20"/>
        </w:rPr>
      </w:pPr>
      <w:r>
        <w:rPr>
          <w:rFonts w:ascii="Arial" w:hAnsi="Arial"/>
          <w:color w:val="000000"/>
          <w:sz w:val="19"/>
        </w:rPr>
        <w:t>On October 14, 2025, the Company entered into a Loan and Security Agreement, as amended by that certain First Amendment to Loan and Security Agreement dated as of March 10, 2026 (the Trinity LSA), with the lenders party thereto (the Lenders) and Trinity Capital Inc., as administrative agent and collateral agent (the Agent). The First Amendment to Trinity LSA amended the minimum cash covenant such that, if the Company's market capitalization is less than $550</w:t>
      </w:r>
      <w:r>
        <w:rPr>
          <w:rFonts w:ascii="Times New Roman" w:hAnsi="Times New Roman"/>
          <w:color w:val="000000"/>
          <w:sz w:val="20"/>
        </w:rPr>
        <w:t xml:space="preserve"> </w:t>
      </w:r>
      <w:r>
        <w:rPr>
          <w:rFonts w:ascii="Arial" w:hAnsi="Arial"/>
          <w:color w:val="000000"/>
          <w:sz w:val="19"/>
        </w:rPr>
        <w:t>million, the Company must maintain cash and cash equivalents of 67.5% of all principal outstanding obligations under the Trinity LSA until the Company raises at least $93.5</w:t>
      </w:r>
      <w:r>
        <w:rPr>
          <w:rFonts w:ascii="Times New Roman" w:hAnsi="Times New Roman"/>
          <w:color w:val="000000"/>
          <w:sz w:val="20"/>
        </w:rPr>
        <w:t xml:space="preserve"> </w:t>
      </w:r>
      <w:r>
        <w:rPr>
          <w:rFonts w:ascii="Arial" w:hAnsi="Arial"/>
          <w:color w:val="000000"/>
          <w:sz w:val="19"/>
        </w:rPr>
        <w:t>million in unrestricted net cash proceeds from one or more bona fide equity financings and/or upfront proceeds from business development after the Closing Date (as defined below).</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Arial" w:hAnsi="Arial"/>
          <w:color w:val="000000"/>
          <w:sz w:val="19"/>
        </w:rPr>
        <w:t>Under the Trinity LSA, the Lenders agreed to extend debt capital to the Company, at the Company's request, in the form of a term loan, in tranches totaling an aggregate principal amount of up to $130.0</w:t>
      </w:r>
      <w:r>
        <w:rPr>
          <w:rFonts w:ascii="Times New Roman" w:hAnsi="Times New Roman"/>
          <w:color w:val="000000"/>
          <w:sz w:val="20"/>
        </w:rPr>
        <w:t xml:space="preserve"> </w:t>
      </w:r>
      <w:r>
        <w:rPr>
          <w:rFonts w:ascii="Arial" w:hAnsi="Arial"/>
          <w:color w:val="000000"/>
          <w:sz w:val="19"/>
        </w:rPr>
        <w:t>million as follows: (a) at closing, the aggregate principal amount of $50.0</w:t>
      </w:r>
      <w:r>
        <w:rPr>
          <w:rFonts w:ascii="Times New Roman" w:hAnsi="Times New Roman"/>
          <w:color w:val="000000"/>
          <w:sz w:val="20"/>
        </w:rPr>
        <w:t xml:space="preserve"> </w:t>
      </w:r>
      <w:r>
        <w:rPr>
          <w:rFonts w:ascii="Arial" w:hAnsi="Arial"/>
          <w:color w:val="000000"/>
          <w:sz w:val="19"/>
        </w:rPr>
        <w:t>million (the First Tranche), (b) until May 30, 2027, subject to the achievement of certain regulatory, clinical and operational milestones by March 31, 2027, the aggregate principal amount of $20.0</w:t>
      </w:r>
      <w:r>
        <w:rPr>
          <w:rFonts w:ascii="Times New Roman" w:hAnsi="Times New Roman"/>
          <w:color w:val="000000"/>
          <w:sz w:val="20"/>
        </w:rPr>
        <w:t xml:space="preserve"> </w:t>
      </w:r>
      <w:r>
        <w:rPr>
          <w:rFonts w:ascii="Arial" w:hAnsi="Arial"/>
          <w:color w:val="000000"/>
          <w:sz w:val="19"/>
        </w:rPr>
        <w:t>million (the Second Tranche), (c) following funding of the Second Tranche, until February 29, 2028, subject to the achievement of certain regulatory and operational milestones by December 31, 2027, the aggregate principal amount of $30.0</w:t>
      </w:r>
      <w:r>
        <w:rPr>
          <w:rFonts w:ascii="Times New Roman" w:hAnsi="Times New Roman"/>
          <w:color w:val="000000"/>
          <w:sz w:val="20"/>
        </w:rPr>
        <w:t xml:space="preserve"> </w:t>
      </w:r>
      <w:r>
        <w:rPr>
          <w:rFonts w:ascii="Arial" w:hAnsi="Arial"/>
          <w:color w:val="000000"/>
          <w:sz w:val="19"/>
        </w:rPr>
        <w:t>million (the Third Tranche), and (d) following funding of the Third Tranche, in Lenders’ sole discretion, the aggregate principal amount of $30.0</w:t>
      </w:r>
      <w:r>
        <w:rPr>
          <w:rFonts w:ascii="Times New Roman" w:hAnsi="Times New Roman"/>
          <w:color w:val="000000"/>
          <w:sz w:val="20"/>
        </w:rPr>
        <w:t xml:space="preserve"> </w:t>
      </w:r>
      <w:r>
        <w:rPr>
          <w:rFonts w:ascii="Arial" w:hAnsi="Arial"/>
          <w:color w:val="000000"/>
          <w:sz w:val="19"/>
        </w:rPr>
        <w:t>million (the Fourth Tranche and collectively with the First Tranche, the Second Tranche and the Third Tranche, the Tranches). The obligations of the Lenders to extend such debt capital are subject to certain conditions precedent described in the Trinity LSA. The Company is required to pay a commitment fee of 1.0% of the amount drawn, plus related documentation and funding fees, in connection with each drawdown. On October 14, 2025 (the Closing Date), the Company drew down the First Tranche. The Company’s obligations under the facility are secured by a first priority security interest in substantially all assets of the Company.</w:t>
      </w:r>
    </w:p>
    <w:p>
      <w:pPr>
        <w:pStyle w:val="TextBody"/>
        <w:bidi w:val="0"/>
        <w:spacing w:before="120" w:after="283"/>
        <w:jc w:val="left"/>
        <w:rPr>
          <w:rFonts w:ascii="Times New Roman" w:hAnsi="Times New Roman"/>
          <w:sz w:val="20"/>
        </w:rPr>
      </w:pPr>
      <w:r>
        <w:rPr>
          <w:rFonts w:ascii="Arial" w:hAnsi="Arial"/>
          <w:color w:val="000000"/>
          <w:sz w:val="19"/>
        </w:rPr>
        <w:t>All Tranches will mature on</w:t>
      </w:r>
      <w:r>
        <w:rPr>
          <w:rFonts w:ascii="Times New Roman" w:hAnsi="Times New Roman"/>
          <w:color w:val="000000"/>
          <w:sz w:val="20"/>
        </w:rPr>
        <w:t xml:space="preserve"> </w:t>
      </w:r>
      <w:r>
        <w:rPr>
          <w:rFonts w:ascii="Arial" w:hAnsi="Arial"/>
          <w:color w:val="000000"/>
          <w:sz w:val="19"/>
        </w:rPr>
        <w:t>October 1, 2030</w:t>
      </w:r>
      <w:r>
        <w:rPr>
          <w:rFonts w:ascii="Times New Roman" w:hAnsi="Times New Roman"/>
          <w:color w:val="000000"/>
          <w:sz w:val="20"/>
        </w:rPr>
        <w:t xml:space="preserve"> </w:t>
      </w:r>
      <w:r>
        <w:rPr>
          <w:rFonts w:ascii="Arial" w:hAnsi="Arial"/>
          <w:color w:val="000000"/>
          <w:sz w:val="19"/>
        </w:rPr>
        <w:t>(the Maturity Date), unless earlier accelerated under the terms of the Trinity LSA. At maturity, the Company is required to repay the then-outstanding principal amount, together with any accrued and unpaid interest thereon. In addition, at maturity or early termination of the Trinity LSA, the Company is required to pay the Lenders a 4.25% final payment fee of the amounts drawn down by the Company under the Trinity LSA.</w:t>
      </w:r>
    </w:p>
    <w:p>
      <w:pPr>
        <w:pStyle w:val="TextBody"/>
        <w:bidi w:val="0"/>
        <w:spacing w:before="120" w:after="283"/>
        <w:jc w:val="left"/>
        <w:rPr>
          <w:rFonts w:ascii="Times New Roman" w:hAnsi="Times New Roman"/>
          <w:sz w:val="20"/>
        </w:rPr>
      </w:pPr>
      <w:r>
        <w:rPr>
          <w:rFonts w:ascii="Arial" w:hAnsi="Arial"/>
          <w:color w:val="000000"/>
          <w:sz w:val="19"/>
        </w:rPr>
        <w:t>Interest accrues on the Tranches that the Company has drawn down at a floating rate per annum, calculated based on a 360 day year, equal to the greater of (a) the sum of (i) The Wall Street Journal Prime Rate</w:t>
      </w:r>
      <w:r>
        <w:rPr>
          <w:rFonts w:ascii="Times New Roman" w:hAnsi="Times New Roman"/>
          <w:color w:val="000000"/>
          <w:sz w:val="20"/>
        </w:rPr>
        <w:t xml:space="preserve"> </w:t>
      </w:r>
      <w:r>
        <w:rPr>
          <w:rFonts w:ascii="Arial" w:hAnsi="Arial"/>
          <w:color w:val="000000"/>
          <w:sz w:val="19"/>
        </w:rPr>
        <w:t>and (ii) 3.0%, and (b) 9.75%. For the first 36 months after the Closing Date, the Company is required to make monthly payments of interest only in arrears. Upon the achievement of a certain commercial milestone by June 30, 2028, the Interest Only Period will be extended by twelve months. In the event of such extension of the Interest Only Period, the duration of the Amortization Period will decrease by the same amount. In any event, the total term of all Tranches shall not exceed 60 months.</w:t>
      </w:r>
    </w:p>
    <w:p>
      <w:pPr>
        <w:pStyle w:val="TextBody"/>
        <w:bidi w:val="0"/>
        <w:spacing w:before="120" w:after="283"/>
        <w:jc w:val="left"/>
        <w:rPr>
          <w:rFonts w:ascii="Arial" w:hAnsi="Arial"/>
          <w:color w:val="000000"/>
          <w:sz w:val="19"/>
        </w:rPr>
      </w:pPr>
      <w:r>
        <w:rPr>
          <w:rFonts w:ascii="Arial" w:hAnsi="Arial"/>
          <w:color w:val="000000"/>
          <w:sz w:val="19"/>
        </w:rPr>
        <w:t>The Company may voluntarily prepay the outstanding loan balance at any time, in whole or in part, subject to the payment of prepayment premiums and payment of the Exit Fee on the principal amount then prepaid. If prepayment occurs on or before the first anniversary of the Closing Date, the premium shall equal 3.0% of the principal being repaid. Thereafter, if prepayment occurs on or before the second anniversary of the Closing Date, the premium shall equal 2.0% of the principal being repaid. Thereafter, if prepayment occurs on or before the Maturity Date, the premium shall equal 1.0% of the principal being repaid.</w:t>
      </w:r>
    </w:p>
    <w:p>
      <w:pPr>
        <w:pStyle w:val="TextBody"/>
        <w:bidi w:val="0"/>
        <w:spacing w:before="120" w:after="283"/>
        <w:jc w:val="left"/>
        <w:rPr>
          <w:rFonts w:ascii="Times New Roman" w:hAnsi="Times New Roman"/>
          <w:sz w:val="20"/>
        </w:rPr>
      </w:pPr>
      <w:r>
        <w:rPr>
          <w:rFonts w:ascii="Arial" w:hAnsi="Arial"/>
          <w:color w:val="000000"/>
          <w:sz w:val="19"/>
        </w:rPr>
        <w:t>The Trinity LSA contains customary affirmative and negative covenants, including with respect to notice obligations, limitations on new indebtedness, liens, investments and transactions with affiliates of the Company, restrictions on the payment of dividends, maintenance of collateral and accounts and maintenance of insurance. The Trinity LSA also contains financial covenants requiring, if the Company’s market capitalization is less than $550</w:t>
      </w:r>
      <w:r>
        <w:rPr>
          <w:rFonts w:ascii="Times New Roman" w:hAnsi="Times New Roman"/>
          <w:color w:val="000000"/>
          <w:sz w:val="20"/>
        </w:rPr>
        <w:t xml:space="preserve"> </w:t>
      </w:r>
      <w:r>
        <w:rPr>
          <w:rFonts w:ascii="Arial" w:hAnsi="Arial"/>
          <w:color w:val="000000"/>
          <w:sz w:val="19"/>
        </w:rPr>
        <w:t>million, the Company to maintain minimum cash and cash equivalents pledged to secure the obligations under the Trinity LSA, less certain accounts payable, of at least (i) beginning from July 1, 2026 through the date, that the Company has raised at least $93.5</w:t>
      </w:r>
      <w:r>
        <w:rPr>
          <w:rFonts w:ascii="Times New Roman" w:hAnsi="Times New Roman"/>
          <w:color w:val="000000"/>
          <w:sz w:val="20"/>
        </w:rPr>
        <w:t xml:space="preserve"> </w:t>
      </w:r>
      <w:r>
        <w:rPr>
          <w:rFonts w:ascii="Arial" w:hAnsi="Arial"/>
          <w:color w:val="000000"/>
          <w:sz w:val="19"/>
        </w:rPr>
        <w:t>million in unrestricted net cash proceeds from one or more bona fide equity financings and/or upfront proceeds from business development after the Closing Date, 67.5% of all of the aggregate principal amount of outstanding obligations under the Trinity LSA, and (ii) beginning from the earlier of (x) October 1, 2027 and (ii) the date upon which the Company receives written notice of certain regulatory outcomes, through the date that the Company obtains certain regulatory approvals, 75% of the aggregate outstanding principal amount of the obligations under the Trinity LSA.</w:t>
      </w:r>
    </w:p>
    <w:p>
      <w:pPr>
        <w:pStyle w:val="TextBody"/>
        <w:bidi w:val="0"/>
        <w:spacing w:before="160" w:after="120"/>
        <w:jc w:val="left"/>
        <w:rPr>
          <w:rFonts w:ascii="Times New Roman" w:hAnsi="Times New Roman"/>
          <w:sz w:val="20"/>
        </w:rPr>
      </w:pPr>
      <w:r>
        <w:rPr>
          <w:rFonts w:ascii="Arial" w:hAnsi="Arial"/>
          <w:color w:val="000000"/>
          <w:sz w:val="19"/>
        </w:rPr>
        <w:t>During the three and six months ended June 30, 2026, the Company recorded interest expense relating to the Trinity LSA of $1.5</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and $3.1</w:t>
      </w:r>
      <w:r>
        <w:rPr>
          <w:rFonts w:ascii="Times New Roman" w:hAnsi="Times New Roman"/>
          <w:color w:val="000000"/>
          <w:sz w:val="20"/>
        </w:rPr>
        <w:t xml:space="preserve"> </w:t>
      </w:r>
      <w:r>
        <w:rPr>
          <w:rFonts w:ascii="Arial" w:hAnsi="Arial"/>
          <w:color w:val="000000"/>
          <w:sz w:val="19"/>
        </w:rPr>
        <w:t>million, respectively. The weighted average effective interest rate as of June 30, 2026 was 13.91%.</w:t>
      </w:r>
    </w:p>
    <w:p>
      <w:pPr>
        <w:pStyle w:val="TextBody"/>
        <w:bidi w:val="0"/>
        <w:spacing w:before="40" w:after="283"/>
        <w:jc w:val="left"/>
        <w:rPr>
          <w:rFonts w:ascii="Times New Roman" w:hAnsi="Times New Roman"/>
          <w:sz w:val="20"/>
        </w:rPr>
      </w:pPr>
      <w:r>
        <w:rPr>
          <w:rFonts w:ascii="Arial" w:hAnsi="Arial"/>
          <w:color w:val="000000"/>
          <w:sz w:val="19"/>
        </w:rPr>
        <w:t>The Company incurred $2.1</w:t>
      </w:r>
      <w:r>
        <w:rPr>
          <w:rFonts w:ascii="Times New Roman" w:hAnsi="Times New Roman"/>
          <w:color w:val="000000"/>
          <w:sz w:val="20"/>
        </w:rPr>
        <w:t xml:space="preserve"> </w:t>
      </w:r>
      <w:r>
        <w:rPr>
          <w:rFonts w:ascii="Arial" w:hAnsi="Arial"/>
          <w:color w:val="000000"/>
          <w:sz w:val="19"/>
        </w:rPr>
        <w:t>million of financing costs and a $2.1</w:t>
      </w:r>
      <w:r>
        <w:rPr>
          <w:rFonts w:ascii="Times New Roman" w:hAnsi="Times New Roman"/>
          <w:color w:val="000000"/>
          <w:sz w:val="20"/>
        </w:rPr>
        <w:t xml:space="preserve"> </w:t>
      </w:r>
      <w:r>
        <w:rPr>
          <w:rFonts w:ascii="Arial" w:hAnsi="Arial"/>
          <w:color w:val="000000"/>
          <w:sz w:val="19"/>
        </w:rPr>
        <w:t>million final payment fee, which were recorded as debt discount and are being amortized to interest expense over the term of the Trinity LSA. The scheduled principal payments and net carrying amount of the Trinity LSA are as follows (in thousands):</w:t>
      </w:r>
    </w:p>
    <w:p>
      <w:pPr>
        <w:pStyle w:val="TextBody"/>
        <w:bidi w:val="0"/>
        <w:jc w:val="left"/>
        <w:rPr/>
      </w:pPr>
      <w:r>
        <w:rPr/>
        <w:t> </w:t>
      </w:r>
    </w:p>
    <w:tbl>
      <w:tblPr>
        <w:tblW w:w="4100" w:type="dxa"/>
        <w:jc w:val="left"/>
        <w:tblInd w:w="0" w:type="dxa"/>
        <w:tblLayout w:type="fixed"/>
        <w:tblCellMar>
          <w:top w:w="28" w:type="dxa"/>
          <w:left w:w="28" w:type="dxa"/>
          <w:bottom w:w="28" w:type="dxa"/>
          <w:right w:w="28" w:type="dxa"/>
        </w:tblCellMar>
      </w:tblPr>
      <w:tblGrid>
        <w:gridCol w:w="2581"/>
        <w:gridCol w:w="146"/>
        <w:gridCol w:w="211"/>
        <w:gridCol w:w="691"/>
        <w:gridCol w:w="47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24,175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22,019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Final payment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(6,258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Accretion of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46,744</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The carrying value of the Company's term loan approximates fair value.</w:t>
      </w:r>
    </w:p>
    <w:p>
      <w:pPr>
        <w:pStyle w:val="TextBody"/>
        <w:bidi w:val="0"/>
        <w:spacing w:before="160" w:after="283"/>
        <w:jc w:val="left"/>
        <w:rPr>
          <w:rFonts w:ascii="Times New Roman" w:hAnsi="Times New Roman"/>
          <w:sz w:val="20"/>
        </w:rPr>
      </w:pPr>
      <w:r>
        <w:rPr>
          <w:rFonts w:ascii="Arial" w:hAnsi="Arial"/>
          <w:b/>
          <w:color w:val="000000"/>
          <w:sz w:val="20"/>
        </w:rPr>
        <w:t>7. Other Long-Term Debt</w:t>
      </w:r>
      <w:r>
        <w:rPr>
          <w:rFonts w:ascii="Times New Roman" w:hAnsi="Times New Roman"/>
          <w:color w:val="000000"/>
          <w:sz w:val="20"/>
        </w:rPr>
        <w:t xml:space="preserve"> </w:t>
      </w:r>
    </w:p>
    <w:p>
      <w:pPr>
        <w:pStyle w:val="TextBody"/>
        <w:bidi w:val="0"/>
        <w:spacing w:before="160" w:after="283"/>
        <w:jc w:val="left"/>
        <w:rPr>
          <w:rFonts w:ascii="Arial" w:hAnsi="Arial"/>
          <w:b/>
          <w:i/>
          <w:color w:val="000000"/>
          <w:sz w:val="20"/>
        </w:rPr>
      </w:pPr>
      <w:r>
        <w:rPr>
          <w:rFonts w:ascii="Arial" w:hAnsi="Arial"/>
          <w:b/>
          <w:i/>
          <w:color w:val="000000"/>
          <w:sz w:val="20"/>
        </w:rPr>
        <w:t>Periphagen Note</w:t>
      </w:r>
    </w:p>
    <w:p>
      <w:pPr>
        <w:pStyle w:val="TextBody"/>
        <w:bidi w:val="0"/>
        <w:spacing w:before="120" w:after="283"/>
        <w:jc w:val="left"/>
        <w:rPr>
          <w:rFonts w:ascii="Times New Roman" w:hAnsi="Times New Roman"/>
          <w:sz w:val="20"/>
        </w:rPr>
      </w:pPr>
      <w:r>
        <w:rPr>
          <w:rFonts w:ascii="Arial" w:hAnsi="Arial"/>
          <w:color w:val="000000"/>
          <w:sz w:val="19"/>
        </w:rPr>
        <w:t>On December 9, 2019, the Company entered into a series of asset purchase agreements with Periphagen, Inc. (Periphagen), a biopharmaceutical company focused on the development of gene therapy vectors. Under the terms of the asset purchase agreements, the Company assumed a $1.0</w:t>
      </w:r>
      <w:r>
        <w:rPr>
          <w:rFonts w:ascii="Times New Roman" w:hAnsi="Times New Roman"/>
          <w:color w:val="000000"/>
          <w:sz w:val="20"/>
        </w:rPr>
        <w:t xml:space="preserve"> </w:t>
      </w:r>
      <w:r>
        <w:rPr>
          <w:rFonts w:ascii="Arial" w:hAnsi="Arial"/>
          <w:color w:val="000000"/>
          <w:sz w:val="19"/>
        </w:rPr>
        <w:t>million promissory note (the Periphagen Note) bearing a contractual interest rate of 2% compounded annually, with the outstanding balance and accrued interest due upon maturity in November 2027, with no interim installments due. The estimated market rate for the Company for an unsecured loan with a maturity in November 2027 was determined to be 15.83% as of December 9, 2019. Although the Company does not have a public credit rating, management estimates a CCC credit rating based on the Company’s financial position and stage of development. Using the commensurate rate for a CCC rated company and based on the amount due at maturity, the present value of the future cash outflow was determined to be $0.4</w:t>
      </w:r>
      <w:r>
        <w:rPr>
          <w:rFonts w:ascii="Times New Roman" w:hAnsi="Times New Roman"/>
          <w:color w:val="000000"/>
          <w:sz w:val="20"/>
        </w:rPr>
        <w:t xml:space="preserve"> </w:t>
      </w:r>
      <w:r>
        <w:rPr>
          <w:rFonts w:ascii="Arial" w:hAnsi="Arial"/>
          <w:color w:val="000000"/>
          <w:sz w:val="19"/>
        </w:rPr>
        <w:t>million at the transaction date. As of June 30, 2026, the carrying value of the note is $1.1</w:t>
      </w:r>
      <w:r>
        <w:rPr>
          <w:rFonts w:ascii="Times New Roman" w:hAnsi="Times New Roman"/>
          <w:color w:val="000000"/>
          <w:sz w:val="20"/>
        </w:rPr>
        <w:t xml:space="preserve"> </w:t>
      </w:r>
      <w:r>
        <w:rPr>
          <w:rFonts w:ascii="Arial" w:hAnsi="Arial"/>
          <w:color w:val="000000"/>
          <w:sz w:val="19"/>
        </w:rPr>
        <w:t>million. The carrying value of the note approximates fair value. Upon maturity, the Company will pay Periphagen $1.4</w:t>
      </w:r>
      <w:r>
        <w:rPr>
          <w:rFonts w:ascii="Times New Roman" w:hAnsi="Times New Roman"/>
          <w:color w:val="000000"/>
          <w:sz w:val="20"/>
        </w:rPr>
        <w:t xml:space="preserve"> </w:t>
      </w:r>
      <w:r>
        <w:rPr>
          <w:rFonts w:ascii="Arial" w:hAnsi="Arial"/>
          <w:color w:val="000000"/>
          <w:sz w:val="19"/>
        </w:rPr>
        <w:t>million for the outstanding balance and accrued interest due.</w:t>
      </w:r>
    </w:p>
    <w:p>
      <w:pPr>
        <w:pStyle w:val="TextBody"/>
        <w:bidi w:val="0"/>
        <w:spacing w:before="160" w:after="283"/>
        <w:jc w:val="left"/>
        <w:rPr>
          <w:rFonts w:ascii="Arial" w:hAnsi="Arial"/>
          <w:b/>
          <w:color w:val="000000"/>
          <w:sz w:val="20"/>
        </w:rPr>
      </w:pPr>
      <w:r>
        <w:rPr>
          <w:rFonts w:ascii="Arial" w:hAnsi="Arial"/>
          <w:b/>
          <w:color w:val="000000"/>
          <w:sz w:val="20"/>
        </w:rPr>
        <w:t>8. Lease</w:t>
      </w:r>
    </w:p>
    <w:p>
      <w:pPr>
        <w:pStyle w:val="TextBody"/>
        <w:bidi w:val="0"/>
        <w:spacing w:before="120" w:after="283"/>
        <w:jc w:val="left"/>
        <w:rPr>
          <w:rFonts w:ascii="Times New Roman" w:hAnsi="Times New Roman"/>
          <w:sz w:val="20"/>
        </w:rPr>
      </w:pPr>
      <w:r>
        <w:rPr>
          <w:rFonts w:ascii="Arial" w:hAnsi="Arial"/>
          <w:color w:val="000000"/>
          <w:sz w:val="19"/>
        </w:rPr>
        <w:t>On February 4, 2019, the Company signed a lease agreement for its corporate headquarters at 117 Kendrick Street in Needham, Massachusetts. The facility consists of a 15,197</w:t>
      </w:r>
      <w:r>
        <w:rPr>
          <w:rFonts w:ascii="Times New Roman" w:hAnsi="Times New Roman"/>
          <w:color w:val="000000"/>
          <w:sz w:val="20"/>
        </w:rPr>
        <w:t xml:space="preserve"> </w:t>
      </w:r>
      <w:r>
        <w:rPr>
          <w:rFonts w:ascii="Arial" w:hAnsi="Arial"/>
          <w:color w:val="000000"/>
          <w:sz w:val="19"/>
        </w:rPr>
        <w:t>square foot property which houses the corporate, clinical, laboratory and manufacturing operations for the Company.</w:t>
      </w:r>
    </w:p>
    <w:p>
      <w:pPr>
        <w:pStyle w:val="TextBody"/>
        <w:bidi w:val="0"/>
        <w:spacing w:before="120" w:after="283"/>
        <w:jc w:val="left"/>
        <w:rPr>
          <w:rFonts w:ascii="Times New Roman" w:hAnsi="Times New Roman"/>
          <w:sz w:val="20"/>
        </w:rPr>
      </w:pPr>
      <w:r>
        <w:rPr>
          <w:rFonts w:ascii="Arial" w:hAnsi="Arial"/>
          <w:color w:val="000000"/>
          <w:sz w:val="19"/>
        </w:rPr>
        <w:t>On August 18, 2025, the Company entered into a first amendment to the existing lease agreement dated February 4, 2019, extending the end-date of the term under the existing lease from August 31, 2026</w:t>
      </w:r>
      <w:r>
        <w:rPr>
          <w:rFonts w:ascii="Times New Roman" w:hAnsi="Times New Roman"/>
          <w:color w:val="000000"/>
          <w:sz w:val="20"/>
        </w:rPr>
        <w:t xml:space="preserve"> </w:t>
      </w:r>
      <w:r>
        <w:rPr>
          <w:rFonts w:ascii="Arial" w:hAnsi="Arial"/>
          <w:color w:val="000000"/>
          <w:sz w:val="19"/>
        </w:rPr>
        <w:t>to August 31, 2029.</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For the three and six months ended June 30, 2026, the Company recorded $0.1</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and $0.3</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of operating lease cost, respectively, and for each of the three and six months ended June 30, 2026, the Company recorded $0.1</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of variable lease cost. The total lease expense for each of the three and six months ended June 30, 2026 was $0.2</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and $0.4</w:t>
      </w:r>
      <w:r>
        <w:rPr>
          <w:rFonts w:ascii="Times New Roman" w:hAnsi="Times New Roman"/>
          <w:color w:val="000000"/>
          <w:sz w:val="20"/>
        </w:rPr>
        <w:t xml:space="preserve"> </w:t>
      </w:r>
      <w:r>
        <w:rPr>
          <w:rFonts w:ascii="Arial" w:hAnsi="Arial"/>
          <w:color w:val="000000"/>
          <w:sz w:val="19"/>
        </w:rPr>
        <w:t>million, respectively.</w:t>
      </w:r>
    </w:p>
    <w:p>
      <w:pPr>
        <w:pStyle w:val="TextBody"/>
        <w:bidi w:val="0"/>
        <w:spacing w:before="120" w:after="283"/>
        <w:jc w:val="left"/>
        <w:rPr>
          <w:rFonts w:ascii="Times New Roman" w:hAnsi="Times New Roman"/>
          <w:sz w:val="20"/>
        </w:rPr>
      </w:pPr>
      <w:r>
        <w:rPr>
          <w:rFonts w:ascii="Arial" w:hAnsi="Arial"/>
          <w:color w:val="000000"/>
          <w:sz w:val="19"/>
        </w:rPr>
        <w:t>For the three and six months ended June 30, 2025, the Company recorded $90,000</w:t>
      </w:r>
      <w:r>
        <w:rPr>
          <w:rFonts w:ascii="Times New Roman" w:hAnsi="Times New Roman"/>
          <w:color w:val="000000"/>
          <w:sz w:val="20"/>
        </w:rPr>
        <w:t xml:space="preserve"> </w:t>
      </w:r>
      <w:r>
        <w:rPr>
          <w:rFonts w:ascii="Arial" w:hAnsi="Arial"/>
          <w:color w:val="000000"/>
          <w:sz w:val="19"/>
        </w:rPr>
        <w:t>and $0.2</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of operating lease cost, respectively, and for the three and six months ended June 30, 2025, the Company recorded $39,000</w:t>
      </w:r>
      <w:r>
        <w:rPr>
          <w:rFonts w:ascii="Times New Roman" w:hAnsi="Times New Roman"/>
          <w:color w:val="000000"/>
          <w:sz w:val="20"/>
        </w:rPr>
        <w:t xml:space="preserve"> </w:t>
      </w:r>
      <w:r>
        <w:rPr>
          <w:rFonts w:ascii="Arial" w:hAnsi="Arial"/>
          <w:color w:val="000000"/>
          <w:sz w:val="19"/>
        </w:rPr>
        <w:t>and $80,000, respectively, of variable lease cost. The total lease expense for each of the three and six months ended June 30, 2025 was $0.1</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and $0.3</w:t>
      </w:r>
      <w:r>
        <w:rPr>
          <w:rFonts w:ascii="Times New Roman" w:hAnsi="Times New Roman"/>
          <w:color w:val="000000"/>
          <w:sz w:val="20"/>
        </w:rPr>
        <w:t xml:space="preserve"> </w:t>
      </w:r>
      <w:r>
        <w:rPr>
          <w:rFonts w:ascii="Arial" w:hAnsi="Arial"/>
          <w:color w:val="000000"/>
          <w:sz w:val="19"/>
        </w:rPr>
        <w:t>million, respectively.</w:t>
      </w:r>
    </w:p>
    <w:p>
      <w:pPr>
        <w:pStyle w:val="TextBody"/>
        <w:bidi w:val="0"/>
        <w:spacing w:before="120" w:after="283"/>
        <w:jc w:val="left"/>
        <w:rPr>
          <w:rFonts w:ascii="Times New Roman" w:hAnsi="Times New Roman"/>
          <w:sz w:val="20"/>
        </w:rPr>
      </w:pPr>
      <w:r>
        <w:rPr>
          <w:rFonts w:ascii="Arial" w:hAnsi="Arial"/>
          <w:color w:val="000000"/>
          <w:sz w:val="19"/>
        </w:rPr>
        <w:t>Cash paid for amounts included in the lease liability for each of the three and six months ended June 30, 2026 and 2025 was $0.2</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and $0.3</w:t>
      </w:r>
      <w:r>
        <w:rPr>
          <w:rFonts w:ascii="Times New Roman" w:hAnsi="Times New Roman"/>
          <w:color w:val="000000"/>
          <w:sz w:val="20"/>
        </w:rPr>
        <w:t xml:space="preserve"> </w:t>
      </w:r>
      <w:r>
        <w:rPr>
          <w:rFonts w:ascii="Arial" w:hAnsi="Arial"/>
          <w:color w:val="000000"/>
          <w:sz w:val="19"/>
        </w:rPr>
        <w:t>million, respectively.</w:t>
      </w:r>
    </w:p>
    <w:p>
      <w:pPr>
        <w:pStyle w:val="TextBody"/>
        <w:bidi w:val="0"/>
        <w:jc w:val="left"/>
        <w:rPr/>
      </w:pPr>
      <w:r>
        <w:rPr/>
        <w:t> </w:t>
      </w:r>
    </w:p>
    <w:tbl>
      <w:tblPr>
        <w:tblW w:w="7784" w:type="dxa"/>
        <w:jc w:val="left"/>
        <w:tblInd w:w="0" w:type="dxa"/>
        <w:tblLayout w:type="fixed"/>
        <w:tblCellMar>
          <w:top w:w="28" w:type="dxa"/>
          <w:left w:w="28" w:type="dxa"/>
          <w:bottom w:w="28" w:type="dxa"/>
          <w:right w:w="28" w:type="dxa"/>
        </w:tblCellMar>
      </w:tblPr>
      <w:tblGrid>
        <w:gridCol w:w="5491"/>
        <w:gridCol w:w="146"/>
        <w:gridCol w:w="211"/>
        <w:gridCol w:w="481"/>
        <w:gridCol w:w="286"/>
        <w:gridCol w:w="146"/>
        <w:gridCol w:w="211"/>
        <w:gridCol w:w="481"/>
        <w:gridCol w:w="331"/>
      </w:tblGrid>
      <w:tr>
        <w:trP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 Information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Operating cash flows used for operating leases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312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9"/>
              </w:rPr>
              <w:t>Weighted-average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9"/>
              </w:rPr>
              <w:t>Weighted-average incremental borrowing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7.66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bl>
    <w:p>
      <w:pPr>
        <w:pStyle w:val="TextBody"/>
        <w:bidi w:val="0"/>
        <w:spacing w:before="240" w:after="120"/>
        <w:jc w:val="left"/>
        <w:rPr>
          <w:rFonts w:ascii="Times New Roman" w:hAnsi="Times New Roman"/>
          <w:sz w:val="20"/>
        </w:rPr>
      </w:pPr>
      <w:r>
        <w:rPr>
          <w:rFonts w:ascii="Arial" w:hAnsi="Arial"/>
          <w:color w:val="000000"/>
          <w:sz w:val="19"/>
        </w:rPr>
        <w:t>The future lease payments under non-cancelable leases at</w:t>
      </w:r>
      <w:r>
        <w:rPr>
          <w:rFonts w:ascii="Times New Roman" w:hAnsi="Times New Roman"/>
          <w:color w:val="000000"/>
          <w:sz w:val="20"/>
        </w:rPr>
        <w:t xml:space="preserve"> </w:t>
      </w:r>
      <w:r>
        <w:rPr>
          <w:rFonts w:ascii="Arial" w:hAnsi="Arial"/>
          <w:color w:val="000000"/>
          <w:sz w:val="19"/>
        </w:rPr>
        <w:t>June 30, 2026, are as follows (in thousands):</w:t>
      </w:r>
      <w:r>
        <w:rPr>
          <w:rFonts w:ascii="Times New Roman" w:hAnsi="Times New Roman"/>
          <w:color w:val="000000"/>
          <w:sz w:val="20"/>
        </w:rPr>
        <w:t xml:space="preserve"> </w:t>
      </w:r>
    </w:p>
    <w:tbl>
      <w:tblPr>
        <w:tblW w:w="4065" w:type="dxa"/>
        <w:jc w:val="left"/>
        <w:tblInd w:w="0" w:type="dxa"/>
        <w:tblLayout w:type="fixed"/>
        <w:tblCellMar>
          <w:top w:w="28" w:type="dxa"/>
          <w:left w:w="28" w:type="dxa"/>
          <w:bottom w:w="28" w:type="dxa"/>
          <w:right w:w="28" w:type="dxa"/>
        </w:tblCellMar>
      </w:tblPr>
      <w:tblGrid>
        <w:gridCol w:w="2911"/>
        <w:gridCol w:w="146"/>
        <w:gridCol w:w="211"/>
        <w:gridCol w:w="586"/>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9"/>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9"/>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9"/>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9"/>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9"/>
              </w:rPr>
              <w:t>Total future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Total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Arial" w:hAnsi="Arial"/>
          <w:b/>
          <w:color w:val="000000"/>
          <w:sz w:val="20"/>
        </w:rPr>
      </w:pPr>
      <w:r>
        <w:rPr>
          <w:rFonts w:ascii="Arial" w:hAnsi="Arial"/>
          <w:b/>
          <w:color w:val="000000"/>
          <w:sz w:val="20"/>
        </w:rPr>
        <w:t>9. Common Stock</w:t>
      </w:r>
    </w:p>
    <w:p>
      <w:pPr>
        <w:pStyle w:val="TextBody"/>
        <w:bidi w:val="0"/>
        <w:spacing w:before="160" w:after="283"/>
        <w:jc w:val="left"/>
        <w:rPr>
          <w:rFonts w:ascii="Times New Roman" w:hAnsi="Times New Roman"/>
          <w:sz w:val="20"/>
        </w:rPr>
      </w:pPr>
      <w:r>
        <w:rPr>
          <w:rFonts w:ascii="Arial" w:hAnsi="Arial"/>
          <w:b/>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Common shares are voting and dividends may be paid when, as and if declared by the board of directors.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Arial" w:hAnsi="Arial"/>
          <w:b/>
          <w:i/>
          <w:color w:val="000000"/>
          <w:sz w:val="20"/>
        </w:rPr>
      </w:pPr>
      <w:r>
        <w:rPr>
          <w:rFonts w:ascii="Arial" w:hAnsi="Arial"/>
          <w:b/>
          <w:i/>
          <w:color w:val="000000"/>
          <w:sz w:val="20"/>
        </w:rPr>
        <w:t>Common Stock Reserved</w:t>
      </w:r>
    </w:p>
    <w:p>
      <w:pPr>
        <w:pStyle w:val="TextBody"/>
        <w:bidi w:val="0"/>
        <w:spacing w:before="120" w:after="283"/>
        <w:jc w:val="left"/>
        <w:rPr>
          <w:rFonts w:ascii="Arial" w:hAnsi="Arial"/>
          <w:color w:val="000000"/>
          <w:sz w:val="19"/>
        </w:rPr>
      </w:pPr>
      <w:r>
        <w:rPr>
          <w:rFonts w:ascii="Arial" w:hAnsi="Arial"/>
          <w:color w:val="000000"/>
          <w:sz w:val="19"/>
        </w:rPr>
        <w:t>The Company has reserved the following shares of common stock for future issuance as of:</w:t>
      </w:r>
    </w:p>
    <w:p>
      <w:pPr>
        <w:pStyle w:val="TextBody"/>
        <w:bidi w:val="0"/>
        <w:jc w:val="left"/>
        <w:rPr/>
      </w:pPr>
      <w:r>
        <w:rPr/>
        <w:t> </w:t>
      </w:r>
    </w:p>
    <w:tbl>
      <w:tblPr>
        <w:tblW w:w="8232" w:type="dxa"/>
        <w:jc w:val="left"/>
        <w:tblInd w:w="0" w:type="dxa"/>
        <w:tblLayout w:type="fixed"/>
        <w:tblCellMar>
          <w:top w:w="28" w:type="dxa"/>
          <w:left w:w="28" w:type="dxa"/>
          <w:bottom w:w="28" w:type="dxa"/>
          <w:right w:w="28" w:type="dxa"/>
        </w:tblCellMar>
      </w:tblPr>
      <w:tblGrid>
        <w:gridCol w:w="5086"/>
        <w:gridCol w:w="146"/>
        <w:gridCol w:w="146"/>
        <w:gridCol w:w="1066"/>
        <w:gridCol w:w="146"/>
        <w:gridCol w:w="146"/>
        <w:gridCol w:w="157"/>
        <w:gridCol w:w="1148"/>
        <w:gridCol w:w="19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9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305"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8,790,473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6,246,920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stock option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2,224,688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2,900,246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7,762,350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7,762,350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19,072,993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16,909,516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Arial" w:hAnsi="Arial"/>
          <w:b/>
          <w:i/>
          <w:color w:val="000000"/>
          <w:sz w:val="19"/>
        </w:rPr>
      </w:pPr>
      <w:r>
        <w:rPr>
          <w:rFonts w:ascii="Arial" w:hAnsi="Arial"/>
          <w:b/>
          <w:i/>
          <w:color w:val="000000"/>
          <w:sz w:val="19"/>
        </w:rPr>
        <w:t>Equity Offerings</w:t>
      </w:r>
    </w:p>
    <w:p>
      <w:pPr>
        <w:pStyle w:val="TextBody"/>
        <w:bidi w:val="0"/>
        <w:spacing w:before="120" w:after="120"/>
        <w:jc w:val="left"/>
        <w:rPr>
          <w:rFonts w:ascii="Times New Roman" w:hAnsi="Times New Roman"/>
          <w:sz w:val="20"/>
        </w:rPr>
      </w:pPr>
      <w:r>
        <w:rPr>
          <w:rFonts w:ascii="Arial" w:hAnsi="Arial"/>
          <w:color w:val="000000"/>
          <w:sz w:val="19"/>
        </w:rPr>
        <w:t>On June 25, 2025, the Company completed a registered direct offering of its common stock. The Company issued and sold 3,221,395</w:t>
      </w:r>
      <w:r>
        <w:rPr>
          <w:rFonts w:ascii="Times New Roman" w:hAnsi="Times New Roman"/>
          <w:color w:val="000000"/>
          <w:sz w:val="20"/>
        </w:rPr>
        <w:t xml:space="preserve"> </w:t>
      </w:r>
      <w:r>
        <w:rPr>
          <w:rFonts w:ascii="Arial" w:hAnsi="Arial"/>
          <w:color w:val="000000"/>
          <w:sz w:val="19"/>
        </w:rPr>
        <w:t>shares of common stock, at a price of $4.67</w:t>
      </w:r>
      <w:r>
        <w:rPr>
          <w:rFonts w:ascii="Times New Roman" w:hAnsi="Times New Roman"/>
          <w:color w:val="000000"/>
          <w:sz w:val="20"/>
        </w:rPr>
        <w:t xml:space="preserve"> </w:t>
      </w:r>
      <w:r>
        <w:rPr>
          <w:rFonts w:ascii="Arial" w:hAnsi="Arial"/>
          <w:color w:val="000000"/>
          <w:sz w:val="19"/>
        </w:rPr>
        <w:t>per share to purchasers including existing healthcare-focused institutional investors, executive officers, and directors of the Company. The aggregate gross proceeds before deducting estimated offering expenses payable by the Company were approximately $15.0</w:t>
      </w:r>
      <w:r>
        <w:rPr>
          <w:rFonts w:ascii="Times New Roman" w:hAnsi="Times New Roman"/>
          <w:color w:val="000000"/>
          <w:sz w:val="20"/>
        </w:rPr>
        <w:t xml:space="preserve"> </w:t>
      </w:r>
      <w:r>
        <w:rPr>
          <w:rFonts w:ascii="Arial" w:hAnsi="Arial"/>
          <w:color w:val="000000"/>
          <w:sz w:val="19"/>
        </w:rPr>
        <w:t>million.</w:t>
      </w:r>
    </w:p>
    <w:p>
      <w:pPr>
        <w:pStyle w:val="TextBody"/>
        <w:bidi w:val="0"/>
        <w:jc w:val="left"/>
        <w:rPr>
          <w:rFonts w:ascii="Times New Roman" w:hAnsi="Times New Roman"/>
          <w:sz w:val="20"/>
        </w:rPr>
      </w:pPr>
      <w:r>
        <w:rPr>
          <w:rFonts w:ascii="Arial" w:hAnsi="Arial"/>
          <w:color w:val="000000"/>
          <w:sz w:val="19"/>
        </w:rPr>
        <w:t>On February 23, 2026, the Company completed the 2026 Follow-On Offering. The Company issued and sold 18,348,624</w:t>
      </w:r>
      <w:r>
        <w:rPr>
          <w:rFonts w:ascii="Times New Roman" w:hAnsi="Times New Roman"/>
          <w:color w:val="000000"/>
          <w:sz w:val="20"/>
        </w:rPr>
        <w:t xml:space="preserve"> </w:t>
      </w:r>
      <w:r>
        <w:rPr>
          <w:rFonts w:ascii="Arial" w:hAnsi="Arial"/>
          <w:color w:val="000000"/>
          <w:sz w:val="19"/>
        </w:rPr>
        <w:t>shares of common stock at a price to the public of $5.45</w:t>
      </w:r>
      <w:r>
        <w:rPr>
          <w:rFonts w:ascii="Times New Roman" w:hAnsi="Times New Roman"/>
          <w:color w:val="000000"/>
          <w:sz w:val="20"/>
        </w:rPr>
        <w:t xml:space="preserve"> </w:t>
      </w:r>
      <w:r>
        <w:rPr>
          <w:rFonts w:ascii="Arial" w:hAnsi="Arial"/>
          <w:color w:val="000000"/>
          <w:sz w:val="19"/>
        </w:rPr>
        <w:t>per share for aggregate gross proceeds of approximately $100</w:t>
      </w:r>
      <w:r>
        <w:rPr>
          <w:rFonts w:ascii="Times New Roman" w:hAnsi="Times New Roman"/>
          <w:color w:val="000000"/>
          <w:sz w:val="20"/>
        </w:rPr>
        <w:t xml:space="preserve"> </w:t>
      </w:r>
      <w:r>
        <w:rPr>
          <w:rFonts w:ascii="Arial" w:hAnsi="Arial"/>
          <w:color w:val="000000"/>
          <w:sz w:val="19"/>
        </w:rPr>
        <w:t>million. The Company received approximately $93.5</w:t>
      </w:r>
      <w:r>
        <w:rPr>
          <w:rFonts w:ascii="Times New Roman" w:hAnsi="Times New Roman"/>
          <w:color w:val="000000"/>
          <w:sz w:val="20"/>
        </w:rPr>
        <w:t xml:space="preserve"> </w:t>
      </w:r>
      <w:r>
        <w:rPr>
          <w:rFonts w:ascii="Arial" w:hAnsi="Arial"/>
          <w:color w:val="000000"/>
          <w:sz w:val="19"/>
        </w:rPr>
        <w:t>million in net proceeds from the 2026 Follow-On Offering after deducting underwriting discounts and commissions and offering expenses.</w:t>
      </w:r>
    </w:p>
    <w:p>
      <w:pPr>
        <w:pStyle w:val="TextBody"/>
        <w:bidi w:val="0"/>
        <w:spacing w:before="160" w:after="283"/>
        <w:jc w:val="left"/>
        <w:rPr>
          <w:rFonts w:ascii="Arial" w:hAnsi="Arial"/>
          <w:b/>
          <w:i/>
          <w:color w:val="000000"/>
          <w:sz w:val="19"/>
        </w:rPr>
      </w:pPr>
      <w:r>
        <w:rPr>
          <w:rFonts w:ascii="Arial" w:hAnsi="Arial"/>
          <w:b/>
          <w:i/>
          <w:color w:val="000000"/>
          <w:sz w:val="19"/>
        </w:rPr>
        <w:t>Shelf Registration and At-the-Market Offerings</w:t>
      </w:r>
    </w:p>
    <w:p>
      <w:pPr>
        <w:pStyle w:val="TextBody"/>
        <w:bidi w:val="0"/>
        <w:spacing w:before="120" w:after="283"/>
        <w:jc w:val="left"/>
        <w:rPr>
          <w:rFonts w:ascii="Times New Roman" w:hAnsi="Times New Roman"/>
          <w:sz w:val="20"/>
        </w:rPr>
      </w:pPr>
      <w:r>
        <w:rPr>
          <w:rFonts w:ascii="Arial" w:hAnsi="Arial"/>
          <w:color w:val="000000"/>
          <w:sz w:val="19"/>
        </w:rPr>
        <w:t>On August 5, 2022, the Company filed the 2022 Shelf with the SEC, which covered the offering, issuance, and sale by us of up to an aggregate of $200.0</w:t>
      </w:r>
      <w:r>
        <w:rPr>
          <w:rFonts w:ascii="Times New Roman" w:hAnsi="Times New Roman"/>
          <w:color w:val="000000"/>
          <w:sz w:val="20"/>
        </w:rPr>
        <w:t xml:space="preserve"> </w:t>
      </w:r>
      <w:r>
        <w:rPr>
          <w:rFonts w:ascii="Arial" w:hAnsi="Arial"/>
          <w:color w:val="000000"/>
          <w:sz w:val="19"/>
        </w:rPr>
        <w:t>million of our common stock, preferred stock, debt securities, warrants and/or units of any combination thereof. We simultaneously entered into a sales agreement with Jefferies LLC, as sales agent, to provide for the issuance and sale by us of up to $75.0</w:t>
      </w:r>
      <w:r>
        <w:rPr>
          <w:rFonts w:ascii="Times New Roman" w:hAnsi="Times New Roman"/>
          <w:color w:val="000000"/>
          <w:sz w:val="20"/>
        </w:rPr>
        <w:t xml:space="preserve"> </w:t>
      </w:r>
      <w:r>
        <w:rPr>
          <w:rFonts w:ascii="Arial" w:hAnsi="Arial"/>
          <w:color w:val="000000"/>
          <w:sz w:val="19"/>
        </w:rPr>
        <w:t>million of our common stock from time to time in “at-the-market” offerings under the 2022 Shelf. The 2022 Shelf was declared effective by the SEC on August 12, 2022 and expired on August 12, 2025. As of August 12, 2025, the Company had sold and issued 3,923,829</w:t>
      </w:r>
      <w:r>
        <w:rPr>
          <w:rFonts w:ascii="Times New Roman" w:hAnsi="Times New Roman"/>
          <w:color w:val="000000"/>
          <w:sz w:val="20"/>
        </w:rPr>
        <w:t xml:space="preserve"> </w:t>
      </w:r>
      <w:r>
        <w:rPr>
          <w:rFonts w:ascii="Arial" w:hAnsi="Arial"/>
          <w:color w:val="000000"/>
          <w:sz w:val="19"/>
        </w:rPr>
        <w:t>shares of common stock under the 2022 ATM Program, for total net proceeds of $20.9</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On August 14, 2025, the Company filed the 2025 Shelf with the SEC, which covers the offering, issuance, and sale by the Company of up to an aggregate of $300.0</w:t>
      </w:r>
      <w:r>
        <w:rPr>
          <w:rFonts w:ascii="Times New Roman" w:hAnsi="Times New Roman"/>
          <w:color w:val="000000"/>
          <w:sz w:val="20"/>
        </w:rPr>
        <w:t xml:space="preserve"> </w:t>
      </w:r>
      <w:r>
        <w:rPr>
          <w:rFonts w:ascii="Arial" w:hAnsi="Arial"/>
          <w:color w:val="000000"/>
          <w:sz w:val="19"/>
        </w:rPr>
        <w:t>million of our common stock, preferred stock, debt securities, warrants and/or units of any combination thereof. The Company simultaneously entered into a sales agreement with Jefferies LLC, as sales agent, to provide for the issuance and sale by the Company of up to $50.0</w:t>
      </w:r>
      <w:r>
        <w:rPr>
          <w:rFonts w:ascii="Times New Roman" w:hAnsi="Times New Roman"/>
          <w:color w:val="000000"/>
          <w:sz w:val="20"/>
        </w:rPr>
        <w:t xml:space="preserve"> </w:t>
      </w:r>
      <w:r>
        <w:rPr>
          <w:rFonts w:ascii="Arial" w:hAnsi="Arial"/>
          <w:color w:val="000000"/>
          <w:sz w:val="19"/>
        </w:rPr>
        <w:t>million of our common stock from time to time in “at-the-market” offerings under the 2025 Shelf. The 2025 Shelf was declared effective by the SEC on August 22, 2025. As of June 30, 2026, the Company has sold and issued 2,838,894</w:t>
      </w:r>
      <w:r>
        <w:rPr>
          <w:rFonts w:ascii="Times New Roman" w:hAnsi="Times New Roman"/>
          <w:color w:val="000000"/>
          <w:sz w:val="20"/>
        </w:rPr>
        <w:t xml:space="preserve"> </w:t>
      </w:r>
      <w:r>
        <w:rPr>
          <w:rFonts w:ascii="Arial" w:hAnsi="Arial"/>
          <w:color w:val="000000"/>
          <w:sz w:val="19"/>
        </w:rPr>
        <w:t>shares of common stock under the 2025 ATM Program, for total net proceeds of $24.2</w:t>
      </w:r>
      <w:r>
        <w:rPr>
          <w:rFonts w:ascii="Times New Roman" w:hAnsi="Times New Roman"/>
          <w:color w:val="000000"/>
          <w:sz w:val="20"/>
        </w:rPr>
        <w:t xml:space="preserve"> </w:t>
      </w:r>
      <w:r>
        <w:rPr>
          <w:rFonts w:ascii="Arial" w:hAnsi="Arial"/>
          <w:color w:val="000000"/>
          <w:sz w:val="19"/>
        </w:rPr>
        <w:t>million. Subsequent to June 30, 2026 and through August 11, 2026, the Company has sold and issued 617,345</w:t>
      </w:r>
      <w:r>
        <w:rPr>
          <w:rFonts w:ascii="Times New Roman" w:hAnsi="Times New Roman"/>
          <w:color w:val="000000"/>
          <w:sz w:val="20"/>
        </w:rPr>
        <w:t xml:space="preserve"> </w:t>
      </w:r>
      <w:r>
        <w:rPr>
          <w:rFonts w:ascii="Arial" w:hAnsi="Arial"/>
          <w:color w:val="000000"/>
          <w:sz w:val="19"/>
        </w:rPr>
        <w:t>additional shares of common stock under the 2025 ATM Program, for total net proceeds of $6.3</w:t>
      </w:r>
      <w:r>
        <w:rPr>
          <w:rFonts w:ascii="Times New Roman" w:hAnsi="Times New Roman"/>
          <w:color w:val="000000"/>
          <w:sz w:val="20"/>
        </w:rPr>
        <w:t xml:space="preserve"> </w:t>
      </w:r>
      <w:r>
        <w:rPr>
          <w:rFonts w:ascii="Arial" w:hAnsi="Arial"/>
          <w:color w:val="000000"/>
          <w:sz w:val="19"/>
        </w:rPr>
        <w:t>million.</w:t>
      </w:r>
    </w:p>
    <w:p>
      <w:pPr>
        <w:pStyle w:val="TextBody"/>
        <w:bidi w:val="0"/>
        <w:jc w:val="left"/>
        <w:rPr/>
      </w:pPr>
      <w:r>
        <w:rPr/>
        <w:t> </w:t>
      </w:r>
    </w:p>
    <w:p>
      <w:pPr>
        <w:pStyle w:val="TextBody"/>
        <w:bidi w:val="0"/>
        <w:spacing w:before="160" w:after="283"/>
        <w:jc w:val="left"/>
        <w:rPr>
          <w:rFonts w:ascii="Arial" w:hAnsi="Arial"/>
          <w:b/>
          <w:color w:val="000000"/>
          <w:sz w:val="20"/>
        </w:rPr>
      </w:pPr>
      <w:r>
        <w:rPr>
          <w:rFonts w:ascii="Arial" w:hAnsi="Arial"/>
          <w:b/>
          <w:color w:val="000000"/>
          <w:sz w:val="20"/>
        </w:rPr>
        <w:t>10. Warrants</w:t>
      </w:r>
    </w:p>
    <w:p>
      <w:pPr>
        <w:pStyle w:val="TextBody"/>
        <w:bidi w:val="0"/>
        <w:spacing w:before="120" w:after="283"/>
        <w:jc w:val="left"/>
        <w:rPr>
          <w:rFonts w:ascii="Times New Roman" w:hAnsi="Times New Roman"/>
          <w:sz w:val="20"/>
        </w:rPr>
      </w:pPr>
      <w:r>
        <w:rPr>
          <w:rFonts w:ascii="Arial" w:hAnsi="Arial"/>
          <w:color w:val="000000"/>
          <w:sz w:val="19"/>
        </w:rPr>
        <w:t>The Company has the following warrants outstanding for the purchase of common stock as of June 30, 2026 and December 31, 2025:</w:t>
      </w:r>
      <w:r>
        <w:rPr>
          <w:rFonts w:ascii="Times New Roman" w:hAnsi="Times New Roman"/>
          <w:color w:val="000000"/>
          <w:sz w:val="20"/>
        </w:rPr>
        <w:t xml:space="preserve"> </w:t>
      </w:r>
    </w:p>
    <w:p>
      <w:pPr>
        <w:pStyle w:val="TextBody"/>
        <w:bidi w:val="0"/>
        <w:jc w:val="left"/>
        <w:rPr/>
      </w:pPr>
      <w:r>
        <w:rPr/>
        <w:t> </w:t>
      </w:r>
    </w:p>
    <w:tbl>
      <w:tblPr>
        <w:tblW w:w="7167" w:type="dxa"/>
        <w:jc w:val="left"/>
        <w:tblInd w:w="0" w:type="dxa"/>
        <w:tblLayout w:type="fixed"/>
        <w:tblCellMar>
          <w:top w:w="28" w:type="dxa"/>
          <w:left w:w="28" w:type="dxa"/>
          <w:bottom w:w="28" w:type="dxa"/>
          <w:right w:w="28" w:type="dxa"/>
        </w:tblCellMar>
      </w:tblPr>
      <w:tblGrid>
        <w:gridCol w:w="2731"/>
        <w:gridCol w:w="146"/>
        <w:gridCol w:w="152"/>
        <w:gridCol w:w="1003"/>
        <w:gridCol w:w="146"/>
        <w:gridCol w:w="146"/>
        <w:gridCol w:w="297"/>
        <w:gridCol w:w="678"/>
        <w:gridCol w:w="146"/>
        <w:gridCol w:w="146"/>
        <w:gridCol w:w="157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 OF</w:t>
              <w:br/>
              <w:t>COMMON</w:t>
              <w:br/>
              <w:t>STOCK</w:t>
              <w:br/>
              <w:t>SUBJECT TO</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EXPIRATION</w:t>
              <w:br/>
              <w:t>DATES</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3,672,484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September 2027</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Conditional Series 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3,672,484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September 2027</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NC Ohio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2029</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Lender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254,642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October 2035</w:t>
            </w:r>
          </w:p>
        </w:tc>
      </w:tr>
    </w:tbl>
    <w:p>
      <w:pPr>
        <w:pStyle w:val="TextBody"/>
        <w:bidi w:val="0"/>
        <w:spacing w:before="240" w:after="283"/>
        <w:jc w:val="left"/>
        <w:rPr>
          <w:rFonts w:ascii="Times New Roman" w:hAnsi="Times New Roman"/>
          <w:sz w:val="20"/>
        </w:rPr>
      </w:pPr>
      <w:r>
        <w:rPr>
          <w:rFonts w:ascii="Arial" w:hAnsi="Arial"/>
          <w:b/>
          <w:i/>
          <w:color w:val="000000"/>
          <w:sz w:val="20"/>
        </w:rPr>
        <w:t>Series B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In connection with the November 13, 2018 issuance of Series B convertible preferred stock (the Series B Preferred), the Company issued to the purchaser of the Series B Preferred warrants to purchase 3,672,484</w:t>
      </w:r>
      <w:r>
        <w:rPr>
          <w:rFonts w:ascii="Times New Roman" w:hAnsi="Times New Roman"/>
          <w:color w:val="000000"/>
          <w:sz w:val="20"/>
        </w:rPr>
        <w:t xml:space="preserve"> </w:t>
      </w:r>
      <w:r>
        <w:rPr>
          <w:rFonts w:ascii="Arial" w:hAnsi="Arial"/>
          <w:color w:val="000000"/>
          <w:sz w:val="19"/>
        </w:rPr>
        <w:t>shares of common stock for $6.81</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per share (the Series B Warrants), which became fully exercisable upon issuance. The Series B Warrants contain provisions allowing cashless exercise.</w:t>
      </w:r>
    </w:p>
    <w:p>
      <w:pPr>
        <w:pStyle w:val="TextBody"/>
        <w:bidi w:val="0"/>
        <w:spacing w:before="120" w:after="283"/>
        <w:jc w:val="left"/>
        <w:rPr>
          <w:rFonts w:ascii="Times New Roman" w:hAnsi="Times New Roman"/>
          <w:sz w:val="20"/>
        </w:rPr>
      </w:pPr>
      <w:r>
        <w:rPr>
          <w:rFonts w:ascii="Arial" w:hAnsi="Arial"/>
          <w:color w:val="000000"/>
          <w:sz w:val="19"/>
        </w:rPr>
        <w:t>In addition, the Company issued to the same stockholder additional five-year</w:t>
      </w:r>
      <w:r>
        <w:rPr>
          <w:rFonts w:ascii="Times New Roman" w:hAnsi="Times New Roman"/>
          <w:color w:val="000000"/>
          <w:sz w:val="20"/>
        </w:rPr>
        <w:t xml:space="preserve"> </w:t>
      </w:r>
      <w:r>
        <w:rPr>
          <w:rFonts w:ascii="Arial" w:hAnsi="Arial"/>
          <w:color w:val="000000"/>
          <w:sz w:val="19"/>
        </w:rPr>
        <w:t>warrants for the purchase of 3,672,484</w:t>
      </w:r>
      <w:r>
        <w:rPr>
          <w:rFonts w:ascii="Times New Roman" w:hAnsi="Times New Roman"/>
          <w:color w:val="000000"/>
          <w:sz w:val="20"/>
        </w:rPr>
        <w:t xml:space="preserve"> </w:t>
      </w:r>
      <w:r>
        <w:rPr>
          <w:rFonts w:ascii="Arial" w:hAnsi="Arial"/>
          <w:color w:val="000000"/>
          <w:sz w:val="19"/>
        </w:rPr>
        <w:t>shares of common stock for $6.81</w:t>
      </w:r>
      <w:r>
        <w:rPr>
          <w:rFonts w:ascii="Times New Roman" w:hAnsi="Times New Roman"/>
          <w:color w:val="000000"/>
          <w:sz w:val="20"/>
        </w:rPr>
        <w:t xml:space="preserve"> </w:t>
      </w:r>
      <w:r>
        <w:rPr>
          <w:rFonts w:ascii="Arial" w:hAnsi="Arial"/>
          <w:color w:val="000000"/>
          <w:sz w:val="19"/>
        </w:rPr>
        <w:t>per share (the Conditional Series B Warrants), which become exercisable in the event that the Company completes a future financing that meets certain financial milestones or achieves certain share prices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9"/>
        </w:rPr>
        <w:t>918,121</w:t>
      </w:r>
      <w:r>
        <w:rPr>
          <w:color w:val="000000"/>
        </w:rPr>
        <w:t xml:space="preserve"> </w:t>
      </w:r>
      <w:r>
        <w:rPr>
          <w:rFonts w:ascii="Arial" w:hAnsi="Arial"/>
          <w:color w:val="000000"/>
          <w:sz w:val="19"/>
        </w:rPr>
        <w:t>shares vest upon (1) a financing event effected through the sale of our equity securities to third parties resulting in at least $20,000,000</w:t>
      </w:r>
      <w:r>
        <w:rPr>
          <w:color w:val="000000"/>
        </w:rPr>
        <w:t xml:space="preserve"> </w:t>
      </w:r>
      <w:r>
        <w:rPr>
          <w:rFonts w:ascii="Arial" w:hAnsi="Arial"/>
          <w:color w:val="000000"/>
          <w:sz w:val="19"/>
        </w:rPr>
        <w:t>in gross proceeds, with a per share price of $12.47, or (2) an average market price (determined over a consecutive 10-day period) of $12.47</w:t>
      </w:r>
      <w:r>
        <w:rPr>
          <w:color w:val="000000"/>
        </w:rPr>
        <w:t xml:space="preserve"> </w:t>
      </w:r>
      <w:r>
        <w:rPr>
          <w:rFonts w:ascii="Arial" w:hAnsi="Arial"/>
          <w:color w:val="000000"/>
          <w:sz w:val="19"/>
        </w:rPr>
        <w:t>per share;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9"/>
        </w:rPr>
        <w:t>an additional 918,121</w:t>
      </w:r>
      <w:r>
        <w:rPr>
          <w:color w:val="000000"/>
        </w:rPr>
        <w:t xml:space="preserve"> </w:t>
      </w:r>
      <w:r>
        <w:rPr>
          <w:rFonts w:ascii="Arial" w:hAnsi="Arial"/>
          <w:color w:val="000000"/>
          <w:sz w:val="19"/>
        </w:rPr>
        <w:t>shares vest upon (1) a financing event with a price per share of $13.20, or (2) an average market price (determined over a consecutive 10-day period) of, $13.20</w:t>
      </w:r>
      <w:r>
        <w:rPr>
          <w:color w:val="000000"/>
        </w:rPr>
        <w:t xml:space="preserve"> </w:t>
      </w:r>
      <w:r>
        <w:rPr>
          <w:rFonts w:ascii="Arial" w:hAnsi="Arial"/>
          <w:color w:val="000000"/>
          <w:sz w:val="19"/>
        </w:rPr>
        <w:t xml:space="preserve">per share;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9"/>
        </w:rPr>
        <w:t>an additional 918,121</w:t>
      </w:r>
      <w:r>
        <w:rPr>
          <w:color w:val="000000"/>
        </w:rPr>
        <w:t xml:space="preserve"> </w:t>
      </w:r>
      <w:r>
        <w:rPr>
          <w:rFonts w:ascii="Arial" w:hAnsi="Arial"/>
          <w:color w:val="000000"/>
          <w:sz w:val="19"/>
        </w:rPr>
        <w:t>shares vest upon (1) a financing event with a per share price of $13.94, or (2) an average market price (determined over a consecutive 10-day period) of, $13.94</w:t>
      </w:r>
      <w:r>
        <w:rPr>
          <w:color w:val="000000"/>
        </w:rPr>
        <w:t xml:space="preserve"> </w:t>
      </w:r>
      <w:r>
        <w:rPr>
          <w:rFonts w:ascii="Arial" w:hAnsi="Arial"/>
          <w:color w:val="000000"/>
          <w:sz w:val="19"/>
        </w:rPr>
        <w:t xml:space="preserve">per share;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9"/>
        </w:rPr>
        <w:t>an additional 918,121</w:t>
      </w:r>
      <w:r>
        <w:rPr>
          <w:color w:val="000000"/>
        </w:rPr>
        <w:t xml:space="preserve"> </w:t>
      </w:r>
      <w:r>
        <w:rPr>
          <w:rFonts w:ascii="Arial" w:hAnsi="Arial"/>
          <w:color w:val="000000"/>
          <w:sz w:val="19"/>
        </w:rPr>
        <w:t>shares vest upon (1) a financing event with a per share price of $14.68, or (2) an average market price (determined over a consecutive 10-day period) of, $14.68</w:t>
      </w:r>
      <w:r>
        <w:rPr>
          <w:color w:val="000000"/>
        </w:rPr>
        <w:t xml:space="preserve"> </w:t>
      </w:r>
      <w:r>
        <w:rPr>
          <w:rFonts w:ascii="Arial" w:hAnsi="Arial"/>
          <w:color w:val="000000"/>
          <w:sz w:val="19"/>
        </w:rPr>
        <w:t>per share.</w:t>
      </w:r>
    </w:p>
    <w:p>
      <w:pPr>
        <w:pStyle w:val="TextBody"/>
        <w:bidi w:val="0"/>
        <w:spacing w:before="120" w:after="283"/>
        <w:jc w:val="left"/>
        <w:rPr>
          <w:rFonts w:ascii="Times New Roman" w:hAnsi="Times New Roman"/>
          <w:sz w:val="20"/>
        </w:rPr>
      </w:pPr>
      <w:r>
        <w:rPr>
          <w:rFonts w:ascii="Arial" w:hAnsi="Arial"/>
          <w:color w:val="000000"/>
          <w:sz w:val="19"/>
        </w:rPr>
        <w:t>On June 24, 2021, the Company’s board of directors approved and on July 14, 2021 the stockholders approved, effective upon the closing of the Company's initial public offering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 On October 14, 2025, the Company entered into an amendment (the Warrant Amendment) with holders, including affiliates of Paul Manning and Chris Martell, who are directors of the Company, of the Series B Warrants and the Conditional Series B Warrants. Pursuant to the Warrant Amendment, the holders agreed (i) to extend the expiration date of the Series B Warrants and the Conditional Series B Warrants from November 2025 to September 2027; (ii) to irrevocably release the Company and its directors, officers and affiliates (collectively, the Releasees) from any and all claims that the holders may have against the Releasees related to any alleged breach of or wrongful act under that certain Series B Preferred Stock Purchase Agreement dated November 13, 2018 by and between the Company and PBM ADV Holdings, LLC (the Purchase Agreement) and the issuance of shares of the Company’s Series B preferred stock or existing warrants under the Purchase Agreement; (iii) to not, during the six months following the Warrant Amendment, (x) transfer or dispose of any shares of Common Stock or any securities convertible into or exercisable or exchangeable for Common Stock, or (y) enter into any swap or other arrangement that transfers to another any of the economic consequences of ownership of such securities, subject to certain exceptions set forth in the Warrant Amendment; and (iv) that, if requested by the underwriters in any equity financing transaction undertaken by the Company prior to September 30, 2027, to execute a standard lock-up agreement in connection with such equity financing.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Company recorded the Series B Warrants as a component of stockholder’s equity at the time of issuance at their estimated fair value of $2.1</w:t>
      </w:r>
      <w:r>
        <w:rPr>
          <w:rFonts w:ascii="Times New Roman" w:hAnsi="Times New Roman"/>
          <w:color w:val="000000"/>
          <w:sz w:val="20"/>
        </w:rPr>
        <w:t xml:space="preserve"> </w:t>
      </w:r>
      <w:r>
        <w:rPr>
          <w:rFonts w:ascii="Arial" w:hAnsi="Arial"/>
          <w:color w:val="000000"/>
          <w:sz w:val="19"/>
        </w:rPr>
        <w:t>million and recorded the Conditional Series B Warrants as a liability on the condensed consolidated balance sheet as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and comprehensive income (loss). The Company will continue to recognize changes in the fair value of the Conditional Series B Warrants until each Conditional Series B Warrant is exercised, expires or qualifies for equity classification. The warrant liability fair value was $17.3</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and $13.6</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as of June 30, 2026 and December 31, 2025, respectively.</w:t>
      </w:r>
      <w:r>
        <w:rPr>
          <w:rFonts w:ascii="Times New Roman" w:hAnsi="Times New Roman"/>
          <w:color w:val="000000"/>
          <w:sz w:val="20"/>
        </w:rPr>
        <w:t xml:space="preserve"> </w:t>
      </w:r>
    </w:p>
    <w:p>
      <w:pPr>
        <w:pStyle w:val="TextBody"/>
        <w:bidi w:val="0"/>
        <w:spacing w:before="160" w:after="283"/>
        <w:jc w:val="left"/>
        <w:rPr>
          <w:rFonts w:ascii="Arial" w:hAnsi="Arial"/>
          <w:b/>
          <w:i/>
          <w:color w:val="000000"/>
          <w:sz w:val="20"/>
        </w:rPr>
      </w:pPr>
      <w:r>
        <w:rPr>
          <w:rFonts w:ascii="Arial" w:hAnsi="Arial"/>
          <w:b/>
          <w:i/>
          <w:color w:val="000000"/>
          <w:sz w:val="20"/>
        </w:rPr>
        <w:t>NC Ohio Trust Warrants</w:t>
      </w:r>
    </w:p>
    <w:p>
      <w:pPr>
        <w:pStyle w:val="TextBody"/>
        <w:bidi w:val="0"/>
        <w:spacing w:before="120" w:after="283"/>
        <w:jc w:val="left"/>
        <w:rPr>
          <w:rFonts w:ascii="Times New Roman" w:hAnsi="Times New Roman"/>
          <w:sz w:val="20"/>
        </w:rPr>
      </w:pPr>
      <w:r>
        <w:rPr>
          <w:rFonts w:ascii="Arial" w:hAnsi="Arial"/>
          <w:color w:val="000000"/>
          <w:sz w:val="19"/>
        </w:rPr>
        <w:t>On March 20, 2019, the Company established the NC Incorporated Ohio Trust, an irrevocable trust funded by the Company. The beneficiary in the trust agreement has provided past services to the Company for more than 15 years</w:t>
      </w:r>
      <w:r>
        <w:rPr>
          <w:rFonts w:ascii="Times New Roman" w:hAnsi="Times New Roman"/>
          <w:color w:val="000000"/>
          <w:sz w:val="20"/>
        </w:rPr>
        <w:t xml:space="preserve"> </w:t>
      </w:r>
      <w:r>
        <w:rPr>
          <w:rFonts w:ascii="Arial" w:hAnsi="Arial"/>
          <w:color w:val="000000"/>
          <w:sz w:val="19"/>
        </w:rPr>
        <w:t>and is a non-employee. The warrant provides the beneficiary the right to purchase 162,740</w:t>
      </w:r>
      <w:r>
        <w:rPr>
          <w:rFonts w:ascii="Times New Roman" w:hAnsi="Times New Roman"/>
          <w:color w:val="000000"/>
          <w:sz w:val="20"/>
        </w:rPr>
        <w:t xml:space="preserve"> </w:t>
      </w:r>
      <w:r>
        <w:rPr>
          <w:rFonts w:ascii="Arial" w:hAnsi="Arial"/>
          <w:color w:val="000000"/>
          <w:sz w:val="19"/>
        </w:rPr>
        <w:t>shares of the Company’s common stock, $0.01</w:t>
      </w:r>
      <w:r>
        <w:rPr>
          <w:rFonts w:ascii="Times New Roman" w:hAnsi="Times New Roman"/>
          <w:color w:val="000000"/>
          <w:sz w:val="20"/>
        </w:rPr>
        <w:t xml:space="preserve"> </w:t>
      </w:r>
      <w:r>
        <w:rPr>
          <w:rFonts w:ascii="Arial" w:hAnsi="Arial"/>
          <w:color w:val="000000"/>
          <w:sz w:val="19"/>
        </w:rPr>
        <w:t>par value at an exercise price of $1.46</w:t>
      </w:r>
      <w:r>
        <w:rPr>
          <w:rFonts w:ascii="Times New Roman" w:hAnsi="Times New Roman"/>
          <w:color w:val="000000"/>
          <w:sz w:val="20"/>
        </w:rPr>
        <w:t xml:space="preserve"> </w:t>
      </w:r>
      <w:r>
        <w:rPr>
          <w:rFonts w:ascii="Arial" w:hAnsi="Arial"/>
          <w:color w:val="000000"/>
          <w:sz w:val="19"/>
        </w:rPr>
        <w:t>per share, subject to adjustments as specified in the warrant agreement. The Company recognizes the warrants as compensation expense within the condensed consolidated statements of operations and comprehensive income (loss) when the warrants are granted or at the service inception date if the service inception date precedes the grant date. In the period in which the grant date occurs, cumulative compensation cost shall be adjusted to reflect the cumulative effect of measuring compensation cost based on the fair value at the grant date rather than the fair value previously used at the service inception date or subsequent reporting dates. As of June 30, 2026 and December 31, 2025, a grant date was not established as there was not a mutual understanding of key terms. The Company remeasures the fair value of the award at each reporting date, as the service date preceded the grant date. The value of the warrants for 162,740</w:t>
      </w:r>
      <w:r>
        <w:rPr>
          <w:rFonts w:ascii="Times New Roman" w:hAnsi="Times New Roman"/>
          <w:color w:val="000000"/>
          <w:sz w:val="20"/>
        </w:rPr>
        <w:t xml:space="preserve"> </w:t>
      </w:r>
      <w:r>
        <w:rPr>
          <w:rFonts w:ascii="Arial" w:hAnsi="Arial"/>
          <w:color w:val="000000"/>
          <w:sz w:val="19"/>
        </w:rPr>
        <w:t>shares of common stock was $1.6</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and $0.8</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as of June 30, 2026 and December 31, 2025, respectively. The value of the warrants at each reporting date is recorded as stock compensation expense within research and development expense and to stockholders’ equity in the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spacing w:before="160" w:after="120"/>
        <w:jc w:val="left"/>
        <w:rPr>
          <w:rFonts w:ascii="Times New Roman" w:hAnsi="Times New Roman"/>
          <w:sz w:val="20"/>
        </w:rPr>
      </w:pPr>
      <w:r>
        <w:rPr>
          <w:rFonts w:ascii="Arial" w:hAnsi="Arial"/>
          <w:b/>
          <w:i/>
          <w:color w:val="000000"/>
          <w:sz w:val="20"/>
        </w:rPr>
        <w:t>Lender Warrants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9"/>
        </w:rPr>
        <w:t>In connection with the drawdown of any Tranche under the Trinity LSA entered into on October 14, 2025 (see Note 6), the Company is required to issue to the Lenders warrants (the Lender Warrants) to purchase shares of the Company’s common stock, $0.01</w:t>
      </w:r>
      <w:r>
        <w:rPr>
          <w:rFonts w:ascii="Times New Roman" w:hAnsi="Times New Roman"/>
          <w:color w:val="000000"/>
          <w:sz w:val="20"/>
        </w:rPr>
        <w:t xml:space="preserve"> </w:t>
      </w:r>
      <w:r>
        <w:rPr>
          <w:rFonts w:ascii="Arial" w:hAnsi="Arial"/>
          <w:color w:val="000000"/>
          <w:sz w:val="19"/>
        </w:rPr>
        <w:t>par value per share. The exercise price for the Lender Warrants is equal to $5.89</w:t>
      </w:r>
      <w:r>
        <w:rPr>
          <w:rFonts w:ascii="Times New Roman" w:hAnsi="Times New Roman"/>
          <w:color w:val="000000"/>
          <w:sz w:val="20"/>
        </w:rPr>
        <w:t xml:space="preserve"> </w:t>
      </w:r>
      <w:r>
        <w:rPr>
          <w:rFonts w:ascii="Arial" w:hAnsi="Arial"/>
          <w:color w:val="000000"/>
          <w:sz w:val="19"/>
        </w:rPr>
        <w:t>per share. The number of shares of common stock for which each Lender Warrant is exercisable is equal to 3.0% of the applicable drawn down amount, divided by the exercise price. The Lender Warrants shall have a term of ten years</w:t>
      </w:r>
      <w:r>
        <w:rPr>
          <w:rFonts w:ascii="Times New Roman" w:hAnsi="Times New Roman"/>
          <w:color w:val="000000"/>
          <w:sz w:val="20"/>
        </w:rPr>
        <w:t xml:space="preserve"> </w:t>
      </w:r>
      <w:r>
        <w:rPr>
          <w:rFonts w:ascii="Arial" w:hAnsi="Arial"/>
          <w:color w:val="000000"/>
          <w:sz w:val="19"/>
        </w:rPr>
        <w:t>from the date of issuance and shall permit cashless net exercise, all in accordance with their terms. In connection with the drawdown of the First Tranche, the Company issued a Lender Warrant to purchase up to 254,642</w:t>
      </w:r>
      <w:r>
        <w:rPr>
          <w:rFonts w:ascii="Times New Roman" w:hAnsi="Times New Roman"/>
          <w:color w:val="000000"/>
          <w:sz w:val="20"/>
        </w:rPr>
        <w:t xml:space="preserve"> </w:t>
      </w:r>
      <w:r>
        <w:rPr>
          <w:rFonts w:ascii="Arial" w:hAnsi="Arial"/>
          <w:color w:val="000000"/>
          <w:sz w:val="19"/>
        </w:rPr>
        <w:t>shares of Common Stock.</w:t>
      </w:r>
    </w:p>
    <w:p>
      <w:pPr>
        <w:pStyle w:val="TextBody"/>
        <w:bidi w:val="0"/>
        <w:spacing w:before="120" w:after="120"/>
        <w:jc w:val="left"/>
        <w:rPr>
          <w:rFonts w:ascii="Times New Roman" w:hAnsi="Times New Roman"/>
          <w:sz w:val="20"/>
        </w:rPr>
      </w:pPr>
      <w:r>
        <w:rPr>
          <w:rFonts w:ascii="Arial" w:hAnsi="Arial"/>
          <w:color w:val="000000"/>
          <w:sz w:val="19"/>
        </w:rPr>
        <w:t>The initial fair value of the Lender Warrants was recognized as debt discount to the term loan and a corresponding warrant liability. The Lender Warrants are remeasured to their fair value at each reporting date with changes in the fair value recognized as a component of other income (expense), net in the consolidated statements of operations. The Company will continue to recognize changes in the fair value of the Lender Warrants until each Lender Warrant is exercised, expires or qualifies for equity classification. The warrant liability fair value was $2.9</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and $2.0</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as of June 30, 2026 and December 31, 2025, respectively.</w:t>
      </w:r>
    </w:p>
    <w:p>
      <w:pPr>
        <w:pStyle w:val="TextBody"/>
        <w:bidi w:val="0"/>
        <w:jc w:val="left"/>
        <w:rPr>
          <w:rFonts w:ascii="Times New Roman" w:hAnsi="Times New Roman"/>
          <w:sz w:val="20"/>
        </w:rPr>
      </w:pPr>
      <w:r>
        <w:rPr>
          <w:rFonts w:ascii="Arial" w:hAnsi="Arial"/>
          <w:color w:val="000000"/>
          <w:sz w:val="19"/>
        </w:rPr>
        <w:t>During the six months ended June 30, 2026, no</w:t>
      </w:r>
      <w:r>
        <w:rPr>
          <w:rFonts w:ascii="Times New Roman" w:hAnsi="Times New Roman"/>
          <w:color w:val="000000"/>
          <w:sz w:val="20"/>
        </w:rPr>
        <w:t xml:space="preserve"> </w:t>
      </w:r>
      <w:r>
        <w:rPr>
          <w:rFonts w:ascii="Arial" w:hAnsi="Arial"/>
          <w:color w:val="000000"/>
          <w:sz w:val="19"/>
        </w:rPr>
        <w:t>Lender Warrants were exercised. As of June 30, 2026, there were 254,642</w:t>
      </w:r>
      <w:r>
        <w:rPr>
          <w:rFonts w:ascii="Times New Roman" w:hAnsi="Times New Roman"/>
          <w:color w:val="000000"/>
          <w:sz w:val="20"/>
        </w:rPr>
        <w:t xml:space="preserve"> </w:t>
      </w:r>
      <w:r>
        <w:rPr>
          <w:rFonts w:ascii="Arial" w:hAnsi="Arial"/>
          <w:color w:val="000000"/>
          <w:sz w:val="19"/>
        </w:rPr>
        <w:t>Lender Warrants outstanding.</w:t>
      </w:r>
    </w:p>
    <w:p>
      <w:pPr>
        <w:pStyle w:val="TextBody"/>
        <w:bidi w:val="0"/>
        <w:spacing w:before="160" w:after="283"/>
        <w:jc w:val="left"/>
        <w:rPr>
          <w:rFonts w:ascii="Times New Roman" w:hAnsi="Times New Roman"/>
          <w:sz w:val="20"/>
        </w:rPr>
      </w:pPr>
      <w:r>
        <w:rPr>
          <w:rFonts w:ascii="Arial" w:hAnsi="Arial"/>
          <w:b/>
          <w:color w:val="000000"/>
          <w:sz w:val="20"/>
        </w:rPr>
        <w:t>11. Stock Options, Restricted Stock and Stock-Based Compensation</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Equity Incentive Plans</w:t>
      </w:r>
    </w:p>
    <w:p>
      <w:pPr>
        <w:pStyle w:val="TextBody"/>
        <w:bidi w:val="0"/>
        <w:spacing w:before="120" w:after="283"/>
        <w:jc w:val="left"/>
        <w:rPr>
          <w:rFonts w:ascii="Times New Roman" w:hAnsi="Times New Roman"/>
          <w:sz w:val="20"/>
        </w:rPr>
      </w:pPr>
      <w:r>
        <w:rPr>
          <w:rFonts w:ascii="Arial" w:hAnsi="Arial"/>
          <w:color w:val="000000"/>
          <w:sz w:val="19"/>
        </w:rPr>
        <w:t>The Company’s 2015 Stock Plan, as amended, (the 2015 Plan) provides for the Company to sell or issue common shares or restricted common stock, or to grant incentive stock options or nonqualified stock options for the purchase of common stock, to employees, members of the board of directors and consultants of the Company. The 2015 Plan is administered by the board of directors and exercise prices, vesting and other restrictions are determined at its discretion. All stock option grants are non-statutory stock options except option grants to employees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and the vesting periods may vary. Vesting periods are generally four years</w:t>
      </w:r>
      <w:r>
        <w:rPr>
          <w:rFonts w:ascii="Times New Roman" w:hAnsi="Times New Roman"/>
          <w:color w:val="000000"/>
          <w:sz w:val="20"/>
        </w:rPr>
        <w:t xml:space="preserve"> </w:t>
      </w:r>
      <w:r>
        <w:rPr>
          <w:rFonts w:ascii="Arial" w:hAnsi="Arial"/>
          <w:color w:val="000000"/>
          <w:sz w:val="19"/>
        </w:rPr>
        <w:t>and are determined by the board of directors. Stock options become exercisable as they vest. Options granted under the 2015 Plan expire no more than ten years</w:t>
      </w:r>
      <w:r>
        <w:rPr>
          <w:rFonts w:ascii="Times New Roman" w:hAnsi="Times New Roman"/>
          <w:color w:val="000000"/>
          <w:sz w:val="20"/>
        </w:rPr>
        <w:t xml:space="preserve"> </w:t>
      </w:r>
      <w:r>
        <w:rPr>
          <w:rFonts w:ascii="Arial" w:hAnsi="Arial"/>
          <w:color w:val="000000"/>
          <w:sz w:val="19"/>
        </w:rPr>
        <w:t>from the date of grant. As of June 30, 2026, there are no</w:t>
      </w:r>
      <w:r>
        <w:rPr>
          <w:rFonts w:ascii="Times New Roman" w:hAnsi="Times New Roman"/>
          <w:color w:val="000000"/>
          <w:sz w:val="20"/>
        </w:rPr>
        <w:t xml:space="preserve"> </w:t>
      </w:r>
      <w:r>
        <w:rPr>
          <w:rFonts w:ascii="Arial" w:hAnsi="Arial"/>
          <w:color w:val="000000"/>
          <w:sz w:val="19"/>
        </w:rPr>
        <w:t>shares available for grants under the 2015 Plan and the 2015 Plan continues to govern the terms and conditions of the outstanding awards under the 2015 Plan.</w:t>
      </w:r>
    </w:p>
    <w:p>
      <w:pPr>
        <w:pStyle w:val="TextBody"/>
        <w:bidi w:val="0"/>
        <w:spacing w:before="120" w:after="283"/>
        <w:jc w:val="left"/>
        <w:rPr>
          <w:rFonts w:ascii="Times New Roman" w:hAnsi="Times New Roman"/>
          <w:sz w:val="20"/>
        </w:rPr>
      </w:pPr>
      <w:r>
        <w:rPr>
          <w:rFonts w:ascii="Arial" w:hAnsi="Arial"/>
          <w:color w:val="000000"/>
          <w:sz w:val="19"/>
        </w:rPr>
        <w:t>On July 14, 2021, the Company’s 2021 Equity Incentive Plan (the 2021 Plan) was approved by the Company’s stockholders, and became effective upon completion of the IPO and serves as the successor to the 2015 Plan. 10,756,784</w:t>
      </w:r>
      <w:r>
        <w:rPr>
          <w:rFonts w:ascii="Times New Roman" w:hAnsi="Times New Roman"/>
          <w:color w:val="000000"/>
          <w:sz w:val="20"/>
        </w:rPr>
        <w:t xml:space="preserve"> </w:t>
      </w:r>
      <w:r>
        <w:rPr>
          <w:rFonts w:ascii="Arial" w:hAnsi="Arial"/>
          <w:color w:val="000000"/>
          <w:sz w:val="19"/>
        </w:rPr>
        <w:t>shares of common stock are reserved under the 2021 Plan, of which 1,438,688</w:t>
      </w:r>
      <w:r>
        <w:rPr>
          <w:rFonts w:ascii="Times New Roman" w:hAnsi="Times New Roman"/>
          <w:color w:val="000000"/>
          <w:sz w:val="20"/>
        </w:rPr>
        <w:t xml:space="preserve"> </w:t>
      </w:r>
      <w:r>
        <w:rPr>
          <w:rFonts w:ascii="Arial" w:hAnsi="Arial"/>
          <w:color w:val="000000"/>
          <w:sz w:val="19"/>
        </w:rPr>
        <w:t>shares remain available for future grants as of June 30, 2026.</w:t>
      </w:r>
    </w:p>
    <w:p>
      <w:pPr>
        <w:pStyle w:val="TextBody"/>
        <w:bidi w:val="0"/>
        <w:spacing w:before="120" w:after="283"/>
        <w:jc w:val="left"/>
        <w:rPr>
          <w:rFonts w:ascii="Arial" w:hAnsi="Arial"/>
          <w:b/>
          <w:i/>
          <w:color w:val="000000"/>
          <w:sz w:val="20"/>
        </w:rPr>
      </w:pPr>
      <w:r>
        <w:rPr>
          <w:rFonts w:ascii="Arial" w:hAnsi="Arial"/>
          <w:b/>
          <w:i/>
          <w:color w:val="000000"/>
          <w:sz w:val="20"/>
        </w:rPr>
        <w:t>Equity Inducement Plan</w:t>
      </w:r>
    </w:p>
    <w:p>
      <w:pPr>
        <w:pStyle w:val="TextBody"/>
        <w:bidi w:val="0"/>
        <w:spacing w:before="120" w:after="283"/>
        <w:jc w:val="left"/>
        <w:rPr>
          <w:rFonts w:ascii="Times New Roman" w:hAnsi="Times New Roman"/>
          <w:sz w:val="20"/>
        </w:rPr>
      </w:pPr>
      <w:r>
        <w:rPr>
          <w:rFonts w:ascii="Arial" w:hAnsi="Arial"/>
          <w:color w:val="000000"/>
          <w:sz w:val="19"/>
        </w:rPr>
        <w:t>On December 24, 2025, the Company's board of directors approved the Company's 2025 Inducement Plan (the 2025 Inducement Plan) which permits the granting of non-qualified stock options, stock appreciation rights, restricted stock awards, restricted stock units, and other stock-based awards to employees as an inducement pursuant to Listing Rule 5635(c)(4) of the corporate governance rules of the Nasdaq Stock Market, LLC. The 2025 Inducement Plan became effective upon approval. The 2025 Inducement Plan provides for an overall share limit of 1,000,000</w:t>
      </w:r>
      <w:r>
        <w:rPr>
          <w:rFonts w:ascii="Times New Roman" w:hAnsi="Times New Roman"/>
          <w:color w:val="000000"/>
          <w:sz w:val="20"/>
        </w:rPr>
        <w:t xml:space="preserve"> </w:t>
      </w:r>
      <w:r>
        <w:rPr>
          <w:rFonts w:ascii="Arial" w:hAnsi="Arial"/>
          <w:color w:val="000000"/>
          <w:sz w:val="19"/>
        </w:rPr>
        <w:t>shares of common stock. As of June 30, 2026, 786,000</w:t>
      </w:r>
      <w:r>
        <w:rPr>
          <w:rFonts w:ascii="Times New Roman" w:hAnsi="Times New Roman"/>
          <w:color w:val="000000"/>
          <w:sz w:val="20"/>
        </w:rPr>
        <w:t xml:space="preserve"> </w:t>
      </w:r>
      <w:r>
        <w:rPr>
          <w:rFonts w:ascii="Arial" w:hAnsi="Arial"/>
          <w:color w:val="000000"/>
          <w:sz w:val="19"/>
        </w:rPr>
        <w:t>shares remain available for future grants under the 2025 Inducement Plan.</w:t>
      </w:r>
    </w:p>
    <w:p>
      <w:pPr>
        <w:pStyle w:val="TextBody"/>
        <w:bidi w:val="0"/>
        <w:spacing w:before="160" w:after="283"/>
        <w:jc w:val="left"/>
        <w:rPr>
          <w:rFonts w:ascii="Arial" w:hAnsi="Arial"/>
          <w:b/>
          <w:i/>
          <w:color w:val="000000"/>
          <w:sz w:val="19"/>
        </w:rPr>
      </w:pPr>
      <w:r>
        <w:rPr>
          <w:rFonts w:ascii="Arial" w:hAnsi="Arial"/>
          <w:b/>
          <w:i/>
          <w:color w:val="000000"/>
          <w:sz w:val="19"/>
        </w:rPr>
        <w:t>Stock Options</w:t>
      </w:r>
    </w:p>
    <w:p>
      <w:pPr>
        <w:pStyle w:val="TextBody"/>
        <w:bidi w:val="0"/>
        <w:spacing w:before="120" w:after="283"/>
        <w:jc w:val="left"/>
        <w:rPr>
          <w:rFonts w:ascii="Arial" w:hAnsi="Arial"/>
          <w:color w:val="000000"/>
          <w:sz w:val="19"/>
        </w:rPr>
      </w:pPr>
      <w:r>
        <w:rPr>
          <w:rFonts w:ascii="Arial" w:hAnsi="Arial"/>
          <w:color w:val="000000"/>
          <w:sz w:val="19"/>
        </w:rPr>
        <w:t>Stock option activity is summarized as follows:</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tbl>
      <w:tblPr>
        <w:tblW w:w="9800" w:type="dxa"/>
        <w:jc w:val="left"/>
        <w:tblInd w:w="0" w:type="dxa"/>
        <w:tblLayout w:type="fixed"/>
        <w:tblCellMar>
          <w:top w:w="28" w:type="dxa"/>
          <w:left w:w="28" w:type="dxa"/>
          <w:bottom w:w="28" w:type="dxa"/>
          <w:right w:w="28" w:type="dxa"/>
        </w:tblCellMar>
      </w:tblPr>
      <w:tblGrid>
        <w:gridCol w:w="3421"/>
        <w:gridCol w:w="146"/>
        <w:gridCol w:w="146"/>
        <w:gridCol w:w="964"/>
        <w:gridCol w:w="166"/>
        <w:gridCol w:w="146"/>
        <w:gridCol w:w="320"/>
        <w:gridCol w:w="731"/>
        <w:gridCol w:w="146"/>
        <w:gridCol w:w="146"/>
        <w:gridCol w:w="349"/>
        <w:gridCol w:w="1151"/>
        <w:gridCol w:w="146"/>
        <w:gridCol w:w="146"/>
        <w:gridCol w:w="347"/>
        <w:gridCol w:w="1138"/>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STOCK</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6,246,920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2,652,270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 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8,790,473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4,804,318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3,986,155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19"/>
        </w:rPr>
        <w:t>The 2015 Plan permits participants to use common stock they previously acquired to pay for the exercise of stock options based upon the fair value on the date of exercise. In connection with the exercise of stock options to purchase 306,518</w:t>
      </w:r>
      <w:r>
        <w:rPr>
          <w:rFonts w:ascii="Times New Roman" w:hAnsi="Times New Roman"/>
          <w:color w:val="000000"/>
          <w:sz w:val="20"/>
        </w:rPr>
        <w:t xml:space="preserve"> </w:t>
      </w:r>
      <w:r>
        <w:rPr>
          <w:rFonts w:ascii="Arial" w:hAnsi="Arial"/>
          <w:color w:val="000000"/>
          <w:sz w:val="19"/>
        </w:rPr>
        <w:t>shares of our common stock at an exercise price of $1.46</w:t>
      </w:r>
      <w:r>
        <w:rPr>
          <w:rFonts w:ascii="Times New Roman" w:hAnsi="Times New Roman"/>
          <w:color w:val="000000"/>
          <w:sz w:val="20"/>
        </w:rPr>
        <w:t xml:space="preserve"> </w:t>
      </w:r>
      <w:r>
        <w:rPr>
          <w:rFonts w:ascii="Arial" w:hAnsi="Arial"/>
          <w:color w:val="000000"/>
          <w:sz w:val="19"/>
        </w:rPr>
        <w:t>in 2022, option holders tendered 122,608</w:t>
      </w:r>
      <w:r>
        <w:rPr>
          <w:rFonts w:ascii="Times New Roman" w:hAnsi="Times New Roman"/>
          <w:color w:val="000000"/>
          <w:sz w:val="20"/>
        </w:rPr>
        <w:t xml:space="preserve"> </w:t>
      </w:r>
      <w:r>
        <w:rPr>
          <w:rFonts w:ascii="Arial" w:hAnsi="Arial"/>
          <w:color w:val="000000"/>
          <w:sz w:val="19"/>
        </w:rPr>
        <w:t>shares of our common stock previously acquired in consideration of the full aggregate exercise price in accordance with the terms of the option and the 2015 Plan. The shares tendered are recorded as treasury stock within the Company’s condensed consolidated financial statements at June 30, 2026.</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fair value of stock options granted was estimated on the grant date using the Black-Scholes option pricing model based on the following range of assumptions:</w:t>
      </w:r>
      <w:r>
        <w:rPr>
          <w:rFonts w:ascii="Times New Roman" w:hAnsi="Times New Roman"/>
          <w:color w:val="000000"/>
          <w:sz w:val="20"/>
        </w:rPr>
        <w:t xml:space="preserve"> </w:t>
      </w:r>
    </w:p>
    <w:tbl>
      <w:tblPr>
        <w:tblW w:w="7268" w:type="dxa"/>
        <w:jc w:val="left"/>
        <w:tblInd w:w="0" w:type="dxa"/>
        <w:tblLayout w:type="fixed"/>
        <w:tblCellMar>
          <w:top w:w="28" w:type="dxa"/>
          <w:left w:w="28" w:type="dxa"/>
          <w:bottom w:w="28" w:type="dxa"/>
          <w:right w:w="28" w:type="dxa"/>
        </w:tblCellMar>
      </w:tblPr>
      <w:tblGrid>
        <w:gridCol w:w="2506"/>
        <w:gridCol w:w="146"/>
        <w:gridCol w:w="860"/>
        <w:gridCol w:w="955"/>
        <w:gridCol w:w="434"/>
        <w:gridCol w:w="221"/>
        <w:gridCol w:w="860"/>
        <w:gridCol w:w="955"/>
        <w:gridCol w:w="33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option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5.00</w:t>
            </w:r>
            <w:r>
              <w:rPr>
                <w:rFonts w:ascii="Times New Roman" w:hAnsi="Times New Roman"/>
                <w:color w:val="000000"/>
                <w:sz w:val="20"/>
              </w:rPr>
              <w:t> </w:t>
            </w:r>
            <w:r>
              <w:rPr>
                <w:rFonts w:ascii="Arial" w:hAnsi="Arial"/>
                <w:color w:val="000000"/>
                <w:sz w:val="20"/>
              </w:rPr>
              <w:t>- 6.08</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5.50</w:t>
            </w:r>
            <w:r>
              <w:rPr>
                <w:rFonts w:ascii="Times New Roman" w:hAnsi="Times New Roman"/>
                <w:color w:val="000000"/>
                <w:sz w:val="20"/>
              </w:rPr>
              <w:t> </w:t>
            </w:r>
            <w:r>
              <w:rPr>
                <w:rFonts w:ascii="Arial" w:hAnsi="Arial"/>
                <w:color w:val="000000"/>
                <w:sz w:val="20"/>
              </w:rPr>
              <w:t>- 6.08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 - 4.30%</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 - 4.52%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117.24% - 120.71%</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118.46% - 121.09%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9"/>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total intrinsic value of stock options exercised during the six months ended June 30, 2026 and 2025 was $0.3</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and $0.6</w:t>
      </w:r>
      <w:r>
        <w:rPr>
          <w:rFonts w:ascii="Times New Roman" w:hAnsi="Times New Roman"/>
          <w:color w:val="000000"/>
          <w:sz w:val="20"/>
        </w:rPr>
        <w:t xml:space="preserve"> </w:t>
      </w:r>
      <w:r>
        <w:rPr>
          <w:rFonts w:ascii="Arial" w:hAnsi="Arial"/>
          <w:color w:val="000000"/>
          <w:sz w:val="19"/>
        </w:rPr>
        <w:t>million, respectively.</w:t>
      </w:r>
    </w:p>
    <w:p>
      <w:pPr>
        <w:pStyle w:val="TextBody"/>
        <w:bidi w:val="0"/>
        <w:spacing w:before="160" w:after="283"/>
        <w:jc w:val="left"/>
        <w:rPr>
          <w:rFonts w:ascii="Arial" w:hAnsi="Arial"/>
          <w:b/>
          <w:i/>
          <w:color w:val="000000"/>
          <w:sz w:val="20"/>
        </w:rPr>
      </w:pPr>
      <w:r>
        <w:rPr>
          <w:rFonts w:ascii="Arial" w:hAnsi="Arial"/>
          <w:b/>
          <w:i/>
          <w:color w:val="000000"/>
          <w:sz w:val="20"/>
        </w:rPr>
        <w:t>Restricted and Performance Stock Units</w:t>
      </w:r>
    </w:p>
    <w:p>
      <w:pPr>
        <w:pStyle w:val="TextBody"/>
        <w:bidi w:val="0"/>
        <w:spacing w:before="120" w:after="283"/>
        <w:jc w:val="left"/>
        <w:rPr>
          <w:rFonts w:ascii="Times New Roman" w:hAnsi="Times New Roman"/>
          <w:sz w:val="20"/>
        </w:rPr>
      </w:pPr>
      <w:r>
        <w:rPr>
          <w:rFonts w:ascii="Arial" w:hAnsi="Arial"/>
          <w:color w:val="000000"/>
          <w:sz w:val="19"/>
        </w:rPr>
        <w:t>Under</w:t>
      </w:r>
      <w:r>
        <w:rPr>
          <w:rFonts w:ascii="Times New Roman" w:hAnsi="Times New Roman"/>
          <w:color w:val="000000"/>
          <w:sz w:val="20"/>
        </w:rPr>
        <w:t xml:space="preserve"> </w:t>
      </w:r>
      <w:r>
        <w:rPr>
          <w:rFonts w:ascii="Arial" w:hAnsi="Arial"/>
          <w:color w:val="000000"/>
          <w:sz w:val="19"/>
        </w:rPr>
        <w:t>the terms of the restricted stock unit (RSU) agreements covering the common stock, shares of common stock related to restricted stock units are subject to time-based vesting. The RSU will immediately be forfeited to the Company if the relationship between the recipient and the Company ceases.</w:t>
      </w:r>
    </w:p>
    <w:p>
      <w:pPr>
        <w:pStyle w:val="TextBody"/>
        <w:bidi w:val="0"/>
        <w:spacing w:before="120" w:after="283"/>
        <w:jc w:val="left"/>
        <w:rPr>
          <w:rFonts w:ascii="Times New Roman" w:hAnsi="Times New Roman"/>
          <w:sz w:val="20"/>
        </w:rPr>
      </w:pPr>
      <w:r>
        <w:rPr>
          <w:rFonts w:ascii="Arial" w:hAnsi="Arial"/>
          <w:color w:val="000000"/>
          <w:sz w:val="19"/>
        </w:rPr>
        <w:t>The aggregate fair value of RSUs that vested during the six months ended June 30, 2026 and 2025</w:t>
      </w:r>
      <w:r>
        <w:rPr>
          <w:rFonts w:ascii="Times New Roman" w:hAnsi="Times New Roman"/>
          <w:color w:val="000000"/>
          <w:sz w:val="20"/>
        </w:rPr>
        <w:t xml:space="preserve"> </w:t>
      </w:r>
      <w:r>
        <w:rPr>
          <w:rFonts w:ascii="Arial" w:hAnsi="Arial"/>
          <w:color w:val="000000"/>
          <w:sz w:val="19"/>
        </w:rPr>
        <w:t>was zero</w:t>
      </w:r>
      <w:r>
        <w:rPr>
          <w:rFonts w:ascii="Times New Roman" w:hAnsi="Times New Roman"/>
          <w:color w:val="000000"/>
          <w:sz w:val="20"/>
        </w:rPr>
        <w:t xml:space="preserve"> </w:t>
      </w:r>
      <w:r>
        <w:rPr>
          <w:rFonts w:ascii="Arial" w:hAnsi="Arial"/>
          <w:color w:val="000000"/>
          <w:sz w:val="19"/>
        </w:rPr>
        <w:t>and $1.7</w:t>
      </w:r>
      <w:r>
        <w:rPr>
          <w:rFonts w:ascii="Times New Roman" w:hAnsi="Times New Roman"/>
          <w:color w:val="000000"/>
          <w:sz w:val="20"/>
        </w:rPr>
        <w:t xml:space="preserve"> </w:t>
      </w:r>
      <w:r>
        <w:rPr>
          <w:rFonts w:ascii="Arial" w:hAnsi="Arial"/>
          <w:color w:val="000000"/>
          <w:sz w:val="19"/>
        </w:rPr>
        <w:t>million, respectively. As of June 30, 2026, there are no</w:t>
      </w:r>
      <w:r>
        <w:rPr>
          <w:rFonts w:ascii="Times New Roman" w:hAnsi="Times New Roman"/>
          <w:color w:val="000000"/>
          <w:sz w:val="20"/>
        </w:rPr>
        <w:t xml:space="preserve"> </w:t>
      </w:r>
      <w:r>
        <w:rPr>
          <w:rFonts w:ascii="Arial" w:hAnsi="Arial"/>
          <w:color w:val="000000"/>
          <w:sz w:val="19"/>
        </w:rPr>
        <w:t>unvested or outstanding RSUs.</w:t>
      </w:r>
    </w:p>
    <w:p>
      <w:pPr>
        <w:pStyle w:val="TextBody"/>
        <w:bidi w:val="0"/>
        <w:spacing w:before="80" w:after="283"/>
        <w:jc w:val="left"/>
        <w:rPr>
          <w:rFonts w:ascii="Arial" w:hAnsi="Arial"/>
          <w:color w:val="000000"/>
          <w:sz w:val="19"/>
        </w:rPr>
      </w:pPr>
      <w:r>
        <w:rPr>
          <w:rFonts w:ascii="Arial" w:hAnsi="Arial"/>
          <w:color w:val="000000"/>
          <w:sz w:val="19"/>
        </w:rPr>
        <w:t>A summary of the Company's performance stock unit (PSU) activity and related information is summarized as follows:</w:t>
      </w:r>
    </w:p>
    <w:p>
      <w:pPr>
        <w:pStyle w:val="TextBody"/>
        <w:bidi w:val="0"/>
        <w:jc w:val="left"/>
        <w:rPr/>
      </w:pPr>
      <w:r>
        <w:rPr/>
        <w:t> </w:t>
      </w:r>
    </w:p>
    <w:tbl>
      <w:tblPr>
        <w:tblW w:w="6740" w:type="dxa"/>
        <w:jc w:val="left"/>
        <w:tblInd w:w="0" w:type="dxa"/>
        <w:tblLayout w:type="fixed"/>
        <w:tblCellMar>
          <w:top w:w="28" w:type="dxa"/>
          <w:left w:w="28" w:type="dxa"/>
          <w:bottom w:w="28" w:type="dxa"/>
          <w:right w:w="28" w:type="dxa"/>
        </w:tblCellMar>
      </w:tblPr>
      <w:tblGrid>
        <w:gridCol w:w="2926"/>
        <w:gridCol w:w="146"/>
        <w:gridCol w:w="244"/>
        <w:gridCol w:w="1331"/>
        <w:gridCol w:w="166"/>
        <w:gridCol w:w="146"/>
        <w:gridCol w:w="484"/>
        <w:gridCol w:w="1106"/>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 GRANT</w:t>
              <w:br/>
              <w: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295,482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sz w:val="20"/>
        </w:rPr>
      </w:pPr>
      <w:r>
        <w:rPr>
          <w:rFonts w:ascii="Arial" w:hAnsi="Arial"/>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Stock-based compensation expense for the three and six months ended June 30, 2026 and 2025 was classified in the condensed consolidated statements of operations and comprehensive income (loss) as follows (in thousands):</w:t>
      </w:r>
      <w:r>
        <w:rPr>
          <w:rFonts w:ascii="Times New Roman" w:hAnsi="Times New Roman"/>
          <w:color w:val="000000"/>
          <w:sz w:val="20"/>
        </w:rPr>
        <w:t xml:space="preserve"> </w:t>
      </w:r>
    </w:p>
    <w:p>
      <w:pPr>
        <w:pStyle w:val="TextBody"/>
        <w:bidi w:val="0"/>
        <w:jc w:val="left"/>
        <w:rPr/>
      </w:pPr>
      <w:r>
        <w:rPr/>
        <w:t> </w:t>
      </w:r>
    </w:p>
    <w:tbl>
      <w:tblPr>
        <w:tblW w:w="8304" w:type="dxa"/>
        <w:jc w:val="left"/>
        <w:tblInd w:w="0" w:type="dxa"/>
        <w:tblLayout w:type="fixed"/>
        <w:tblCellMar>
          <w:top w:w="28" w:type="dxa"/>
          <w:left w:w="28" w:type="dxa"/>
          <w:bottom w:w="28" w:type="dxa"/>
          <w:right w:w="28" w:type="dxa"/>
        </w:tblCellMar>
      </w:tblPr>
      <w:tblGrid>
        <w:gridCol w:w="3751"/>
        <w:gridCol w:w="146"/>
        <w:gridCol w:w="228"/>
        <w:gridCol w:w="634"/>
        <w:gridCol w:w="157"/>
        <w:gridCol w:w="157"/>
        <w:gridCol w:w="228"/>
        <w:gridCol w:w="634"/>
        <w:gridCol w:w="146"/>
        <w:gridCol w:w="146"/>
        <w:gridCol w:w="211"/>
        <w:gridCol w:w="586"/>
        <w:gridCol w:w="146"/>
        <w:gridCol w:w="146"/>
        <w:gridCol w:w="211"/>
        <w:gridCol w:w="586"/>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1,042</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2,858</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9"/>
        </w:rPr>
        <w:t>As of June 30, 2026, total unrecognized compensation cost related to the unvested stock-based awards was $22.3</w:t>
      </w:r>
      <w:r>
        <w:rPr>
          <w:rFonts w:ascii="Times New Roman" w:hAnsi="Times New Roman"/>
          <w:color w:val="000000"/>
          <w:sz w:val="20"/>
        </w:rPr>
        <w:t xml:space="preserve"> </w:t>
      </w:r>
      <w:r>
        <w:rPr>
          <w:rFonts w:ascii="Arial" w:hAnsi="Arial"/>
          <w:color w:val="000000"/>
          <w:sz w:val="19"/>
        </w:rPr>
        <w:t>million, including $0.4</w:t>
      </w:r>
      <w:r>
        <w:rPr>
          <w:rFonts w:ascii="Times New Roman" w:hAnsi="Times New Roman"/>
          <w:color w:val="000000"/>
          <w:sz w:val="20"/>
        </w:rPr>
        <w:t xml:space="preserve"> </w:t>
      </w:r>
      <w:r>
        <w:rPr>
          <w:rFonts w:ascii="Arial" w:hAnsi="Arial"/>
          <w:color w:val="000000"/>
          <w:sz w:val="19"/>
        </w:rPr>
        <w:t>million</w:t>
      </w:r>
      <w:r>
        <w:rPr>
          <w:rFonts w:ascii="Times New Roman" w:hAnsi="Times New Roman"/>
          <w:color w:val="000000"/>
          <w:sz w:val="20"/>
        </w:rPr>
        <w:t xml:space="preserve"> </w:t>
      </w:r>
      <w:r>
        <w:rPr>
          <w:rFonts w:ascii="Arial" w:hAnsi="Arial"/>
          <w:color w:val="000000"/>
          <w:sz w:val="19"/>
        </w:rPr>
        <w:t>related to PSUs, which is expected to be recognized over a weighted average period of 2.88</w:t>
      </w:r>
      <w:r>
        <w:rPr>
          <w:rFonts w:ascii="Times New Roman" w:hAnsi="Times New Roman"/>
          <w:color w:val="000000"/>
          <w:sz w:val="20"/>
        </w:rPr>
        <w:t xml:space="preserve"> </w:t>
      </w:r>
      <w:r>
        <w:rPr>
          <w:rFonts w:ascii="Arial" w:hAnsi="Arial"/>
          <w:color w:val="000000"/>
          <w:sz w:val="19"/>
        </w:rPr>
        <w:t>years.</w:t>
      </w:r>
    </w:p>
    <w:p>
      <w:pPr>
        <w:pStyle w:val="TextBody"/>
        <w:bidi w:val="0"/>
        <w:spacing w:before="160" w:after="283"/>
        <w:jc w:val="left"/>
        <w:rPr>
          <w:rFonts w:ascii="Times New Roman" w:hAnsi="Times New Roman"/>
          <w:sz w:val="20"/>
        </w:rPr>
      </w:pPr>
      <w:r>
        <w:rPr>
          <w:rFonts w:ascii="Arial" w:hAnsi="Arial"/>
          <w:b/>
          <w:color w:val="000000"/>
          <w:sz w:val="20"/>
        </w:rPr>
        <w:t>12. Exclusive Licensing Agreement with a Related Party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In March 2014, the Company entered into an exclusive licensing agreement with Ventagen, LLC (Ventagen) which provides Ventagen the right to develop products for commercial sale and distribution within Mexico, Belize, Guatemala, Honduras, El Salvador, Costa Rica, Nicaragua, Panama, Colombia, and Bolivia (the Territory). Ventagen paid the Company $1.0</w:t>
      </w:r>
      <w:r>
        <w:rPr>
          <w:rFonts w:ascii="Times New Roman" w:hAnsi="Times New Roman"/>
          <w:color w:val="000000"/>
          <w:sz w:val="20"/>
        </w:rPr>
        <w:t xml:space="preserve"> </w:t>
      </w:r>
      <w:r>
        <w:rPr>
          <w:rFonts w:ascii="Arial" w:hAnsi="Arial"/>
          <w:color w:val="000000"/>
          <w:sz w:val="19"/>
        </w:rPr>
        <w:t>million upon the signing of the agreement and agreed to a fixed future payment to the Company of $2.5</w:t>
      </w:r>
      <w:r>
        <w:rPr>
          <w:rFonts w:ascii="Times New Roman" w:hAnsi="Times New Roman"/>
          <w:color w:val="000000"/>
          <w:sz w:val="20"/>
        </w:rPr>
        <w:t xml:space="preserve"> </w:t>
      </w:r>
      <w:r>
        <w:rPr>
          <w:rFonts w:ascii="Arial" w:hAnsi="Arial"/>
          <w:color w:val="000000"/>
          <w:sz w:val="19"/>
        </w:rPr>
        <w:t>million. The future payment will be made upon the achievement of $5.0</w:t>
      </w:r>
      <w:r>
        <w:rPr>
          <w:rFonts w:ascii="Times New Roman" w:hAnsi="Times New Roman"/>
          <w:color w:val="000000"/>
          <w:sz w:val="20"/>
        </w:rPr>
        <w:t xml:space="preserve"> </w:t>
      </w:r>
      <w:r>
        <w:rPr>
          <w:rFonts w:ascii="Arial" w:hAnsi="Arial"/>
          <w:color w:val="000000"/>
          <w:sz w:val="19"/>
        </w:rPr>
        <w:t>million of sales of an approved product by Ventagen and is subject to reduction if Ventagen’s costs to develop an approved product exceeds $4.0</w:t>
      </w:r>
      <w:r>
        <w:rPr>
          <w:rFonts w:ascii="Times New Roman" w:hAnsi="Times New Roman"/>
          <w:color w:val="000000"/>
          <w:sz w:val="20"/>
        </w:rPr>
        <w:t xml:space="preserve"> </w:t>
      </w:r>
      <w:r>
        <w:rPr>
          <w:rFonts w:ascii="Arial" w:hAnsi="Arial"/>
          <w:color w:val="000000"/>
          <w:sz w:val="19"/>
        </w:rPr>
        <w:t>million. In addition to the upfront payment and the future payment, Ventagen agreed to purchase from the Company all manufactured product that is required for clinical or commercial purposes at a price of cost plus 25% of the wholesale price of the approved product, subject to a minimum or maximum price. In the event the Company is unable or unwilling to manufacture supply under the terms of the agreement, Ventagen has the right to manufacture its own supply and will be required to pay a fixed fee per dose sold. The Company also agreed to provide certain services to Ventagen related to Ventagen’s development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Company recognized the $1.0</w:t>
      </w:r>
      <w:r>
        <w:rPr>
          <w:rFonts w:ascii="Times New Roman" w:hAnsi="Times New Roman"/>
          <w:color w:val="000000"/>
          <w:sz w:val="20"/>
        </w:rPr>
        <w:t xml:space="preserve"> </w:t>
      </w:r>
      <w:r>
        <w:rPr>
          <w:rFonts w:ascii="Arial" w:hAnsi="Arial"/>
          <w:color w:val="000000"/>
          <w:sz w:val="19"/>
        </w:rPr>
        <w:t>million upfront license fee as research and development service revenue as of December 31, 2022.</w:t>
      </w:r>
    </w:p>
    <w:p>
      <w:pPr>
        <w:pStyle w:val="TextBody"/>
        <w:bidi w:val="0"/>
        <w:spacing w:before="160" w:after="283"/>
        <w:jc w:val="left"/>
        <w:rPr>
          <w:rFonts w:ascii="Times New Roman" w:hAnsi="Times New Roman"/>
          <w:sz w:val="20"/>
        </w:rPr>
      </w:pPr>
      <w:r>
        <w:rPr>
          <w:rFonts w:ascii="Arial" w:hAnsi="Arial"/>
          <w:b/>
          <w:color w:val="000000"/>
          <w:sz w:val="20"/>
        </w:rPr>
        <w:t>13. Technology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On January 20, 2018 the Company entered into an exclusive option agreement (Option Agreement) with MGB. Pursuant to the Option Agreement, the Company has obtained the exclusive right from MGB to negotiate an exclusive license to make, develop and commercialize rQNestin, a genetically modified oncolytic herpes simplex virus for the treatment of certain types of cancers. Pursuant to the Option Agreement, the Company will support a clinical trial to be conducted at MGB pursuant to the terms of a clinical trial agreement to be negotiated and the Company has committed to remitting $0.8</w:t>
      </w:r>
      <w:r>
        <w:rPr>
          <w:rFonts w:ascii="Times New Roman" w:hAnsi="Times New Roman"/>
          <w:color w:val="000000"/>
          <w:sz w:val="20"/>
        </w:rPr>
        <w:t xml:space="preserve"> </w:t>
      </w:r>
      <w:r>
        <w:rPr>
          <w:rFonts w:ascii="Arial" w:hAnsi="Arial"/>
          <w:color w:val="000000"/>
          <w:sz w:val="19"/>
        </w:rPr>
        <w:t>million in support of such clinical trial over the course of approximately three years. Upon execution of the Option Agreement, the Company remitted a non-refundable fee of $40,000</w:t>
      </w:r>
      <w:r>
        <w:rPr>
          <w:rFonts w:ascii="Times New Roman" w:hAnsi="Times New Roman"/>
          <w:color w:val="000000"/>
          <w:sz w:val="20"/>
        </w:rPr>
        <w:t xml:space="preserve"> </w:t>
      </w:r>
      <w:r>
        <w:rPr>
          <w:rFonts w:ascii="Arial" w:hAnsi="Arial"/>
          <w:color w:val="000000"/>
          <w:sz w:val="19"/>
        </w:rPr>
        <w:t>to MGB to be applied toward the Company’s on-going obligations to reimburse patent expenses.</w:t>
      </w:r>
      <w:r>
        <w:rPr>
          <w:rFonts w:ascii="Times New Roman" w:hAnsi="Times New Roman"/>
          <w:color w:val="000000"/>
          <w:sz w:val="20"/>
        </w:rPr>
        <w:t xml:space="preserve"> </w:t>
      </w:r>
      <w:r>
        <w:rPr>
          <w:rFonts w:ascii="Arial" w:hAnsi="Arial"/>
          <w:color w:val="000000"/>
          <w:sz w:val="19"/>
        </w:rPr>
        <w:t>During each of the six months ended June 30, 2026 and 2025, the Company did not expense any startup and patient fees for clinical trials performed by MGB.</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On September 15, 2020, the Company exercised the Option Agreement with MGB and entered into an exclusive worldwide patent license agreement with MGB (the MGB License). In connection with the MGB License, the Company paid a fee of $0.1</w:t>
      </w:r>
      <w:r>
        <w:rPr>
          <w:rFonts w:ascii="Times New Roman" w:hAnsi="Times New Roman"/>
          <w:color w:val="000000"/>
          <w:sz w:val="20"/>
        </w:rPr>
        <w:t xml:space="preserve"> </w:t>
      </w:r>
      <w:r>
        <w:rPr>
          <w:rFonts w:ascii="Arial" w:hAnsi="Arial"/>
          <w:color w:val="000000"/>
          <w:sz w:val="19"/>
        </w:rPr>
        <w:t>million and agreed to reimburse patent costs incurred by MGB, including $0.1</w:t>
      </w:r>
      <w:r>
        <w:rPr>
          <w:rFonts w:ascii="Times New Roman" w:hAnsi="Times New Roman"/>
          <w:color w:val="000000"/>
          <w:sz w:val="20"/>
        </w:rPr>
        <w:t xml:space="preserve"> </w:t>
      </w:r>
      <w:r>
        <w:rPr>
          <w:rFonts w:ascii="Arial" w:hAnsi="Arial"/>
          <w:color w:val="000000"/>
          <w:sz w:val="19"/>
        </w:rPr>
        <w:t>million paid at the time of entering into the MGB License. Prior to the first commercial sale, the Company is required to pay MGB an annual license fee of $50,000</w:t>
      </w:r>
      <w:r>
        <w:rPr>
          <w:rFonts w:ascii="Times New Roman" w:hAnsi="Times New Roman"/>
          <w:color w:val="000000"/>
          <w:sz w:val="20"/>
        </w:rPr>
        <w:t xml:space="preserve"> </w:t>
      </w:r>
      <w:r>
        <w:rPr>
          <w:rFonts w:ascii="Arial" w:hAnsi="Arial"/>
          <w:color w:val="000000"/>
          <w:sz w:val="19"/>
        </w:rPr>
        <w:t>beginning following the fourth anniversary of the effective date. The MGB License contains cumulative milestone payments equaling a maximum amount of $39.0</w:t>
      </w:r>
      <w:r>
        <w:rPr>
          <w:rFonts w:ascii="Times New Roman" w:hAnsi="Times New Roman"/>
          <w:color w:val="000000"/>
          <w:sz w:val="20"/>
        </w:rPr>
        <w:t xml:space="preserve"> </w:t>
      </w:r>
      <w:r>
        <w:rPr>
          <w:rFonts w:ascii="Arial" w:hAnsi="Arial"/>
          <w:color w:val="000000"/>
          <w:sz w:val="19"/>
        </w:rPr>
        <w:t>million upon the achievement of various clinical, commercial and sales milestones of both primary and secondary products. Following the first commercial sale, the Company is required to pay royalties to MGB, which are paid at an increasing rate as net sales increase, ranging from low single digits to high single digits. In addition, after the first commercial sale, the Company is required to pay MGB a pre-determined fixed annual minimum royalty, which amount may be credited against earned royalties starting in the fourth year following the first commercial sale. The Company also agreed to pay a single digit royalty rate on net sales of any derived products.</w:t>
      </w:r>
    </w:p>
    <w:p>
      <w:pPr>
        <w:pStyle w:val="TextBody"/>
        <w:bidi w:val="0"/>
        <w:spacing w:before="160" w:after="283"/>
        <w:jc w:val="left"/>
        <w:rPr>
          <w:rFonts w:ascii="Arial" w:hAnsi="Arial"/>
          <w:b/>
          <w:color w:val="000000"/>
          <w:sz w:val="20"/>
        </w:rPr>
      </w:pPr>
      <w:r>
        <w:rPr>
          <w:rFonts w:ascii="Arial" w:hAnsi="Arial"/>
          <w:b/>
          <w:color w:val="000000"/>
          <w:sz w:val="20"/>
        </w:rPr>
        <w:t>14. Purchase Agreement</w:t>
      </w:r>
    </w:p>
    <w:p>
      <w:pPr>
        <w:pStyle w:val="TextBody"/>
        <w:bidi w:val="0"/>
        <w:spacing w:before="120" w:after="283"/>
        <w:jc w:val="left"/>
        <w:rPr>
          <w:rFonts w:ascii="Times New Roman" w:hAnsi="Times New Roman"/>
          <w:sz w:val="20"/>
        </w:rPr>
      </w:pPr>
      <w:r>
        <w:rPr>
          <w:rFonts w:ascii="Arial" w:hAnsi="Arial"/>
          <w:color w:val="000000"/>
          <w:sz w:val="19"/>
        </w:rPr>
        <w:t>On February 19, 2026, the Company entered into a purchase and sale agreement (the RTW Purchase Agreement) with funds managed by RTW Investments, LP (RTW). Under the terms of the RTW Purchase Agreement, RTW has agreed to pay the Company $100</w:t>
      </w:r>
      <w:r>
        <w:rPr>
          <w:rFonts w:ascii="Times New Roman" w:hAnsi="Times New Roman"/>
          <w:color w:val="000000"/>
          <w:sz w:val="20"/>
        </w:rPr>
        <w:t xml:space="preserve"> </w:t>
      </w:r>
      <w:r>
        <w:rPr>
          <w:rFonts w:ascii="Arial" w:hAnsi="Arial"/>
          <w:color w:val="000000"/>
          <w:sz w:val="19"/>
        </w:rPr>
        <w:t>million (the RTW Purchase Price) upon the marketing approval of aglatimagene for the treatment of intermediate-risk and high-risk localized prostate cancer by the FDA in exchange for a tiered royalty on future net sales of aglatimagene in the United States. RTW will be entitled to a 4.67% royalty on the portion of annual net sales in the United States that is less than or equal to $1</w:t>
      </w:r>
      <w:r>
        <w:rPr>
          <w:rFonts w:ascii="Times New Roman" w:hAnsi="Times New Roman"/>
          <w:color w:val="000000"/>
          <w:sz w:val="20"/>
        </w:rPr>
        <w:t xml:space="preserve"> </w:t>
      </w:r>
      <w:r>
        <w:rPr>
          <w:rFonts w:ascii="Arial" w:hAnsi="Arial"/>
          <w:color w:val="000000"/>
          <w:sz w:val="19"/>
        </w:rPr>
        <w:t>billion, and a 1.33</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Arial" w:hAnsi="Arial"/>
          <w:color w:val="000000"/>
          <w:sz w:val="19"/>
        </w:rPr>
        <w:t>% royalty on the portion of annual net sales in the United States, exceeding $1</w:t>
      </w:r>
      <w:r>
        <w:rPr>
          <w:rFonts w:ascii="Times New Roman" w:hAnsi="Times New Roman"/>
          <w:color w:val="000000"/>
          <w:sz w:val="20"/>
        </w:rPr>
        <w:t xml:space="preserve"> </w:t>
      </w:r>
      <w:r>
        <w:rPr>
          <w:rFonts w:ascii="Arial" w:hAnsi="Arial"/>
          <w:color w:val="000000"/>
          <w:sz w:val="19"/>
        </w:rPr>
        <w:t>billion. The 4.67% tier will increase to 6.67% if annual net sales do not achieve certain specified levels (the Ratchet), subject to a cure opportunity by the Company (provided that such Ratchet and cure opportunity may each subsequently occur more than once).</w:t>
      </w:r>
    </w:p>
    <w:p>
      <w:pPr>
        <w:pStyle w:val="TextBody"/>
        <w:bidi w:val="0"/>
        <w:spacing w:before="120" w:after="120"/>
        <w:jc w:val="left"/>
        <w:rPr>
          <w:rFonts w:ascii="Times New Roman" w:hAnsi="Times New Roman"/>
          <w:sz w:val="20"/>
        </w:rPr>
      </w:pPr>
      <w:r>
        <w:rPr>
          <w:rFonts w:ascii="Arial" w:hAnsi="Arial"/>
          <w:color w:val="000000"/>
          <w:sz w:val="19"/>
        </w:rPr>
        <w:t>The royalty payments become payable following the first commercial sale of aglatimagene in the United States and end upon RTW’s receipt of $250</w:t>
      </w:r>
      <w:r>
        <w:rPr>
          <w:rFonts w:ascii="Times New Roman" w:hAnsi="Times New Roman"/>
          <w:color w:val="000000"/>
          <w:sz w:val="20"/>
        </w:rPr>
        <w:t xml:space="preserve"> </w:t>
      </w:r>
      <w:r>
        <w:rPr>
          <w:rFonts w:ascii="Arial" w:hAnsi="Arial"/>
          <w:color w:val="000000"/>
          <w:sz w:val="19"/>
        </w:rPr>
        <w:t>million in royalty payments (the RTW Royalty Cap). If the Company undergoes a change of control with, or sells aglatimagene and all of the aglatimagene rights to, a third party, the RTW Purchase Agreement provides the Company and RTW with an option for the Company to pay certain specified amounts to terminate the RTW Purchase Agreement, depending upon the timing for such transaction, up to the RTW Royalty Cap (the Buy-Out Option). If either party exercises the Buy-Out Option, the RTW Purchase Agreement will automatically terminate upon payment of the specified amount.</w:t>
      </w:r>
    </w:p>
    <w:p>
      <w:pPr>
        <w:pStyle w:val="TextBody"/>
        <w:bidi w:val="0"/>
        <w:spacing w:before="0" w:after="120"/>
        <w:jc w:val="left"/>
        <w:rPr>
          <w:rFonts w:ascii="Arial" w:hAnsi="Arial"/>
          <w:color w:val="000000"/>
          <w:sz w:val="19"/>
        </w:rPr>
      </w:pPr>
      <w:r>
        <w:rPr>
          <w:rFonts w:ascii="Arial" w:hAnsi="Arial"/>
          <w:color w:val="000000"/>
          <w:sz w:val="19"/>
        </w:rPr>
        <w:t>The transaction is subject to certain closing conditions, including that FDA approval must occur by a specified date, conditions related to our indebtedness and other customary closing conditions. The RTW Purchase Agreement also contains customary representations, warranties and indemnities on the part of the Company and RTW and customary covenants on the part of the Company, including around the Company's indebtedness as well as licensing and other activities related to aglatimagene and its rights.</w:t>
      </w:r>
    </w:p>
    <w:p>
      <w:pPr>
        <w:pStyle w:val="TextBody"/>
        <w:bidi w:val="0"/>
        <w:spacing w:before="40" w:after="283"/>
        <w:jc w:val="left"/>
        <w:rPr>
          <w:rFonts w:ascii="Times New Roman" w:hAnsi="Times New Roman"/>
          <w:sz w:val="20"/>
        </w:rPr>
      </w:pPr>
      <w:r>
        <w:rPr>
          <w:rFonts w:ascii="Arial" w:hAnsi="Arial"/>
          <w:b/>
          <w:color w:val="000000"/>
          <w:sz w:val="20"/>
        </w:rPr>
        <w:t>15. Commitments and Contingencies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i/>
          <w:color w:val="000000"/>
          <w:sz w:val="20"/>
        </w:rPr>
        <w:t>Guarantees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Company has identified the guarantees described below as disclosable, in accordance with ASC 460,</w:t>
      </w:r>
      <w:r>
        <w:rPr>
          <w:rFonts w:ascii="Times New Roman" w:hAnsi="Times New Roman"/>
          <w:color w:val="000000"/>
          <w:sz w:val="20"/>
        </w:rPr>
        <w:t xml:space="preserve"> </w:t>
      </w:r>
      <w:r>
        <w:rPr>
          <w:rFonts w:ascii="Arial" w:hAnsi="Arial"/>
          <w:i/>
          <w:color w:val="000000"/>
          <w:sz w:val="19"/>
        </w:rPr>
        <w:t>Guarantees</w:t>
      </w:r>
      <w:r>
        <w:rPr>
          <w:rFonts w:ascii="Arial" w:hAnsi="Arial"/>
          <w:color w:val="000000"/>
          <w:sz w:val="19"/>
        </w:rPr>
        <w: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Company leases office space under a noncancelable operating lease expiring in 2029. The Company has standard indemnification arrangements under this lease that require it to indemnify the landlord against all costs, expenses, fines, suits, claims, demands, liabilities, and actions directly resulting from any breach, violation, or nonperformance of any covenant or condition of the lease.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As of June 30, 2026,</w:t>
      </w:r>
      <w:r>
        <w:rPr>
          <w:rFonts w:ascii="Times New Roman" w:hAnsi="Times New Roman"/>
          <w:color w:val="000000"/>
          <w:sz w:val="20"/>
        </w:rPr>
        <w:t xml:space="preserve"> </w:t>
      </w:r>
      <w:r>
        <w:rPr>
          <w:rFonts w:ascii="Arial" w:hAnsi="Arial"/>
          <w:color w:val="000000"/>
          <w:sz w:val="19"/>
        </w:rPr>
        <w:t>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i/>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sz w:val="20"/>
        </w:rPr>
      </w:pPr>
      <w:r>
        <w:rPr>
          <w:rFonts w:ascii="Arial" w:hAnsi="Arial"/>
          <w:b/>
          <w:color w:val="000000"/>
          <w:sz w:val="20"/>
        </w:rPr>
        <w:t>16. Net Income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Net Income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Basic net income (loss) and diluted net loss per share attributable to common stockholders was computed by dividing net loss by the weighted-average common shares outstanding for the period (in thousands, except share and per share data). Diluted net income per share attributable to common stockholders was computed by dividing net income by the weighted-average common shares outstanding and potentially dilutive shares for the period (in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66"/>
        <w:gridCol w:w="166"/>
        <w:gridCol w:w="146"/>
        <w:gridCol w:w="211"/>
        <w:gridCol w:w="1066"/>
        <w:gridCol w:w="166"/>
        <w:gridCol w:w="146"/>
        <w:gridCol w:w="211"/>
        <w:gridCol w:w="1066"/>
        <w:gridCol w:w="166"/>
        <w:gridCol w:w="146"/>
        <w:gridCol w:w="211"/>
        <w:gridCol w:w="1066"/>
        <w:gridCol w:w="47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(38,905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2,583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Weighted-average shares of common stock</w:t>
              <w:br/>
              <w:t>   outstanding,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74,131,229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51,489,929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68,279,075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50,988,887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Net income (loss) per share,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0.05</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i/>
                <w:color w:val="000000"/>
                <w:sz w:val="19"/>
              </w:rPr>
            </w:pPr>
            <w:r>
              <w:rPr>
                <w:rFonts w:ascii="Arial" w:hAnsi="Arial"/>
                <w:i/>
                <w:color w:val="000000"/>
                <w:sz w:val="19"/>
              </w:rPr>
              <w:t>Add potentially dilutive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Dilutive effect of outstanding stock options (as converted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2,253,771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Dilutive effect of outstanding warrants for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126,924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Weighted-average shares of common stock</w:t>
              <w:br/>
              <w:t>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74,131,229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51,489,929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68,279,075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53,369,582</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Net income (loss)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0.05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19"/>
        </w:rPr>
      </w:pPr>
      <w:r>
        <w:rPr>
          <w:rFonts w:ascii="Arial" w:hAnsi="Arial"/>
          <w:color w:val="000000"/>
          <w:sz w:val="19"/>
        </w:rPr>
        <w:t>The Company’s potentially dilutive securities have been excluded from the computation of dilutive net loss per share for the three and six months ended June 30, 2026 and the three months ended June 30, 2025, as the effect would be to reduce the net loss per share. Therefore, the weighted-average number of shares of common stock outstanding used to calculate both basic and diluted net loss per share is the same.</w:t>
      </w:r>
    </w:p>
    <w:p>
      <w:pPr>
        <w:pStyle w:val="TextBody"/>
        <w:bidi w:val="0"/>
        <w:spacing w:before="120" w:after="120"/>
        <w:jc w:val="left"/>
        <w:rPr>
          <w:rFonts w:ascii="Times New Roman" w:hAnsi="Times New Roman"/>
          <w:sz w:val="20"/>
        </w:rPr>
      </w:pPr>
      <w:r>
        <w:rPr>
          <w:rFonts w:ascii="Arial" w:hAnsi="Arial"/>
          <w:color w:val="000000"/>
          <w:sz w:val="19"/>
        </w:rPr>
        <w:t>The Company excluded the following potential shares of common stock from the computation of diluted net loss per share because including them would have had an anti-dilutive effect.</w:t>
      </w:r>
      <w:r>
        <w:rPr>
          <w:rFonts w:ascii="Times New Roman" w:hAnsi="Times New Roman"/>
          <w:color w:val="000000"/>
          <w:sz w:val="20"/>
        </w:rPr>
        <w:t xml:space="preserve"> </w:t>
      </w:r>
    </w:p>
    <w:tbl>
      <w:tblPr>
        <w:tblW w:w="8334" w:type="dxa"/>
        <w:jc w:val="left"/>
        <w:tblInd w:w="0" w:type="dxa"/>
        <w:tblLayout w:type="fixed"/>
        <w:tblCellMar>
          <w:top w:w="28" w:type="dxa"/>
          <w:left w:w="28" w:type="dxa"/>
          <w:bottom w:w="28" w:type="dxa"/>
          <w:right w:w="28" w:type="dxa"/>
        </w:tblCellMar>
      </w:tblPr>
      <w:tblGrid>
        <w:gridCol w:w="5281"/>
        <w:gridCol w:w="146"/>
        <w:gridCol w:w="146"/>
        <w:gridCol w:w="1066"/>
        <w:gridCol w:w="146"/>
        <w:gridCol w:w="146"/>
        <w:gridCol w:w="146"/>
        <w:gridCol w:w="1066"/>
        <w:gridCol w:w="19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Outstanding warrants for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7,762,350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7,507,708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Outstanding stock options (as converted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8,790,473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6,135,068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Unvested 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295,482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16,848,305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13,642,776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Arial" w:hAnsi="Arial"/>
          <w:b/>
          <w:color w:val="000000"/>
          <w:sz w:val="20"/>
        </w:rPr>
      </w:pPr>
      <w:r>
        <w:rPr>
          <w:rFonts w:ascii="Arial" w:hAnsi="Arial"/>
          <w:b/>
          <w:color w:val="000000"/>
          <w:sz w:val="20"/>
        </w:rPr>
        <w:t>17. Segment Reporting</w:t>
      </w:r>
    </w:p>
    <w:p>
      <w:pPr>
        <w:pStyle w:val="TextBody"/>
        <w:bidi w:val="0"/>
        <w:spacing w:before="120" w:after="120"/>
        <w:jc w:val="left"/>
        <w:rPr>
          <w:rFonts w:ascii="Times New Roman" w:hAnsi="Times New Roman"/>
          <w:sz w:val="20"/>
        </w:rPr>
      </w:pPr>
      <w:r>
        <w:rPr>
          <w:rFonts w:ascii="Arial" w:hAnsi="Arial"/>
          <w:color w:val="000000"/>
          <w:sz w:val="19"/>
        </w:rPr>
        <w:t>The Company operates in one</w:t>
      </w:r>
      <w:r>
        <w:rPr>
          <w:rFonts w:ascii="Times New Roman" w:hAnsi="Times New Roman"/>
          <w:color w:val="000000"/>
          <w:sz w:val="20"/>
        </w:rPr>
        <w:t xml:space="preserve"> </w:t>
      </w:r>
      <w:r>
        <w:rPr>
          <w:rFonts w:ascii="Arial" w:hAnsi="Arial"/>
          <w:color w:val="000000"/>
          <w:sz w:val="19"/>
        </w:rPr>
        <w:t>business segment, which includes all activities related to the discovery, development, and potential commercialization of off-the-shelf viral immunotherapies that help patients fight cancer. The determination of a single business segment is consistent with the consolidated financial information regularly provided to the Company’s chief operating decision maker (CODM). The Company’s CODM is its Chief Executive Officer, who reviews and evaluates consolidated net income (loss) for purposes of assessing performance, making operating decisions, allocating resources, and planning and forecasting for future periods.</w:t>
      </w:r>
    </w:p>
    <w:p>
      <w:pPr>
        <w:pStyle w:val="TextBody"/>
        <w:bidi w:val="0"/>
        <w:spacing w:before="0" w:after="120"/>
        <w:jc w:val="left"/>
        <w:rPr>
          <w:rFonts w:ascii="Arial" w:hAnsi="Arial"/>
          <w:color w:val="000000"/>
          <w:sz w:val="19"/>
        </w:rPr>
      </w:pPr>
      <w:r>
        <w:rPr>
          <w:rFonts w:ascii="Arial" w:hAnsi="Arial"/>
          <w:color w:val="000000"/>
          <w:sz w:val="19"/>
        </w:rPr>
        <w:t>In addition to the significant expense categories included within consolidated net income (loss) presented on the Company's condensed consolidated statements of operations and comprehensive income (loss), see below for disaggregated amounts that comprise research and development and general and administrative expenses:</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4524"/>
        <w:gridCol w:w="146"/>
        <w:gridCol w:w="211"/>
        <w:gridCol w:w="751"/>
        <w:gridCol w:w="166"/>
        <w:gridCol w:w="146"/>
        <w:gridCol w:w="211"/>
        <w:gridCol w:w="751"/>
        <w:gridCol w:w="166"/>
        <w:gridCol w:w="146"/>
        <w:gridCol w:w="211"/>
        <w:gridCol w:w="751"/>
        <w:gridCol w:w="166"/>
        <w:gridCol w:w="146"/>
        <w:gridCol w:w="211"/>
        <w:gridCol w:w="751"/>
        <w:gridCol w:w="751"/>
      </w:tblGrid>
      <w:tr>
        <w:trPr/>
        <w:tc>
          <w:tcPr>
            <w:tcW w:w="4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19"/>
              </w:rPr>
            </w:pPr>
            <w:r>
              <w:rPr>
                <w:rFonts w:ascii="Arial" w:hAnsi="Arial"/>
                <w:b/>
                <w:color w:val="000000"/>
                <w:sz w:val="19"/>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Clinical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4,296</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Employee-related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5,109</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Facility and equipment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868</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Pre-clinical research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244</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Other research and development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490</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19"/>
              </w:rPr>
            </w:pPr>
            <w:r>
              <w:rPr>
                <w:rFonts w:ascii="Arial" w:hAnsi="Arial"/>
                <w:b/>
                <w:color w:val="000000"/>
                <w:sz w:val="19"/>
              </w:rPr>
              <w:t>Total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11,007</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19"/>
              </w:rPr>
            </w:pPr>
            <w:r>
              <w:rPr>
                <w:rFonts w:ascii="Arial" w:hAnsi="Arial"/>
                <w:b/>
                <w:color w:val="000000"/>
                <w:sz w:val="19"/>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Employee-related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3,661</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Professional and consulting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3,238</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Commercial readiness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475</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Other general and administrative segment expenses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926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19"/>
              </w:rPr>
            </w:pPr>
            <w:r>
              <w:rPr>
                <w:rFonts w:ascii="Arial" w:hAnsi="Arial"/>
                <w:b/>
                <w:color w:val="000000"/>
                <w:sz w:val="19"/>
              </w:rPr>
              <w:t>Total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8,300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b/>
                <w:color w:val="000000"/>
                <w:sz w:val="19"/>
              </w:rPr>
            </w:pPr>
            <w:r>
              <w:rPr>
                <w:rFonts w:ascii="Arial" w:hAnsi="Arial"/>
                <w:b/>
                <w:color w:val="000000"/>
                <w:sz w:val="19"/>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19,307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(19,307</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1,860</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(542</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20,572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(38,905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2,583</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Arial" w:hAnsi="Arial"/>
          <w:color w:val="000000"/>
          <w:sz w:val="19"/>
        </w:rPr>
      </w:pPr>
      <w:r>
        <w:rPr>
          <w:rFonts w:ascii="Arial" w:hAnsi="Arial"/>
          <w:color w:val="000000"/>
          <w:sz w:val="19"/>
        </w:rPr>
        <w:t>(1) Other general and administrative segment expenses primarily consist of insurance, recruiting, occupancy, and information technology costs.</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w:t>
      </w:r>
      <w:r>
        <w:rPr>
          <w:rFonts w:ascii="Times New Roman" w:hAnsi="Times New Roman"/>
          <w:color w:val="000000"/>
          <w:sz w:val="20"/>
        </w:rPr>
        <w:t xml:space="preserve"> </w:t>
      </w:r>
      <w:r>
        <w:rPr>
          <w:rFonts w:ascii="Arial" w:hAnsi="Arial"/>
          <w:b/>
          <w:color w:val="000000"/>
          <w:sz w:val="20"/>
        </w:rPr>
        <w:t>Financial Condition and Results of Operations.</w:t>
      </w:r>
    </w:p>
    <w:p>
      <w:pPr>
        <w:pStyle w:val="TextBody"/>
        <w:bidi w:val="0"/>
        <w:spacing w:before="120" w:after="283"/>
        <w:jc w:val="left"/>
        <w:rPr>
          <w:rFonts w:ascii="Times New Roman" w:hAnsi="Times New Roman"/>
          <w:sz w:val="20"/>
        </w:rPr>
      </w:pPr>
      <w:r>
        <w:rPr>
          <w:rFonts w:ascii="Arial" w:hAnsi="Arial"/>
          <w:i/>
          <w:color w:val="000000"/>
          <w:sz w:val="19"/>
        </w:rPr>
        <w:t>You should read the following discussion and analysis of our financial condition and results of operations together with our condensed consolidated financial statements and the related notes and other financial information included elsewhere in this Quarterly Report on Form 10-Q (Form 10-Q). Some of the information contained in this discussion and analysis contains forward-looking statements that involve risks and uncertainties. You should review the section titled “Risk factors” in this Form 10-Q for a discussion of important factors that could cause actual results to differ materially from the results described below.</w:t>
      </w:r>
      <w:r>
        <w:rPr>
          <w:rFonts w:ascii="Times New Roman" w:hAnsi="Times New Roman"/>
          <w:color w:val="000000"/>
          <w:sz w:val="20"/>
        </w:rPr>
        <w:t xml:space="preserve"> </w:t>
      </w:r>
    </w:p>
    <w:p>
      <w:pPr>
        <w:pStyle w:val="TextBody"/>
        <w:bidi w:val="0"/>
        <w:spacing w:before="160" w:after="283"/>
        <w:jc w:val="left"/>
        <w:rPr>
          <w:rFonts w:ascii="Arial" w:hAnsi="Arial"/>
          <w:b/>
          <w:color w:val="000000"/>
          <w:sz w:val="20"/>
        </w:rPr>
      </w:pPr>
      <w:r>
        <w:rPr>
          <w:rFonts w:ascii="Arial" w:hAnsi="Arial"/>
          <w:b/>
          <w:color w:val="000000"/>
          <w:sz w:val="20"/>
        </w:rPr>
        <w:t>Overview</w:t>
      </w:r>
    </w:p>
    <w:p>
      <w:pPr>
        <w:pStyle w:val="TextBody"/>
        <w:bidi w:val="0"/>
        <w:spacing w:before="120" w:after="283"/>
        <w:jc w:val="left"/>
        <w:rPr>
          <w:rFonts w:ascii="Arial" w:hAnsi="Arial"/>
          <w:color w:val="000000"/>
          <w:sz w:val="19"/>
        </w:rPr>
      </w:pPr>
      <w:r>
        <w:rPr>
          <w:rFonts w:ascii="Arial" w:hAnsi="Arial"/>
          <w:color w:val="000000"/>
          <w:sz w:val="19"/>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induction of immunogenic cell death within the tumor microenvironment, thus releasing tumor neo-antigens and creating a pro-inflammatory microenvironment at the site of injection. This is intended to lead to in-situ immunization against the injected tumor and uninjected distant metastases. Local administration is designed to achieve these therapeutic effects while minimizing systemic exposure and associated toxicity.</w:t>
      </w:r>
    </w:p>
    <w:p>
      <w:pPr>
        <w:pStyle w:val="TextBody"/>
        <w:bidi w:val="0"/>
        <w:spacing w:before="120" w:after="283"/>
        <w:jc w:val="left"/>
        <w:rPr>
          <w:rFonts w:ascii="Times New Roman" w:hAnsi="Times New Roman"/>
          <w:sz w:val="20"/>
        </w:rPr>
      </w:pPr>
      <w:r>
        <w:rPr>
          <w:rFonts w:ascii="Arial" w:hAnsi="Arial"/>
          <w:color w:val="000000"/>
          <w:sz w:val="19"/>
        </w:rPr>
        <w:t>The immune cells induced by these viral immunotherapies are believed to target patients’ specific tumor antigens, potentially enhancing anti-tumor immune activity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responses in our preclinical studies and clinical trials that may indicate the potential of our product candidates to induce systemic immune response against distal, uninjected tumors, also known as an “abscopal” effect.</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pStyle w:val="TextBody"/>
        <w:bidi w:val="0"/>
        <w:spacing w:before="120" w:after="283"/>
        <w:jc w:val="left"/>
        <w:rPr>
          <w:rFonts w:ascii="Arial" w:hAnsi="Arial"/>
          <w:color w:val="000000"/>
          <w:sz w:val="19"/>
        </w:rPr>
      </w:pPr>
      <w:r>
        <w:rPr>
          <w:rFonts w:ascii="Arial" w:hAnsi="Arial"/>
          <w:color w:val="000000"/>
          <w:sz w:val="19"/>
        </w:rPr>
        <w:t>We have established two clinical off-the-shelf viral immunotherapy platforms based on novel, genetically modified adenovirus and herpes simplex virus (HSV) constructs, respectively.</w:t>
      </w:r>
    </w:p>
    <w:p>
      <w:pPr>
        <w:pStyle w:val="TextBody"/>
        <w:bidi w:val="0"/>
        <w:spacing w:before="120" w:after="283"/>
        <w:jc w:val="left"/>
        <w:rPr>
          <w:rFonts w:ascii="Arial" w:hAnsi="Arial"/>
          <w:color w:val="000000"/>
          <w:sz w:val="19"/>
        </w:rPr>
      </w:pPr>
      <w:r>
        <w:rPr>
          <w:rFonts w:ascii="Arial" w:hAnsi="Arial"/>
          <w:color w:val="000000"/>
          <w:sz w:val="19"/>
        </w:rPr>
        <w:t>Our most advanced product candidate, aglatimagene besadenovec (referred to herein as aglatimagene and previously as CAN-2409), is an off-the-shelf engineered adenovirus product candidate, administered in conjunction with the prodrug valacyclovir, and has generated promising clinical activity across a range of solid tumor indications. Aglatimagene is being studied in the following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i/>
          <w:color w:val="000000"/>
          <w:sz w:val="19"/>
        </w:rPr>
      </w:pPr>
      <w:r>
        <w:rPr>
          <w:rFonts w:ascii="Arial" w:hAnsi="Arial"/>
          <w:i/>
          <w:color w:val="000000"/>
          <w:sz w:val="19"/>
        </w:rPr>
        <w:t>Prostate Cancer</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o</w:t>
      </w:r>
    </w:p>
    <w:p>
      <w:pPr>
        <w:pStyle w:val="TextBody"/>
        <w:bidi w:val="0"/>
        <w:spacing w:before="120" w:after="283"/>
        <w:jc w:val="left"/>
        <w:rPr>
          <w:rFonts w:ascii="Arial" w:hAnsi="Arial"/>
          <w:color w:val="000000"/>
          <w:sz w:val="19"/>
        </w:rPr>
      </w:pPr>
      <w:r>
        <w:rPr>
          <w:rFonts w:ascii="Arial" w:hAnsi="Arial"/>
          <w:color w:val="000000"/>
          <w:sz w:val="19"/>
        </w:rPr>
        <w:t>A pivotal phase 3 randomized, double-blind, placebo-controlled clinical trial in the United States under a Special Protocol Assessment (SPA) with the U.S. Food and Drug Administration (FDA) evaluating patients with newly diagnosed, localized prostate cancer who have an intermediate- or high-risk for progression. The FDA granted Fast Track Designation for the use of aglatimagene for the treatment of localized, primary prostate cancer in combination with radiation therapy to improve the local control rate.</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o</w:t>
      </w:r>
    </w:p>
    <w:p>
      <w:pPr>
        <w:pStyle w:val="TextBody"/>
        <w:bidi w:val="0"/>
        <w:spacing w:before="120" w:after="283"/>
        <w:jc w:val="left"/>
        <w:rPr>
          <w:rFonts w:ascii="Arial" w:hAnsi="Arial"/>
          <w:color w:val="000000"/>
          <w:sz w:val="19"/>
        </w:rPr>
      </w:pPr>
      <w:r>
        <w:rPr>
          <w:rFonts w:ascii="Arial" w:hAnsi="Arial"/>
          <w:color w:val="000000"/>
          <w:sz w:val="19"/>
        </w:rPr>
        <w:t>The primary goal of curative treatment for localized prostate cancer is complete tumor eradication, as outlined by National Comprehensive Cancer Network (NCCN) guidelines. However, up to 30% of intermediate- to high-risk patients experience recurrence despite radical therapy, and salvage treatments often carry significant side effects and limited efficacy. Recurrence at a microscopic level in prostate biopsies beyond two years post-treatment is strongly linked to subsequent biochemical failure, higher rates of metastasis, need for salvage anti-cancer therapies, and prostate cancer-specific mortality after prolonged follow up (&gt;10 years) (Singh S et al. Prostate Cancer Prostatic Dis 2021;24:612-622). Studies also show that patients prioritize the perception of being cancer-free and are often willing to risk long-term complications to achieve this. Fear of recurrence remains prevalent, especially after biochemical failure (Hoffman RM et al. Cancer 2003;97:1653-62; Jayadevappa R et al. J Clin Oncol 2019;37:964-73; Nilsson R et al. Eur Urol Open Sci 2021;25:44-51). Therefore, this study aimed to assess whether adding aglatimagene plus valacyclovir to standard of care (SoC) radiotherapy could improve disease-free survival (DFS) in patients pursuing curative treatment, a primary endpoint established in the SPA with the FDA. We completed enrollment of this trial in September 2021.</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19"/>
        </w:rPr>
      </w:pPr>
      <w:r>
        <w:rPr>
          <w:rFonts w:ascii="Arial" w:hAnsi="Arial"/>
          <w:color w:val="000000"/>
          <w:sz w:val="19"/>
        </w:rPr>
        <w:t xml:space="preserve">In December 2024, we announced positive topline data from our phase 3 clinical trial (DeWeese TL et al. Lancet Oncology 2026;27:673–685). This randomized, double-blind, placebo-controlled, multicenter clinical trial enrolled 745 patients (intent to treat population (ITT)) to evaluate the effectiveness and safety of aglatimagene plus prodrug (valacyclovir) viral immunotherapy in combination with SoC external beam radiation therapy to improve DFS in patients with intermediate- to high-risk (single high-risk feature), localized prostate cancer. Patients were randomized 2:1 (496 in aglatimagene+prodrug and 249 in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120"/>
        <w:jc w:val="left"/>
        <w:rPr/>
      </w:pPr>
      <w:r>
        <w:rPr>
          <w:rFonts w:ascii="Arial" w:hAnsi="Arial"/>
          <w:color w:val="000000"/>
          <w:sz w:val="19"/>
        </w:rPr>
        <w:t xml:space="preserve">placebo + prodrug). Both arms received standard-of-care external beam radiation therapy (EBRT) +/- short course androgen deprivation therapy (ADT) (≤6 months) and were stratified by NCCN risk group and ADT use. Three intraprostatic injections of aglatimagene (5x10 </w:t>
      </w:r>
      <w:r>
        <w:rPr>
          <w:rFonts w:ascii="Arial" w:hAnsi="Arial"/>
          <w:color w:val="000000"/>
          <w:sz w:val="13"/>
        </w:rPr>
        <w:t>11</w:t>
      </w:r>
      <w:r>
        <w:rPr>
          <w:rFonts w:ascii="Arial" w:hAnsi="Arial"/>
          <w:color w:val="000000"/>
          <w:sz w:val="19"/>
        </w:rPr>
        <w:t>vp/2mL) or placebo were administered, each followed by 14 days of prodrug.</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9"/>
        </w:rPr>
      </w:pPr>
      <w:r>
        <w:rPr>
          <w:rFonts w:ascii="Arial" w:hAnsi="Arial"/>
          <w:color w:val="000000"/>
          <w:sz w:val="19"/>
        </w:rPr>
        <w:t>The median follow-up time for the recruited population was 50.3 months. The primary outcome measure, DFS, included the evaluation of post-treatment biopsies, performed at two years from the end of radiation therapy, for the microscopic presence of tumor recurrence. Local or systemic recurrence and death from any cause were also part of the primary endpoint.</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9"/>
        </w:rPr>
      </w:pPr>
      <w:r>
        <w:rPr>
          <w:rFonts w:ascii="Arial" w:hAnsi="Arial"/>
          <w:color w:val="000000"/>
          <w:sz w:val="19"/>
        </w:rPr>
        <w:t>The study met its primary endpoint, demonstrating a statistically significant improvement in DFS in patients in the aglatimagene arm compared to the placebo arm. Key topline results include:</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9"/>
        </w:rPr>
      </w:pPr>
      <w:r>
        <w:rPr>
          <w:rFonts w:ascii="Arial" w:hAnsi="Arial"/>
          <w:color w:val="000000"/>
          <w:sz w:val="19"/>
        </w:rPr>
        <w:t>The primary endpoint, as agreed with the FDA under a SPA, was met: statistically significant improvement in DFS for aglatimagene plus radiation therapy (n=496) vs. placebo plus radiation therapy (n=249) (p=0.0155; HR 0.70; 95% CI; 0.52 to 0.94). Median DFS was not reached for the aglatimagene treatment arm vs. 86.1 months in the placebo arm.</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9"/>
        </w:rPr>
      </w:pPr>
      <w:r>
        <w:rPr>
          <w:rFonts w:ascii="Arial" w:hAnsi="Arial"/>
          <w:color w:val="000000"/>
          <w:sz w:val="19"/>
        </w:rPr>
        <w:t>This result was supported by secondary and exploratory endpoints:</w:t>
      </w:r>
    </w:p>
    <w:p>
      <w:pPr>
        <w:pStyle w:val="TextBody"/>
        <w:bidi w:val="0"/>
        <w:spacing w:before="0" w:after="120"/>
        <w:jc w:val="left"/>
        <w:rPr>
          <w:rFonts w:ascii="Times New Roman" w:hAnsi="Times New Roman"/>
          <w:color w:val="000000"/>
          <w:sz w:val="19"/>
        </w:rPr>
      </w:pPr>
      <w:r>
        <w:rPr>
          <w:rFonts w:ascii="Times New Roman" w:hAnsi="Times New Roman"/>
          <w:color w:val="000000"/>
          <w:sz w:val="19"/>
        </w:rPr>
        <w:t>o</w:t>
      </w:r>
    </w:p>
    <w:p>
      <w:pPr>
        <w:pStyle w:val="TextBody"/>
        <w:bidi w:val="0"/>
        <w:spacing w:before="0" w:after="120"/>
        <w:jc w:val="left"/>
        <w:rPr>
          <w:rFonts w:ascii="Arial" w:hAnsi="Arial"/>
          <w:color w:val="000000"/>
          <w:sz w:val="19"/>
        </w:rPr>
      </w:pPr>
      <w:r>
        <w:rPr>
          <w:rFonts w:ascii="Arial" w:hAnsi="Arial"/>
          <w:color w:val="000000"/>
          <w:sz w:val="19"/>
        </w:rPr>
        <w:t>Statistically significant improvement in prostate cancer-specific DFS (exclusion of non-prostate cancer related deaths) in the aglatimagene arm vs. placebo (p=0.0046; HR 0.62, 95% CI 0.44 to 0.87)</w:t>
      </w:r>
    </w:p>
    <w:p>
      <w:pPr>
        <w:pStyle w:val="TextBody"/>
        <w:bidi w:val="0"/>
        <w:spacing w:before="0" w:after="120"/>
        <w:jc w:val="left"/>
        <w:rPr>
          <w:rFonts w:ascii="Times New Roman" w:hAnsi="Times New Roman"/>
          <w:color w:val="000000"/>
          <w:sz w:val="19"/>
        </w:rPr>
      </w:pPr>
      <w:r>
        <w:rPr>
          <w:rFonts w:ascii="Times New Roman" w:hAnsi="Times New Roman"/>
          <w:color w:val="000000"/>
          <w:sz w:val="19"/>
        </w:rPr>
        <w:t>o</w:t>
      </w:r>
    </w:p>
    <w:p>
      <w:pPr>
        <w:pStyle w:val="TextBody"/>
        <w:bidi w:val="0"/>
        <w:spacing w:before="0" w:after="120"/>
        <w:jc w:val="left"/>
        <w:rPr>
          <w:rFonts w:ascii="Arial" w:hAnsi="Arial"/>
          <w:color w:val="000000"/>
          <w:sz w:val="19"/>
        </w:rPr>
      </w:pPr>
      <w:r>
        <w:rPr>
          <w:rFonts w:ascii="Arial" w:hAnsi="Arial"/>
          <w:color w:val="000000"/>
          <w:sz w:val="19"/>
        </w:rPr>
        <w:t>Exploratory subset analysis showed that improvement in prostate cancer-specific DFS was observed, independent of the use of short-term ADT and independent of the type of EBRT (conventional EBRT vs. moderate hypofractionated EBRT)</w:t>
      </w:r>
    </w:p>
    <w:p>
      <w:pPr>
        <w:pStyle w:val="TextBody"/>
        <w:bidi w:val="0"/>
        <w:spacing w:before="0" w:after="120"/>
        <w:jc w:val="left"/>
        <w:rPr>
          <w:rFonts w:ascii="Times New Roman" w:hAnsi="Times New Roman"/>
          <w:color w:val="000000"/>
          <w:sz w:val="19"/>
        </w:rPr>
      </w:pPr>
      <w:r>
        <w:rPr>
          <w:rFonts w:ascii="Times New Roman" w:hAnsi="Times New Roman"/>
          <w:color w:val="000000"/>
          <w:sz w:val="19"/>
        </w:rPr>
        <w:t>o</w:t>
      </w:r>
    </w:p>
    <w:p>
      <w:pPr>
        <w:pStyle w:val="TextBody"/>
        <w:bidi w:val="0"/>
        <w:spacing w:before="0" w:after="120"/>
        <w:jc w:val="left"/>
        <w:rPr>
          <w:rFonts w:ascii="Arial" w:hAnsi="Arial"/>
          <w:color w:val="000000"/>
          <w:sz w:val="19"/>
        </w:rPr>
      </w:pPr>
      <w:r>
        <w:rPr>
          <w:rFonts w:ascii="Arial" w:hAnsi="Arial"/>
          <w:color w:val="000000"/>
          <w:sz w:val="19"/>
        </w:rPr>
        <w:t>Statistically significant increase in the proportion of patients achieving a prostate-specific antigen (PSA) nadir (&lt;0.2 ng/ml) in the aglatimagene arm compared to the placebo control arm (67.1% vs. 58.6%, respectively; p=0.0164)</w:t>
      </w:r>
    </w:p>
    <w:p>
      <w:pPr>
        <w:pStyle w:val="TextBody"/>
        <w:bidi w:val="0"/>
        <w:spacing w:before="0" w:after="120"/>
        <w:jc w:val="left"/>
        <w:rPr>
          <w:rFonts w:ascii="Times New Roman" w:hAnsi="Times New Roman"/>
          <w:color w:val="000000"/>
          <w:sz w:val="19"/>
        </w:rPr>
      </w:pPr>
      <w:r>
        <w:rPr>
          <w:rFonts w:ascii="Times New Roman" w:hAnsi="Times New Roman"/>
          <w:color w:val="000000"/>
          <w:sz w:val="19"/>
        </w:rPr>
        <w:t>o</w:t>
      </w:r>
    </w:p>
    <w:p>
      <w:pPr>
        <w:pStyle w:val="TextBody"/>
        <w:bidi w:val="0"/>
        <w:spacing w:before="0" w:after="120"/>
        <w:jc w:val="left"/>
        <w:rPr>
          <w:rFonts w:ascii="Arial" w:hAnsi="Arial"/>
          <w:color w:val="000000"/>
          <w:sz w:val="19"/>
        </w:rPr>
      </w:pPr>
      <w:r>
        <w:rPr>
          <w:rFonts w:ascii="Arial" w:hAnsi="Arial"/>
          <w:color w:val="000000"/>
          <w:sz w:val="19"/>
        </w:rPr>
        <w:t>Statistically significant increase in the proportion of patients with a pathological complete response in 2-year post-treatment biopsies (80% in the aglatimagene arm vs. 63% in the control arm; p=0.0018)</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9"/>
        </w:rPr>
      </w:pPr>
      <w:r>
        <w:rPr>
          <w:rFonts w:ascii="Arial" w:hAnsi="Arial"/>
          <w:color w:val="000000"/>
          <w:sz w:val="19"/>
        </w:rPr>
        <w:t>Aglatimagene was generally well tolerated. The most common aglatimagene-related adverse events were flu-like symptoms, fever and chills, which were generally mild to moderate in severity and self-limited. There was no increase in serious adverse events after aglatimagene administration vs. placebo.</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9"/>
        </w:rPr>
      </w:pPr>
      <w:r>
        <w:rPr>
          <w:rFonts w:ascii="Arial" w:hAnsi="Arial"/>
          <w:color w:val="000000"/>
          <w:sz w:val="19"/>
        </w:rPr>
        <w:t>In May 2025, after submission of these topline data to the FDA, we announced that the FDA granted Regenerative Medicine Advanced Therapy (RMAT) Designation for aglatimagene for the treatment of newly diagnosed, localized prostate cancer in patients with intermediate- to high-risk disease.</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9"/>
        </w:rPr>
      </w:pPr>
      <w:r>
        <w:rPr>
          <w:rFonts w:ascii="Arial" w:hAnsi="Arial"/>
          <w:color w:val="000000"/>
          <w:sz w:val="19"/>
        </w:rPr>
        <w:t>In June 2025, the results from the positive phase 3 clinical trial of aglatimagene in patients with intermediate- to high-risk, localized prostate cancer were presented in an oral session at the Annual Meeting of the American Society of Clinical Oncology (ASCO).</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9"/>
        </w:rPr>
      </w:pPr>
      <w:r>
        <w:rPr>
          <w:rFonts w:ascii="Arial" w:hAnsi="Arial"/>
          <w:color w:val="000000"/>
          <w:sz w:val="19"/>
        </w:rPr>
        <w:t>In September 2025, we presented subgroup analysis of the phase 3 clinical trial during the Annual Meeting of the American Society for Radiation Oncology (ASTRO). The data demonstrated that the effect of aglatimagene on DFS was independent of the type of radiotherapy used (conventional EBRT vs. moderate hypofractionated EBRT). For moderate EBRT, the hazard ratio (HR) was 0.52 (95% CI: 0.30–0.93), and for conventional EBRT, the HR was 0.76 (95% CI: 0.53–1.07). For prostate cancer-specific DFS, HR in moderate hypofractionated EBRT recipients was 0.54 (95% CI: 0.28-1.03), and for conventional EBRT, the HR was 0.64 (0.43 -0.95). Subgroup analyses of prostate cancer-specific DFS demonstrated that aglatimagene outperformed standard of care across all categories, with HRs ranging from 0.49 in patients with intermediate-risk favorable prostate cancer to 0.69 in patients with high-risk disease.</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9"/>
        </w:rPr>
      </w:pPr>
      <w:r>
        <w:rPr>
          <w:rFonts w:ascii="Arial" w:hAnsi="Arial"/>
          <w:color w:val="000000"/>
          <w:sz w:val="19"/>
        </w:rPr>
        <w:t>In May 2026, we announced updated clinical data on prostate cancer-specific outcomes (prostate cancer-specific DFS, time to biochemical failure, time to metastasis, and time to salvage anti-cancer therapy) from extended follow-up (data cutoff March 15, 2026) of the phase 3 trial during a plenary oral presentation at the American Urological Association (AUA) 2026 Annual Meeting (Garzotto MG et al.).</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9"/>
        </w:rPr>
      </w:pPr>
      <w:r>
        <w:rPr>
          <w:rFonts w:ascii="Arial" w:hAnsi="Arial"/>
          <w:color w:val="000000"/>
          <w:sz w:val="19"/>
        </w:rPr>
        <w:t>Among the 745 patients enrolled in the randomized, double-blind, placebo-controlled trial, the aglatimagene arm exhibited a 39% improvement in prostate cancer-specific disease-free survival (PCa-specific DFS) compared to placebo after a median follow-up of 58 months.</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19"/>
        </w:rPr>
      </w:pPr>
      <w:r>
        <w:rPr>
          <w:rFonts w:ascii="Arial" w:hAnsi="Arial"/>
          <w:color w:val="000000"/>
          <w:sz w:val="19"/>
        </w:rPr>
        <w:t>The Company observed consistently favorable trends in the ITT population across all secondary and exploratory endpoints, including time to biochemical failure (TTBF), time to metastasis (TTM), rate of metastasis, and time to salvage anti-cancer therapy (time to new treatment (TTNT)), when comparing the aglatimagene arm with placebo, on top of standard-of-care radiotherapy.</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9"/>
        </w:rPr>
      </w:pPr>
      <w:r>
        <w:rPr>
          <w:rFonts w:ascii="Arial" w:hAnsi="Arial"/>
          <w:color w:val="000000"/>
          <w:sz w:val="19"/>
        </w:rPr>
        <w:t>Within the intermediate-risk subgroup (635 patients, 85% of the ITT population), the aglatimagene arm demonstrated 41% improvement in PCa-specific DFS relative to placebo. In addition, descriptive analyses showed 52% improvement in TTBF (HR 0.48, CI 0.22, 1.03), 90% improvement in TTM (HR 0.1, CI 0.01, 0.85), lower rate of metastatic disease (0.24% (1/422) vs. 2.35% (5/213)), and 49% improvement in TTNT (HR 0.51, CI 0.24, 1.1), when comparing the aglatimagene arm with the placebo arm.</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9"/>
        </w:rPr>
      </w:pPr>
      <w:r>
        <w:rPr>
          <w:rFonts w:ascii="Arial" w:hAnsi="Arial"/>
          <w:color w:val="000000"/>
          <w:sz w:val="19"/>
        </w:rPr>
        <w:t>In addition, in the third quarter of 2026, we will present novel immunological biomarker data in patients with localized prostate cancer at the 2026 ASTRO Annual Meeting.</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9"/>
        </w:rPr>
      </w:pPr>
      <w:r>
        <w:rPr>
          <w:rFonts w:ascii="Arial" w:hAnsi="Arial"/>
          <w:color w:val="000000"/>
          <w:sz w:val="19"/>
        </w:rPr>
        <w:t>We are in ongoing dialogue with the FDA in preparation for the Company’s anticipated submission of a Biologics License Application (BLA) for aglatimagene in prostate cancer in the fourth quarter of 2026.</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o</w:t>
      </w:r>
    </w:p>
    <w:p>
      <w:pPr>
        <w:pStyle w:val="TextBody"/>
        <w:bidi w:val="0"/>
        <w:spacing w:before="0" w:after="0"/>
        <w:jc w:val="left"/>
        <w:rPr>
          <w:rFonts w:ascii="Arial" w:hAnsi="Arial"/>
          <w:color w:val="000000"/>
          <w:sz w:val="19"/>
        </w:rPr>
      </w:pPr>
      <w:r>
        <w:rPr>
          <w:rFonts w:ascii="Arial" w:hAnsi="Arial"/>
          <w:color w:val="000000"/>
          <w:sz w:val="19"/>
        </w:rPr>
        <w:t>A phase 2 randomized, double-blind, placebo-controlled clinical trial in the United States evaluating patients with low- to intermediate-risk, localized prostate cancer undergoing active surveillance. We completed enrollment of this trial in May 2019.</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In December 2024, we reported that this phase 2 clinical trial of aglatimagene monotherapy in 190 patients with low- to intermediate-risk localized prostate cancer undergoing active surveillance showed a trend toward improvement in time to radical treatment and the percentage of patients achieving negative (prostate cancer-free) biopsies at 1-year post-treatment. However, these differences did not reach statistical significance, which might be explained by 1) the fact that the study was not statistically powered for the primary endpoint (progression-free survival), 2) ~70% of patients had low-risk disease (which makes it more difficult to detect a treatment effect), 3) patients received only 2 administrations of aglatimagene rather than 3 as used in the phase 3 clinical trial described above, and 4) patients did not receive radiotherapy (preclinical models of prostate cancer have shown synergy between aglatimagene and radiotherapy in this specific indication). Aglatimagene was generally well tolerated. The most common aglatimagene-related adverse events were flu-like symptoms, fever and chills, which were generally mild to moderate in severity and self-limited.</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o</w:t>
      </w:r>
    </w:p>
    <w:p>
      <w:pPr>
        <w:pStyle w:val="TextBody"/>
        <w:bidi w:val="0"/>
        <w:spacing w:before="120" w:after="283"/>
        <w:jc w:val="left"/>
        <w:rPr>
          <w:rFonts w:ascii="Arial" w:hAnsi="Arial"/>
          <w:color w:val="000000"/>
          <w:sz w:val="19"/>
        </w:rPr>
      </w:pPr>
      <w:r>
        <w:rPr>
          <w:rFonts w:ascii="Arial" w:hAnsi="Arial"/>
          <w:color w:val="000000"/>
          <w:sz w:val="19"/>
        </w:rPr>
        <w:t>We have initiated a phase 2a, open-label, multi-center study evaluating biomarkers and biodistribution and shedding of aglatimagene plus valacyclovir in men with localized, intermediate-risk prostate cancer who are planning to receive EBRT +/- short-term ADT. The study aims to recruit up to 45 patients (30 in the treatment arm and 15 in the control arm treated with EBRT+/-ADT alone). Biosamples (blood, urine, semen) will be collected at specified timepoints. We anticipate that the data generated during this clinical trial will be submitted as part of the BLA filing.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19"/>
        </w:rPr>
        <w:t>Non-Small Cell Lung Cancer (NSCLC)</w:t>
      </w:r>
      <w:r>
        <w:rPr>
          <w:color w:val="000000"/>
        </w:rPr>
        <w:t xml:space="preserve"> </w:t>
      </w:r>
    </w:p>
    <w:p>
      <w:pPr>
        <w:pStyle w:val="TextBody"/>
        <w:bidi w:val="0"/>
        <w:spacing w:before="120" w:after="120"/>
        <w:jc w:val="left"/>
        <w:rPr>
          <w:rFonts w:ascii="Times New Roman" w:hAnsi="Times New Roman"/>
          <w:color w:val="000000"/>
          <w:sz w:val="19"/>
        </w:rPr>
      </w:pPr>
      <w:r>
        <w:rPr>
          <w:rFonts w:ascii="Times New Roman" w:hAnsi="Times New Roman"/>
          <w:color w:val="000000"/>
          <w:sz w:val="19"/>
        </w:rPr>
        <w:t>o</w:t>
      </w:r>
    </w:p>
    <w:p>
      <w:pPr>
        <w:pStyle w:val="TextBody"/>
        <w:bidi w:val="0"/>
        <w:spacing w:before="120" w:after="120"/>
        <w:jc w:val="left"/>
        <w:rPr>
          <w:rFonts w:ascii="Arial" w:hAnsi="Arial"/>
          <w:color w:val="000000"/>
          <w:sz w:val="19"/>
        </w:rPr>
      </w:pPr>
      <w:r>
        <w:rPr>
          <w:rFonts w:ascii="Arial" w:hAnsi="Arial"/>
          <w:color w:val="000000"/>
          <w:sz w:val="19"/>
        </w:rPr>
        <w:t>An open-label phase 2a clinical trial in the United States evaluating aglatimagene plus valacyclovir in combination with continued PD-(L)1 checkpoint inhibitors in patients with stage III/IV NSCLC who have inadequate response to front line PD-(L)1 checkpoint inhibitor treatments. In April 2023, we announced that the FDA granted Fast Track Designation for aglatimagene plus valacyclovir in combination with pembrolizumab in order to improve survival or delay progression in patients with unresectable stage III or stage IV NSCLC, who are resistant to first line PD-(L)1 inhibitor therapy and who do not have activating molecular driver mutations or have progressed on directed molecular therapy. These patients historically have had an expected median overall survival (mOS) of &lt;12 months when treated with SoC second-line chemotherapy (Reckamp K et al. J Clin Onc 2022;40:2295-2306). The aim of the aglatimagene immunotherapy antitumor strategy is to improve overall survival beyond the median of 12 months in patients treated with two aglatimagene injections and raise the long tail of survival.</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o</w:t>
      </w:r>
    </w:p>
    <w:p>
      <w:pPr>
        <w:pStyle w:val="TextBody"/>
        <w:bidi w:val="0"/>
        <w:spacing w:before="0" w:after="0"/>
        <w:jc w:val="left"/>
        <w:rPr>
          <w:rFonts w:ascii="Arial" w:hAnsi="Arial"/>
          <w:color w:val="000000"/>
          <w:sz w:val="19"/>
        </w:rPr>
      </w:pPr>
      <w:r>
        <w:rPr>
          <w:rFonts w:ascii="Arial" w:hAnsi="Arial"/>
          <w:color w:val="000000"/>
          <w:sz w:val="19"/>
        </w:rPr>
        <w:t>In March 2025, phase 2a data showed that aglatimagene achieved a median overall survival of 24.5 months in ICI-inadequate responders (n=46) and 21.5 months in patients with progressive disease after ICI (n=41), exceeding the 9.8 and 11.8 months, respectively, reported after docetaxel treatment (Paz-Ares LG et al, J Clin Oncol 2024;42:2860-2872 ; Ahn MJ et al, J Clin Onc 2024;43:260-272). Additionally, 37% of patients with progressive disease were alive beyond 24 months; this long tail of survival was enriched in patients with non-squamous NSCLC (mOS 25.4 months, n=33). The treatment maintained a favorable safety and tolerability profile.</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o</w:t>
      </w:r>
    </w:p>
    <w:p>
      <w:pPr>
        <w:pStyle w:val="TextBody"/>
        <w:bidi w:val="0"/>
        <w:spacing w:before="120" w:after="283"/>
        <w:jc w:val="left"/>
        <w:rPr>
          <w:rFonts w:ascii="Arial" w:hAnsi="Arial"/>
          <w:color w:val="000000"/>
          <w:sz w:val="19"/>
        </w:rPr>
      </w:pPr>
      <w:r>
        <w:rPr>
          <w:rFonts w:ascii="Arial" w:hAnsi="Arial"/>
          <w:color w:val="000000"/>
          <w:sz w:val="19"/>
        </w:rPr>
        <w:t>In March 2026, we announced updated data on OS including data on long-term survival and biomarker analysis from the phase 2a clinical trial:</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Among the 46 patients who received two administrations of aglatimagene (per-protocol population), 23 patients (50%) remained alive at 24 months. Additionally, 16 patients (35%) survived beyond 30 months, 12 patients (26%) survived beyond 36 months, 11 patients (24%) survived beyond 40 months, and 6 patients (13%) exceeded 50 months of survival.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Histologic analysis of available baseline and tumor biopsies demonstrated that among evaluable patients surviving beyond 24 months and with PD-L1 status available, (17/20) 85% had baseline PD-L1 TPS below 50% (a population typically less responsive to ICI).</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mOS was 25.4 months among 46 evaluable patients who received two courses of aglatimagene (per-protocol population; cohorts 1 and 2). Among evaluable patients with progressive disease at baseline despite prior ICI therapy (cohort 2, n=41), mOS was 21.5 months, and 25.4 months in patients within cohort 2 with non-squamous histology (n=33).</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Molecular profiling of paired baseline and post-treatment tumor biopsies revealed that long-term survivors exhibited robust upregulation of genes associated with sustained immune activation and antigen presentation. In particular, enhanced interferon signaling and activation of myeloid and antigen-presenting cell programs were observed, including a significant increase in the expression of IFNγ, CSF1, CX3CL1, and IL1β (p = 0.010, 0.026, 0.013, and 0.034, respectively).</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o</w:t>
      </w:r>
    </w:p>
    <w:p>
      <w:pPr>
        <w:pStyle w:val="TextBody"/>
        <w:bidi w:val="0"/>
        <w:spacing w:before="120" w:after="283"/>
        <w:jc w:val="left"/>
        <w:rPr>
          <w:rFonts w:ascii="Arial" w:hAnsi="Arial"/>
          <w:color w:val="000000"/>
          <w:sz w:val="19"/>
        </w:rPr>
      </w:pPr>
      <w:r>
        <w:rPr>
          <w:rFonts w:ascii="Arial" w:hAnsi="Arial"/>
          <w:color w:val="000000"/>
          <w:sz w:val="19"/>
        </w:rPr>
        <w:t>In June 2026, we activated our first trial site and opened enrollment for our pivotal phase 3 clinical trial (AURORA) of aglatimagene in patients with metastatic, non-squamous NSCLC progressing on ICI treatment. Following an end-of-phase 2 meeting, the FDA acknowledged that this trial could serve as a registrational study for potential approval of aglatimagene in NSCLC.</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randomized, open-label AURORA trial is expected to enroll ~500 patients with metastatic stage IV non-squamous NSCLC across approximately 150 sites worldwide, randomized 1:1 to receive either aglatimagene plus valacyclovir for two injection courses with continued pembrolizumab, or standard-of-care docetaxel chemotherapy.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study’s primary endpoint is overall survival, with secondary endpoints including safety and quality-of-life assessments (NSCLC-SAQ and EORTC QLQ-30).</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19"/>
        </w:rPr>
        <w:t>Pancreatic Cancer</w:t>
      </w:r>
      <w:r>
        <w:rPr>
          <w:color w:val="000000"/>
        </w:rPr>
        <w:t xml:space="preserve"> </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o</w:t>
      </w:r>
    </w:p>
    <w:p>
      <w:pPr>
        <w:pStyle w:val="TextBody"/>
        <w:bidi w:val="0"/>
        <w:spacing w:before="120" w:after="283"/>
        <w:jc w:val="left"/>
        <w:rPr>
          <w:rFonts w:ascii="Arial" w:hAnsi="Arial"/>
          <w:color w:val="000000"/>
          <w:sz w:val="19"/>
        </w:rPr>
      </w:pPr>
      <w:r>
        <w:rPr>
          <w:rFonts w:ascii="Arial" w:hAnsi="Arial"/>
          <w:color w:val="000000"/>
          <w:sz w:val="19"/>
        </w:rPr>
        <w:t>We conducted a randomized controlled phase 2a clinical trial in the United States and Mexico evaluating the activity of aglatimagene in borderline resectable pancreatic ductal adenocarcinoma (PDAC). In December 2023, we announced that the FDA granted Fast Track Designation for aglatimagene plus valacyclovir for the treatment of patients with PDAC to improve overall survival. In April 2024, we announced updated positive overall survival data and supportive biomarker data and also announced that the FDA has granted Orphan Drug Designation for aglatimagene for the treatment of PDAC. In July 2025, we announced that the European Medicines Agency (EMA) has granted Orphan Designation for aglatimagene for the treatment of pancreatic cancer.</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o</w:t>
      </w:r>
    </w:p>
    <w:p>
      <w:pPr>
        <w:pStyle w:val="TextBody"/>
        <w:bidi w:val="0"/>
        <w:spacing w:before="120" w:after="283"/>
        <w:jc w:val="left"/>
        <w:rPr>
          <w:rFonts w:ascii="Arial" w:hAnsi="Arial"/>
          <w:color w:val="000000"/>
          <w:sz w:val="19"/>
        </w:rPr>
      </w:pPr>
      <w:r>
        <w:rPr>
          <w:rFonts w:ascii="Arial" w:hAnsi="Arial"/>
          <w:color w:val="000000"/>
          <w:sz w:val="19"/>
        </w:rPr>
        <w:t>In February 2025, we announced the final analysis of this phase 2a clinical trial of aglatimagene in borderline resectable PDAC:</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Estimated median overall survival after enrollment was 31.4 months in the aglatimagene group versus 12.5 months in the control group.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Importantly, 3 out of 7 patients who received aglatimagene were still alive at the time of data cut-off (February 20, 2025) with survival of 66.0, 63.6, and 35.8 months, respectively, after enrollment; survival from the time of diagnosis was 73.5, 68.8 and 41.3 months, respectively, for these patients. In contrast, only one out of 6 patients randomized to SoC chemotherapy arm remained alive at the data cutoff; histologic analysis at resection showed intraepithelial neoplasia associated with improved prognosis in this patient.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Median post-progression survival was 21.2 months in the aglatimagene arm vs. 6.4 months in the control arm.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In October 2025, we decided to pause on further clinical development of aglatimagene in PDAC, in the context of portfolio prioritization, unless externally funded through a grant or other non-dilutive external funding.</w:t>
      </w:r>
    </w:p>
    <w:p>
      <w:pPr>
        <w:pStyle w:val="TextBody"/>
        <w:bidi w:val="0"/>
        <w:spacing w:before="160" w:after="120"/>
        <w:jc w:val="left"/>
        <w:rPr>
          <w:rFonts w:ascii="Times New Roman" w:hAnsi="Times New Roman"/>
          <w:sz w:val="20"/>
        </w:rPr>
      </w:pPr>
      <w:r>
        <w:rPr>
          <w:rFonts w:ascii="Arial" w:hAnsi="Arial"/>
          <w:color w:val="000000"/>
          <w:sz w:val="19"/>
        </w:rPr>
        <w:t>Our lead HSV-based product candidate, linoserpaturev (referred to previously as CAN-3110), is currently being evaluated in an ongoing investigator-sponsored phase 1b clinical trial in the initial target indication of recurrent high-grade glioma (HGG).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spacing w:before="160" w:after="120"/>
        <w:jc w:val="left"/>
        <w:rPr>
          <w:rFonts w:ascii="Arial" w:hAnsi="Arial"/>
          <w:color w:val="000000"/>
          <w:sz w:val="19"/>
        </w:rPr>
      </w:pPr>
      <w:r>
        <w:rPr>
          <w:rFonts w:ascii="Arial" w:hAnsi="Arial"/>
          <w:color w:val="000000"/>
          <w:sz w:val="19"/>
        </w:rPr>
        <w:t>Patients recruited in this study have previously failed SoC treatment and have a poor prognosis (expected overall survival &lt; 6-9 months).</w:t>
      </w:r>
    </w:p>
    <w:p>
      <w:pPr>
        <w:pStyle w:val="TextBody"/>
        <w:bidi w:val="0"/>
        <w:spacing w:before="0" w:after="120"/>
        <w:jc w:val="left"/>
        <w:rPr>
          <w:rFonts w:ascii="Arial" w:hAnsi="Arial"/>
          <w:color w:val="000000"/>
          <w:sz w:val="19"/>
        </w:rPr>
      </w:pPr>
      <w:r>
        <w:rPr>
          <w:rFonts w:ascii="Arial" w:hAnsi="Arial"/>
          <w:color w:val="000000"/>
          <w:sz w:val="19"/>
        </w:rPr>
        <w:t>In October 2023, we published an article in Nature that reported extended overall survival associated with immune activation in patients with recurrent HGG treated with linoserpaturev. Notably, data reported an increased survival in the 66% of patients with positivity for anti-HSV1 antibodies (mOS of 14.2 months). Immune status was positively associated with survival both in patients with pre-existing HSV1 antibodies (pre-treatment) and in 33% of patients who, while negative at baseline, developed anti-HSV1 antibodies after a single injection of linoserpaturev. Evidence of anti-tumor activity was observed in both injected and uninjected lesions in patients with multifocal disease. Meaningful antitumor responses were observed in both arm A and arm B of this study. Analysis of post-treatment samples demonstrated evidence of persistent HSV antigen expression and replication in both injected and uninjected tumor tissue associated with CD8+ T cell infiltration. The extent of immune activation, measured by gene profiling and quantification of immune cells in post-treatment specimens, was associated with the presence of anti-HSV1 antibodies and survival. Survival was also associated with the diversity of the T cell repertoire in circulating T cells, suggesting that patients who were able to mount a diverse immune response against the virus and tumor antigens released during the oncolytic process after linoserpaturev administration, had improved survival.</w:t>
      </w:r>
    </w:p>
    <w:p>
      <w:pPr>
        <w:pStyle w:val="TextBody"/>
        <w:bidi w:val="0"/>
        <w:spacing w:before="0" w:after="120"/>
        <w:jc w:val="left"/>
        <w:rPr>
          <w:rFonts w:ascii="Arial" w:hAnsi="Arial"/>
          <w:color w:val="000000"/>
          <w:sz w:val="19"/>
        </w:rPr>
      </w:pPr>
      <w:r>
        <w:rPr>
          <w:rFonts w:ascii="Arial" w:hAnsi="Arial"/>
          <w:color w:val="000000"/>
          <w:sz w:val="19"/>
        </w:rPr>
        <w:t>In February 2024, we announced that the FDA granted Fast Track Designation for linoserpaturev for the treatment of patients with recurrent HGG to improve overall survival. In May 2024, we also announced that the FDA granted Orphan Drug Designation for linoserpaturev for the treatment of recurrent HGG.</w:t>
      </w:r>
    </w:p>
    <w:p>
      <w:pPr>
        <w:pStyle w:val="TextBody"/>
        <w:bidi w:val="0"/>
        <w:jc w:val="left"/>
        <w:rPr>
          <w:rFonts w:ascii="Arial" w:hAnsi="Arial"/>
          <w:color w:val="000000"/>
          <w:sz w:val="19"/>
        </w:rPr>
      </w:pPr>
      <w:r>
        <w:rPr>
          <w:rFonts w:ascii="Arial" w:hAnsi="Arial"/>
          <w:color w:val="000000"/>
          <w:sz w:val="19"/>
        </w:rPr>
        <w:t>In November 2024, during the Society for Immunotherapy of Cancer (SITC) Annual Meeting, we presented data demonstrating the antitumor activity of linoserpaturev in preclinical models of melanoma, a tumor characterized by high Nestin expression, frequent loss-of-function in CDKN2A, and alterations in the Ras-Raf signaling pathway. This data supports the potential to expand the evaluation of linoserpaturev into tumors beyond recurrent HGG, creating a potential pipeline in a product.</w:t>
      </w:r>
    </w:p>
    <w:p>
      <w:pPr>
        <w:pStyle w:val="TextBody"/>
        <w:bidi w:val="0"/>
        <w:spacing w:before="160" w:after="120"/>
        <w:jc w:val="left"/>
        <w:rPr>
          <w:rFonts w:ascii="Arial" w:hAnsi="Arial"/>
          <w:color w:val="000000"/>
          <w:sz w:val="19"/>
        </w:rPr>
      </w:pPr>
      <w:r>
        <w:rPr>
          <w:rFonts w:ascii="Arial" w:hAnsi="Arial"/>
          <w:color w:val="000000"/>
          <w:sz w:val="19"/>
        </w:rPr>
        <w:t>We completed enrollment for the extension cohort of the clinical trial (arm C), in which patients with recurrent glioblastoma receive a repeat dosing regimen of linoserpaturev (up to six injections over four months). Clinical data from arm C will help evaluate whether multiple injections could further improve survival. This clinical trial extension is supported by the Break Through Cancer foundation. In October 2024, at the 16th Annual International Oncolytic Virotherapy Conference (IOVC), we presented initial clinical and biomarker data from Arm C of the linoserpaturev trial. The principal investigator reported improved survival compared to historical controls in patients who received multiple injections of linoserpaturev. Post-treatment longitudinal biopsies showed a near absence of tumor cells with dense lymphocyte infiltration, particularly in patients with post-treatment MRI enhancement, consistent with radiologic pseudo-progression. These findings were reported in a Science Translational Medicine manuscript published in October 2025, which followed two patients from Arm C through 97 serial tumor biopsies. Serial brain biopsy samples showed extensive immune-mediated remodeling of the tumor microenvironment after linoserpaturev administration, characterized by dense lymphocyte infiltration and extensive tumor cell death. One patient achieved a complete pathological response, with clearance of tumor cells from post-treatment biopsies. In contrast, MRI scans for both patients showed apparent tumor enlargement (pseudo-progression), underscoring that conventional imaging criteria may underestimate linoserpaturev’s anti-tumor activity. These results illustrate the limitations of conventional imaging in evaluating the response to viral immunotherapy in glioblastoma and highlight the importance of overall survival data, supported by histology, in this indication.</w:t>
      </w:r>
    </w:p>
    <w:p>
      <w:pPr>
        <w:pStyle w:val="TextBody"/>
        <w:bidi w:val="0"/>
        <w:spacing w:before="0" w:after="120"/>
        <w:jc w:val="left"/>
        <w:rPr>
          <w:rFonts w:ascii="Arial" w:hAnsi="Arial"/>
          <w:color w:val="000000"/>
          <w:sz w:val="19"/>
        </w:rPr>
      </w:pPr>
      <w:r>
        <w:rPr>
          <w:rFonts w:ascii="Arial" w:hAnsi="Arial"/>
          <w:color w:val="000000"/>
          <w:sz w:val="19"/>
        </w:rPr>
        <w:t>In October 2025, we also announced updated OS data for Arm A and Arm B as of August 15, 2025. The updated mOS was 11.8 months for arm A (n=41) (CI: 8.3–14.9) and 12.0 months for arm B (n=9) (CI: 10.0–NA), respectively, after a single injection of linoserpaturev. One patient from arm A and one patient from arm B were still alive after prolonged follow-up (59.2 and 42.4 months, respectively, after linoserpaturev administration). At the time of data cutoff, 9 patients in arm C had received multiple administrations of linoserpaturev. At the 1×10⁸ plaque-forming unit (PFU) dose, 3 patients received 4 injections, 1 patient received 5 injections, and 2 patients received 6 injections. At the 1×10⁷ PFU dose, 1 patient received 4 injections, and 2 patients received 5 injections. Median follow-up was 8.9 months. Four out of 9 patients were alive at the time of data cutoff (range 3.1-28.2 months after initiation of linoserpaturev treatment). Five patients had died, of which 3 died more than one year after initiation of linoserpaturev treatment (range 5.5-21.8 months).</w:t>
      </w:r>
    </w:p>
    <w:p>
      <w:pPr>
        <w:pStyle w:val="TextBody"/>
        <w:bidi w:val="0"/>
        <w:spacing w:before="0" w:after="120"/>
        <w:jc w:val="left"/>
        <w:rPr>
          <w:rFonts w:ascii="Arial" w:hAnsi="Arial"/>
          <w:color w:val="000000"/>
          <w:sz w:val="19"/>
        </w:rPr>
      </w:pPr>
      <w:r>
        <w:rPr>
          <w:rFonts w:ascii="Arial" w:hAnsi="Arial"/>
          <w:color w:val="000000"/>
          <w:sz w:val="19"/>
        </w:rPr>
        <w:t>We expect to present data on potential long-term survivors in the fourth quarter of 2026.</w:t>
      </w:r>
    </w:p>
    <w:p>
      <w:pPr>
        <w:pStyle w:val="TextBody"/>
        <w:bidi w:val="0"/>
        <w:spacing w:before="0" w:after="120"/>
        <w:jc w:val="left"/>
        <w:rPr>
          <w:rFonts w:ascii="Arial" w:hAnsi="Arial"/>
          <w:color w:val="000000"/>
          <w:sz w:val="19"/>
        </w:rPr>
      </w:pPr>
      <w:r>
        <w:rPr>
          <w:rFonts w:ascii="Arial" w:hAnsi="Arial"/>
          <w:color w:val="000000"/>
          <w:sz w:val="19"/>
        </w:rPr>
        <w:t>In January 2026, we received clearance from the FDA for an IND that supports enabling work for a potential future randomized controlled phase 2 dose regimen finding study of linoserpaturev in recurrent glioblastoma.</w:t>
      </w:r>
    </w:p>
    <w:p>
      <w:pPr>
        <w:pStyle w:val="TextBody"/>
        <w:bidi w:val="0"/>
        <w:spacing w:before="0" w:after="120"/>
        <w:jc w:val="left"/>
        <w:rPr>
          <w:rFonts w:ascii="Times New Roman" w:hAnsi="Times New Roman"/>
          <w:sz w:val="20"/>
        </w:rPr>
      </w:pPr>
      <w:r>
        <w:rPr>
          <w:rFonts w:ascii="Arial" w:hAnsi="Arial"/>
          <w:color w:val="000000"/>
          <w:sz w:val="19"/>
        </w:rPr>
        <w:t>We have also designed additional novel viral immunotherapy candidates using our proprietary enLIGHTEN Discovery Platform, a systematic, iterative HSV-based discovery platform leveraging human biology, and advanced analytics to create new viral immunotherapy candidates for solid tumors.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9"/>
        </w:rPr>
        <w:t>In November 2023, during the SITC 2023 Annual Meeting, we presented two posters describing the key elements of the platform and the development of the first experimental agent from the enLIGHTEN Discovery Platform. The first agent based on enLIGHTEN, Alpha-201 Macro1, is an investigational viral immunotherapy designed to interfere with the CD47/SIRPα pathway and activate innate immune surveillance. Results demonstrated monotherapy activity of this agent following local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spacing w:before="40" w:after="120"/>
        <w:jc w:val="left"/>
        <w:rPr>
          <w:rFonts w:ascii="Arial" w:hAnsi="Arial"/>
          <w:color w:val="000000"/>
          <w:sz w:val="19"/>
        </w:rPr>
      </w:pPr>
      <w:r>
        <w:rPr>
          <w:rFonts w:ascii="Arial" w:hAnsi="Arial"/>
          <w:color w:val="000000"/>
          <w:sz w:val="19"/>
        </w:rPr>
        <w:t>administration in a preclinical model of lung and breast cancer. Additional preclinical data presented at SITC confirmed the capability of the enLIGHTEN Advanced Analytics suite to predict optimal gene payload combinations to arm viral vectors, enabling the design of potential combination therapeutics to overcome tumor resistance especially in cancers resistant to immune checkpoint inhibitor treatment.</w:t>
      </w:r>
    </w:p>
    <w:p>
      <w:pPr>
        <w:pStyle w:val="TextBody"/>
        <w:bidi w:val="0"/>
        <w:spacing w:before="0" w:after="120"/>
        <w:jc w:val="left"/>
        <w:rPr>
          <w:rFonts w:ascii="Arial" w:hAnsi="Arial"/>
          <w:color w:val="000000"/>
          <w:sz w:val="19"/>
        </w:rPr>
      </w:pPr>
      <w:r>
        <w:rPr>
          <w:rFonts w:ascii="Arial" w:hAnsi="Arial"/>
          <w:color w:val="000000"/>
          <w:sz w:val="19"/>
        </w:rPr>
        <w:t>In April 2024, during the American Association for Cancer Research's 2024 Annual Meeting, we presented data on a second preclinical candidate from the enLIGHTEN Discovery Platform, a first-in-class multimodal immunotherapy for induction of tertiary lymphoid structures, being developed as a novel therapeutic strategy for solid tumors. Data presented included preclinical in vivo evidence of monotherapy activity of this preclinical candidate as well as activity when administered in combination with immune checkpoint inhibitors (improved survival as compared to PD-1 only treated mice).</w:t>
      </w:r>
    </w:p>
    <w:p>
      <w:pPr>
        <w:pStyle w:val="TextBody"/>
        <w:bidi w:val="0"/>
        <w:spacing w:before="0" w:after="120"/>
        <w:jc w:val="left"/>
        <w:rPr>
          <w:rFonts w:ascii="Arial" w:hAnsi="Arial"/>
          <w:color w:val="000000"/>
          <w:sz w:val="19"/>
        </w:rPr>
      </w:pPr>
      <w:r>
        <w:rPr>
          <w:rFonts w:ascii="Arial" w:hAnsi="Arial"/>
          <w:color w:val="000000"/>
          <w:sz w:val="19"/>
        </w:rPr>
        <w:t>In October 2024, during the 16th Annual IOVC, we presented data on a novel biological multimodal therapeutic from the enLIGHTENTM Discovery Platform, the third preclinical candidate, encoding IL-12 and IL-15. Data included the ability of this asset to induce expansion and activation of natural killer and CD8+ T cells, resulting in significant inhibition of tumor growth and tumor regression in two different tumor models.</w:t>
      </w:r>
    </w:p>
    <w:p>
      <w:pPr>
        <w:pStyle w:val="TextBody"/>
        <w:bidi w:val="0"/>
        <w:spacing w:before="40" w:after="120"/>
        <w:jc w:val="left"/>
        <w:rPr>
          <w:rFonts w:ascii="Times New Roman" w:hAnsi="Times New Roman"/>
          <w:sz w:val="20"/>
        </w:rPr>
      </w:pPr>
      <w:r>
        <w:rPr>
          <w:rFonts w:ascii="Arial" w:hAnsi="Arial"/>
          <w:color w:val="000000"/>
          <w:sz w:val="19"/>
        </w:rPr>
        <w:t>We currently own development and commercialization rights for all our programs in major markets, including the United States, Europe and Asia, allowing us to control development and seek approval in these areas as we prepare our commercialization efforts.</w:t>
      </w:r>
      <w:r>
        <w:rPr>
          <w:rFonts w:ascii="Times New Roman" w:hAnsi="Times New Roman"/>
          <w:color w:val="000000"/>
          <w:sz w:val="20"/>
        </w:rPr>
        <w:t xml:space="preserve"> </w:t>
      </w:r>
    </w:p>
    <w:p>
      <w:pPr>
        <w:pStyle w:val="TextBody"/>
        <w:bidi w:val="0"/>
        <w:jc w:val="left"/>
        <w:rPr>
          <w:rFonts w:ascii="Arial" w:hAnsi="Arial"/>
          <w:b/>
          <w:i/>
          <w:color w:val="000000"/>
          <w:sz w:val="19"/>
        </w:rPr>
      </w:pPr>
      <w:r>
        <w:rPr>
          <w:rFonts w:ascii="Arial" w:hAnsi="Arial"/>
          <w:b/>
          <w:i/>
          <w:color w:val="000000"/>
          <w:sz w:val="19"/>
        </w:rPr>
        <w:t>General Corporate</w:t>
      </w:r>
    </w:p>
    <w:p>
      <w:pPr>
        <w:pStyle w:val="TextBody"/>
        <w:bidi w:val="0"/>
        <w:spacing w:before="120" w:after="283"/>
        <w:jc w:val="left"/>
        <w:rPr>
          <w:rFonts w:ascii="Arial" w:hAnsi="Arial"/>
          <w:color w:val="000000"/>
          <w:sz w:val="19"/>
        </w:rPr>
      </w:pPr>
      <w:r>
        <w:rPr>
          <w:rFonts w:ascii="Arial" w:hAnsi="Arial"/>
          <w:color w:val="000000"/>
          <w:sz w:val="19"/>
        </w:rPr>
        <w:t>We were incorporated in Delaware in June 2003 as Advantagene, Inc. (Advantagene). In December 2019, Advantagene licensed substantially all the assets of Periphagen, a company focused on engineering HSV as a gene therapy vector, and in September 2020, licensed linoserpaturev from Mass General Brigham (MGB). In December 2020, we formally changed our name from Advantagene to Candel Therapeutics, Inc. We completed our initial public offering in July 2021.</w:t>
      </w:r>
    </w:p>
    <w:p>
      <w:pPr>
        <w:pStyle w:val="TextBody"/>
        <w:bidi w:val="0"/>
        <w:spacing w:before="120" w:after="283"/>
        <w:jc w:val="left"/>
        <w:rPr>
          <w:rFonts w:ascii="Times New Roman" w:hAnsi="Times New Roman"/>
          <w:sz w:val="20"/>
        </w:rPr>
      </w:pPr>
      <w:r>
        <w:rPr>
          <w:rFonts w:ascii="Arial" w:hAnsi="Arial"/>
          <w:color w:val="000000"/>
          <w:sz w:val="19"/>
        </w:rPr>
        <w:t>On August 5, 2022, we filed a shelf registration statement on Form S-3 (as amended to date, the 2022 Shelf) with the U.S. Securities and Exchange Commission (SEC), which covered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2022 Shelf (the 2022 ATM Program). The 2022 Shelf was declared effective by the SEC on August 12, 2022 and expired on August 12, 2025. As of August 12, 2025, we had sold and issued 3,923,829 shares of common stock under the 2022 ATM Program, for total net proceeds of $20.9 million.</w:t>
      </w:r>
      <w:r>
        <w:rPr>
          <w:rFonts w:ascii="Times New Roman" w:hAnsi="Times New Roman"/>
          <w:color w:val="000000"/>
          <w:sz w:val="20"/>
        </w:rPr>
        <w:t xml:space="preserve"> </w:t>
      </w:r>
    </w:p>
    <w:p>
      <w:pPr>
        <w:pStyle w:val="TextBody"/>
        <w:bidi w:val="0"/>
        <w:spacing w:before="160" w:after="120"/>
        <w:jc w:val="left"/>
        <w:rPr>
          <w:rFonts w:ascii="Arial" w:hAnsi="Arial"/>
          <w:color w:val="000000"/>
          <w:sz w:val="19"/>
        </w:rPr>
      </w:pPr>
      <w:r>
        <w:rPr>
          <w:rFonts w:ascii="Arial" w:hAnsi="Arial"/>
          <w:color w:val="000000"/>
          <w:sz w:val="19"/>
        </w:rPr>
        <w:t>On December 16, 2024, we issued and sold 12,000,001 shares of common stock at a price to the public of $6.00 per share and pre-funded warrants to purchase up to an aggregate of 3,333,333 shares of common stock at a price to the public of $5.99 per pre-funded warrant to purchase one share of the common stock for aggregate gross proceeds of approximately $92.0 million (the 2024 Follow-On Offering). We received approximately $85.9 million in net proceeds from the 2024 Follow-On Offering after deducting underwriting discounts and commissions and offering expenses. All pre-funded warrants were exercised in 2025.</w:t>
      </w:r>
    </w:p>
    <w:p>
      <w:pPr>
        <w:pStyle w:val="TextBody"/>
        <w:bidi w:val="0"/>
        <w:spacing w:before="40" w:after="120"/>
        <w:jc w:val="left"/>
        <w:rPr>
          <w:rFonts w:ascii="Times New Roman" w:hAnsi="Times New Roman"/>
          <w:sz w:val="20"/>
        </w:rPr>
      </w:pPr>
      <w:r>
        <w:rPr>
          <w:rFonts w:ascii="Arial" w:hAnsi="Arial"/>
          <w:color w:val="000000"/>
          <w:sz w:val="19"/>
        </w:rPr>
        <w:t>On June 25, 2025, we issued and sold 3,221,395 shares of common stock at a price per share of $4.67 to purchasers including existing healthcare-focused institutional investors, executive officers, and directors of the Company in a registered direct offering for aggregate gross proceeds of approximately $15.0 million, before deducting offering expenses payable by us (the Registered Direct Offering). We received approximately $14.3 million in net proceeds from the Registered Direct Offering after deducting offering expenses.</w:t>
      </w:r>
      <w:r>
        <w:rPr>
          <w:rFonts w:ascii="Times New Roman" w:hAnsi="Times New Roman"/>
          <w:color w:val="000000"/>
          <w:sz w:val="20"/>
        </w:rPr>
        <w:t xml:space="preserve"> </w:t>
      </w:r>
    </w:p>
    <w:p>
      <w:pPr>
        <w:pStyle w:val="TextBody"/>
        <w:bidi w:val="0"/>
        <w:jc w:val="left"/>
        <w:rPr>
          <w:rFonts w:ascii="Arial" w:hAnsi="Arial"/>
          <w:color w:val="000000"/>
          <w:sz w:val="19"/>
        </w:rPr>
      </w:pPr>
      <w:r>
        <w:rPr>
          <w:rFonts w:ascii="Arial" w:hAnsi="Arial"/>
          <w:color w:val="000000"/>
          <w:sz w:val="19"/>
        </w:rPr>
        <w:t>On August 14, 2025, we filed a shelf registration statement on Form S-3 (the 2025 Shelf) with the SEC, which covers the offering, issuance, and sale by us of up to an aggregate of $300.0 million of our common stock, preferred stock, debt securities, warrants and/or units of any combination thereof. We simultaneously entered into a sales agreement with Jefferies LLC, as sales agent, to provide for the issuance and sale by us of up to $50.0 million of our common stock from time to time in “at-the-market” offerings under the 2025 Shelf (the 2025 ATM Program). The 2025 Shelf was declared effective by the SEC on August 22, 2025. As of June 30, 2026, the Company has sold and issued 2,838,894 shares of common stock under the 2025 ATM Program, for total net proceeds of $24.2 million. Subsequent to June 30, 2026 and through August 11, 2026, the Company has sold and issued 617,345 additional shares of common stock under the 2025 ATM Program, for total net proceeds of $6.3 million.</w:t>
      </w:r>
    </w:p>
    <w:p>
      <w:pPr>
        <w:pStyle w:val="TextBody"/>
        <w:bidi w:val="0"/>
        <w:spacing w:before="160" w:after="120"/>
        <w:jc w:val="left"/>
        <w:rPr>
          <w:rFonts w:ascii="Arial" w:hAnsi="Arial"/>
          <w:color w:val="000000"/>
          <w:sz w:val="19"/>
        </w:rPr>
      </w:pPr>
      <w:r>
        <w:rPr>
          <w:rFonts w:ascii="Arial" w:hAnsi="Arial"/>
          <w:color w:val="000000"/>
          <w:sz w:val="19"/>
        </w:rPr>
        <w:t>On February 23, 2026, we issued and sold 18,348,624 shares of common stock at a price to the public of $5.45 per share for aggregate gross proceeds of approximately $100 million (the 2026 Follow-On Offering). We received approximately $93.5 million in net proceeds from the 2026 Follow-On Offering after deducting underwriting discounts and commissions and offering expenses.</w:t>
      </w:r>
    </w:p>
    <w:p>
      <w:pPr>
        <w:pStyle w:val="TextBody"/>
        <w:bidi w:val="0"/>
        <w:spacing w:before="40" w:after="120"/>
        <w:jc w:val="left"/>
        <w:rPr>
          <w:rFonts w:ascii="Arial" w:hAnsi="Arial"/>
          <w:color w:val="000000"/>
          <w:sz w:val="19"/>
        </w:rPr>
      </w:pPr>
      <w:r>
        <w:rPr>
          <w:rFonts w:ascii="Arial" w:hAnsi="Arial"/>
          <w:color w:val="000000"/>
          <w:sz w:val="19"/>
        </w:rPr>
        <w:t>Our cash and cash equivalents were $201.6 million as of June 30, 2026. We believe our existing cash and cash equivalents will enable us to fund our operating expenses and capital expenditure requirements into the first quarter of 2028.</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sz w:val="20"/>
        </w:rPr>
      </w:pPr>
      <w:r>
        <w:rPr>
          <w:rFonts w:ascii="Arial" w:hAnsi="Arial"/>
          <w:b/>
          <w:color w:val="000000"/>
          <w:sz w:val="20"/>
        </w:rPr>
        <w:t>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We are a party to a number of license, royalty and collaboration agreements under which we license patents, patent applications and other intellectual property to and from third parties.</w:t>
      </w:r>
      <w:r>
        <w:rPr>
          <w:rFonts w:ascii="Times New Roman" w:hAnsi="Times New Roman"/>
          <w:color w:val="000000"/>
          <w:sz w:val="20"/>
        </w:rPr>
        <w:t xml:space="preserve"> </w:t>
      </w:r>
    </w:p>
    <w:p>
      <w:pPr>
        <w:pStyle w:val="TextBody"/>
        <w:bidi w:val="0"/>
        <w:spacing w:before="160" w:after="120"/>
        <w:jc w:val="left"/>
        <w:rPr>
          <w:rFonts w:ascii="Times New Roman" w:hAnsi="Times New Roman"/>
          <w:sz w:val="20"/>
        </w:rPr>
      </w:pPr>
      <w:r>
        <w:rPr>
          <w:rFonts w:ascii="Arial" w:hAnsi="Arial"/>
          <w:b/>
          <w:i/>
          <w:color w:val="000000"/>
          <w:sz w:val="20"/>
        </w:rPr>
        <w:t>RTW.</w:t>
      </w:r>
      <w:r>
        <w:rPr>
          <w:rFonts w:ascii="Times New Roman" w:hAnsi="Times New Roman"/>
          <w:color w:val="000000"/>
          <w:sz w:val="20"/>
        </w:rPr>
        <w:t xml:space="preserve"> </w:t>
      </w:r>
      <w:r>
        <w:rPr>
          <w:rFonts w:ascii="Arial" w:hAnsi="Arial"/>
          <w:color w:val="000000"/>
          <w:sz w:val="19"/>
        </w:rPr>
        <w:t>On February 19, 2026, we entered into a purchase and sale agreement (the RTW Purchase Agreement) with funds managed by RTW Investments, LP (RTW). Under the terms of the RTW Purchase Agreement, RTW has agreed to pay us $100 million (the RTW Purchase Price) upon the marketing approval of aglatimagene for the treatment of intermediate-risk and high-risk localized prostate cancer by the FDA in exchange for a tiered royalty on future net sales of aglatimagene in the United States. RTW will be entitled to a 4.67% royalty on the portion of annual net sales in the United States that is less than or equal to $1 billion, and a 1.33% royalty on the portion of annual net sales in the United States, exceeding $1 billion. The 4.67% tier will increase to 6.67% if annual net sales do not achieve certain specified levels (the Ratchet), subject to a cure opportunity by us (provided that such Ratchet and cure opportunity may each subsequently occur more than once).</w:t>
      </w:r>
      <w:r>
        <w:rPr>
          <w:rFonts w:ascii="Times New Roman" w:hAnsi="Times New Roman"/>
          <w:color w:val="000000"/>
          <w:sz w:val="20"/>
        </w:rPr>
        <w:t xml:space="preserve"> </w:t>
      </w:r>
    </w:p>
    <w:p>
      <w:pPr>
        <w:pStyle w:val="TextBody"/>
        <w:bidi w:val="0"/>
        <w:spacing w:before="40" w:after="120"/>
        <w:jc w:val="left"/>
        <w:rPr>
          <w:rFonts w:ascii="Arial" w:hAnsi="Arial"/>
          <w:color w:val="000000"/>
          <w:sz w:val="19"/>
        </w:rPr>
      </w:pPr>
      <w:r>
        <w:rPr>
          <w:rFonts w:ascii="Arial" w:hAnsi="Arial"/>
          <w:color w:val="000000"/>
          <w:sz w:val="19"/>
        </w:rPr>
        <w:t>The royalty payments become payable following the first commercial sale of aglatimagene in the United States and end upon RTW’s receipt of $250 million in royalty payments (the RTW Royalty Cap). If we undergo a change of control with, or sell aglatimagene and all of the aglatimagene rights to, a third party, the RTW Purchase Agreement provides the Company and RTW with an option for us to pay certain specified amounts to terminate the RTW Purchase Agreement, depending upon the timing for such transaction, up to the RTW Royalty Cap (the Buy-Out Option). If either party exercises the Buy-Out Option, the RTW Purchase Agreement will automatically terminate upon payment of the specified amount.</w:t>
      </w:r>
    </w:p>
    <w:p>
      <w:pPr>
        <w:pStyle w:val="TextBody"/>
        <w:bidi w:val="0"/>
        <w:spacing w:before="40" w:after="120"/>
        <w:jc w:val="left"/>
        <w:rPr>
          <w:rFonts w:ascii="Arial" w:hAnsi="Arial"/>
          <w:color w:val="000000"/>
          <w:sz w:val="19"/>
        </w:rPr>
      </w:pPr>
      <w:r>
        <w:rPr>
          <w:rFonts w:ascii="Arial" w:hAnsi="Arial"/>
          <w:color w:val="000000"/>
          <w:sz w:val="19"/>
        </w:rPr>
        <w:t>The transaction is subject to certain closing conditions, including that FDA approval must occur by a specified date, conditions related to our indebtedness and other customary closing conditions. The RTW Purchase Agreement also contains customary representations, warranties and indemnities on the part of us and RTW and customary covenants on the part of us, including around our indebtedness as well as licensing and other activities related to aglatimagene and its rights.</w:t>
      </w:r>
    </w:p>
    <w:p>
      <w:pPr>
        <w:pStyle w:val="TextBody"/>
        <w:bidi w:val="0"/>
        <w:spacing w:before="40" w:after="283"/>
        <w:jc w:val="left"/>
        <w:rPr>
          <w:rFonts w:ascii="Times New Roman" w:hAnsi="Times New Roman"/>
          <w:sz w:val="20"/>
        </w:rPr>
      </w:pPr>
      <w:r>
        <w:rPr>
          <w:rFonts w:ascii="Arial" w:hAnsi="Arial"/>
          <w:b/>
          <w:i/>
          <w:color w:val="000000"/>
          <w:sz w:val="20"/>
        </w:rPr>
        <w:t>Periphagen</w:t>
      </w:r>
      <w:r>
        <w:rPr>
          <w:rFonts w:ascii="Arial" w:hAnsi="Arial"/>
          <w:color w:val="000000"/>
          <w:sz w:val="20"/>
        </w:rPr>
        <w:t>.</w:t>
      </w:r>
      <w:r>
        <w:rPr>
          <w:rFonts w:ascii="Times New Roman" w:hAnsi="Times New Roman"/>
          <w:color w:val="000000"/>
          <w:sz w:val="20"/>
        </w:rPr>
        <w:t xml:space="preserve"> </w:t>
      </w:r>
      <w:r>
        <w:rPr>
          <w:rFonts w:ascii="Arial" w:hAnsi="Arial"/>
          <w:color w:val="000000"/>
          <w:sz w:val="19"/>
        </w:rPr>
        <w:t>On December 9, 2019, we entered into a series of agreements, including an exclusive license agreement, a novation agreement, an 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On June 7, 2023, we entered into an amendment to the exclusive license agreement. Under the amendment, our rights to the NT-3 Assets and Gene Transfer Neuro-Assets reverted to Periphagen, and we no longer have any obligations (including without limitation diligence obligations and payment obligations) with respect to the NT-3 Assets or Gene Transfer Neuro-Assets. With respect to the remaining Licensed IP Rights, we retained a worldwide exclusive license with the right to grant sublicenses through multiple tiers under the Licensed IP Rights to conduct research and to develop, make, have made, use, have used, offer for sale, have sold, export and import products incorporating the Licensed IP Rights in field of the treatment, diagnosis, and prevention of oncologic diseases and conditions.</w:t>
      </w:r>
    </w:p>
    <w:p>
      <w:pPr>
        <w:pStyle w:val="TextBody"/>
        <w:bidi w:val="0"/>
        <w:spacing w:before="160" w:after="283"/>
        <w:jc w:val="left"/>
        <w:rPr>
          <w:rFonts w:ascii="Times New Roman" w:hAnsi="Times New Roman"/>
          <w:sz w:val="20"/>
        </w:rPr>
      </w:pPr>
      <w:r>
        <w:rPr>
          <w:rFonts w:ascii="Arial" w:hAnsi="Arial"/>
          <w:b/>
          <w:i/>
          <w:color w:val="000000"/>
          <w:sz w:val="20"/>
        </w:rPr>
        <w:t>Mass General Brigham (MGB)</w:t>
      </w:r>
      <w:r>
        <w:rPr>
          <w:rFonts w:ascii="Arial" w:hAnsi="Arial"/>
          <w:color w:val="000000"/>
          <w:sz w:val="20"/>
        </w:rPr>
        <w:t xml:space="preserve">. </w:t>
      </w:r>
      <w:r>
        <w:rPr>
          <w:rFonts w:ascii="Arial" w:hAnsi="Arial"/>
          <w:color w:val="000000"/>
          <w:sz w:val="19"/>
        </w:rPr>
        <w:t>On January 20, 2018, we entered into an exclusive option agreement (the Option Agreement) with MGB. Pursuant to the Option Agreement, we obtained the exclusive right from MGB to negotiate a world-wide, royalty-bearing license to develop and commercialize products covered by certain MGB patents, including those patents covering linoserpaturev,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financial support for the performance of a specified phase 1 clinical trial by MGB pursuant to a protocol summary contained in the Option Agreement.</w:t>
      </w:r>
    </w:p>
    <w:p>
      <w:pPr>
        <w:pStyle w:val="TextBody"/>
        <w:bidi w:val="0"/>
        <w:spacing w:before="120" w:after="283"/>
        <w:jc w:val="left"/>
        <w:rPr>
          <w:rFonts w:ascii="Times New Roman" w:hAnsi="Times New Roman"/>
          <w:sz w:val="20"/>
        </w:rPr>
      </w:pPr>
      <w:r>
        <w:rPr>
          <w:rFonts w:ascii="Arial" w:hAnsi="Arial"/>
          <w:color w:val="000000"/>
          <w:sz w:val="19"/>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Arial" w:hAnsi="Arial"/>
          <w:color w:val="000000"/>
          <w:sz w:val="19"/>
        </w:rPr>
        <w:t>a license issue fee and also agreed to reimburse MGB for all reasonable fees and expenses MGB had incurred and will incur for the preparation, filing, prosecution and maintenance of the licensed patent rights.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i/>
          <w:color w:val="000000"/>
          <w:sz w:val="20"/>
        </w:rPr>
        <w:t>Ventagen</w:t>
      </w:r>
      <w:r>
        <w:rPr>
          <w:rFonts w:ascii="Arial" w:hAnsi="Arial"/>
          <w:color w:val="000000"/>
          <w:sz w:val="20"/>
        </w:rPr>
        <w:t xml:space="preserve">. </w:t>
      </w:r>
      <w:r>
        <w:rPr>
          <w:rFonts w:ascii="Arial" w:hAnsi="Arial"/>
          <w:color w:val="000000"/>
          <w:sz w:val="19"/>
        </w:rPr>
        <w:t>On March 1, 2014, we entered into an exclusive license agreement (the Ventagen Agreement) with Ventagen, a related party. The Ventagen Agreement provides Ventagen an exclusive license, with rights to grant sublicense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 Mexico, Belize, Guatemala, Honduras, El Salvador, Costa Rica, Nicaragua, Panama, Colombia and Bolivia.</w:t>
      </w:r>
    </w:p>
    <w:p>
      <w:pPr>
        <w:pStyle w:val="TextBody"/>
        <w:bidi w:val="0"/>
        <w:spacing w:before="160" w:after="283"/>
        <w:jc w:val="left"/>
        <w:rPr>
          <w:rFonts w:ascii="Arial" w:hAnsi="Arial"/>
          <w:b/>
          <w:color w:val="000000"/>
          <w:sz w:val="20"/>
        </w:rPr>
      </w:pPr>
      <w:r>
        <w:rPr>
          <w:rFonts w:ascii="Arial" w:hAnsi="Arial"/>
          <w:b/>
          <w:color w:val="000000"/>
          <w:sz w:val="20"/>
        </w:rPr>
        <w:t>Components of Our Results of Operations</w:t>
      </w:r>
    </w:p>
    <w:p>
      <w:pPr>
        <w:pStyle w:val="TextBody"/>
        <w:bidi w:val="0"/>
        <w:spacing w:before="160" w:after="283"/>
        <w:jc w:val="left"/>
        <w:rPr>
          <w:rFonts w:ascii="Times New Roman" w:hAnsi="Times New Roman"/>
          <w:sz w:val="20"/>
        </w:rPr>
      </w:pPr>
      <w:r>
        <w:rPr>
          <w:rFonts w:ascii="Arial" w:hAnsi="Arial"/>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To date, we have not generated any revenue from product sales and do not expect to generate any revenue from sales of products in the foreseeable future.</w:t>
      </w:r>
    </w:p>
    <w:p>
      <w:pPr>
        <w:pStyle w:val="TextBody"/>
        <w:bidi w:val="0"/>
        <w:spacing w:before="160" w:after="283"/>
        <w:jc w:val="left"/>
        <w:rPr>
          <w:rFonts w:ascii="Arial" w:hAnsi="Arial"/>
          <w:b/>
          <w:i/>
          <w:color w:val="000000"/>
          <w:sz w:val="20"/>
        </w:rPr>
      </w:pPr>
      <w:r>
        <w:rPr>
          <w:rFonts w:ascii="Arial" w:hAnsi="Arial"/>
          <w:b/>
          <w:i/>
          <w:color w:val="000000"/>
          <w:sz w:val="20"/>
        </w:rPr>
        <w:t>Operating Expenses</w:t>
      </w:r>
    </w:p>
    <w:p>
      <w:pPr>
        <w:pStyle w:val="TextBody"/>
        <w:bidi w:val="0"/>
        <w:spacing w:before="120" w:after="283"/>
        <w:jc w:val="left"/>
        <w:rPr>
          <w:rFonts w:ascii="Times New Roman" w:hAnsi="Times New Roman"/>
          <w:sz w:val="20"/>
        </w:rPr>
      </w:pPr>
      <w:r>
        <w:rPr>
          <w:rFonts w:ascii="Arial" w:hAnsi="Arial"/>
          <w:color w:val="000000"/>
          <w:sz w:val="19"/>
        </w:rPr>
        <w:t>Our operating expenses since inception have consisted solely of research and development costs and general and administrative costs.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Research and development expenses consist primarily of costs incurred for our product development activities for our two primary drug candidates, aglatimagene and linoserpaturev. We expense research and development costs as incurred. These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employee-related costs, including salaries, benefits and stock-based compensation expense, for personnel engaged in research, development and clinical management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expenses incurred under agreements with third party clinical sites for the treatment and follow-up for patients enrolled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cost of acquiring and manufacturing preclinical study materials, including manufacturing registration and validation batches;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payments made under third-party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costs incurred to develop the manufacturing process and capabilities for future clinical trials and commercialization. Our clinical trial material for use in our existing clinical trials was manufactured in prior years;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costs related to compliance with quality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costs of outside consultants, primarily related to regulatory;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facility-related expenses, which include direct depreciation costs and expenses for rent and maintenance of facilities and insurance, and other operating costs if specifically identifiable to research and development activities.</w:t>
      </w:r>
    </w:p>
    <w:p>
      <w:pPr>
        <w:pStyle w:val="TextBody"/>
        <w:bidi w:val="0"/>
        <w:spacing w:before="120" w:after="283"/>
        <w:jc w:val="left"/>
        <w:rPr>
          <w:rFonts w:ascii="Arial" w:hAnsi="Arial"/>
          <w:color w:val="000000"/>
          <w:sz w:val="19"/>
        </w:rPr>
      </w:pPr>
      <w:r>
        <w:rPr>
          <w:rFonts w:ascii="Arial" w:hAnsi="Arial"/>
          <w:color w:val="000000"/>
          <w:sz w:val="19"/>
        </w:rPr>
        <w:t>We expect that our research and development expenses will continue to increase substantially for the foreseeable future and will comprise a larger percentage of our total expenses as we complete our clinical trials and commence additional clinical trials, continue to discover and develop additional product candidates and develop and scale our manufacturing capabilities. Product candidates in later stages of clinical development generally have higher development costs than those in earlier stages of clinical development, primarily due to increased scale and duration of later stage clinical trials.</w:t>
      </w:r>
    </w:p>
    <w:p>
      <w:pPr>
        <w:pStyle w:val="TextBody"/>
        <w:bidi w:val="0"/>
        <w:spacing w:before="120" w:after="283"/>
        <w:jc w:val="left"/>
        <w:rPr>
          <w:rFonts w:ascii="Arial" w:hAnsi="Arial"/>
          <w:color w:val="000000"/>
          <w:sz w:val="19"/>
        </w:rPr>
      </w:pPr>
      <w:r>
        <w:rPr>
          <w:rFonts w:ascii="Arial" w:hAnsi="Arial"/>
          <w:color w:val="000000"/>
          <w:sz w:val="19"/>
        </w:rPr>
        <w:t>We cannot determine with certainty the duration and costs of future clinical trials of aglatimagene and linoserpaturev or any other product candidate we may develop or if, when, or to what extent we will generate revenue from the commercialization and sale of any product candidate for which we obtain marketing approval. At this time, we cannot accurately estimate or know the nature, timing and costs of the efforts that will be necessary to complete the clinical development of, or obtain regulatory approval for, any of our current or future product candidates. The duration, costs, and timing of clinical trials and development of aglatimagene and linoserpaturev and any other product candidate we may develop will depend on a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scope, rate of progress, expense and results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successful enrollment in and completion of clinical trials, including our ability to generate positive data from any such trials;</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add and retain key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actual probability of success for our product candidates, including their safety and efficacy, early clinical data, competition, manufacturing capability, and commercial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significant and changing government regulation and regulatory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timing and receipt of any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progress of the development efforts of parties with whom we may enter into collaboration agreements, and the terms and timing of any additional collaboration agreements, license or other arrangement, including the timing of any payments thereunder;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enter into agreements with contract development and manufacturing organizations (CDMOs) for the development, clinical manufacture and commercial manufacture of our product candidates aglatimagene and linoserpaturev;</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costs related to manufacturing of our product candidates or to account for any future changes in our manufacturing plans;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successfully commercialize our product candidates, if and when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raising additional funds necessary to complete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obtain and maintain third-party insurance coverage and adequate reimbursement for our product candidates, if and when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acceptance of our product candidates, if approved,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effectively competing with other products if our product candidates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impact of any business interruptions to our operations, including the timing and enrollment of patients in our planned clinical trials, or to those of our manufacturers, suppliers, or other vendors, resulting from any future public health crisis, ongoing geopolitical conflicts and related global economic sanctions, or tariffs or other trade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maintain a continued acceptable safety profile for our therapies following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obtain and maintain patents, trade secret and other intellectual property protection and regulatory exclusivity for our product candidates, both in the United States and internationally;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expense of filing, prosecuting, defending and enforcing any patent claims and other intellectual property rights.</w:t>
      </w:r>
    </w:p>
    <w:p>
      <w:pPr>
        <w:pStyle w:val="TextBody"/>
        <w:bidi w:val="0"/>
        <w:spacing w:before="120" w:after="283"/>
        <w:jc w:val="left"/>
        <w:rPr>
          <w:rFonts w:ascii="Times New Roman" w:hAnsi="Times New Roman"/>
          <w:sz w:val="20"/>
        </w:rPr>
      </w:pPr>
      <w:r>
        <w:rPr>
          <w:rFonts w:ascii="Arial" w:hAnsi="Arial"/>
          <w:color w:val="000000"/>
          <w:sz w:val="19"/>
        </w:rPr>
        <w:t>A change in the outcome of any of these variables with respect to the development of a product candidate could significantly change the costs and timing associated with the development of that product candidate. We may never succeed in obtaining regulatory approval for any of our product candidates.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commercial readiness costs; insurance costs including directors and officers insurance; travel expenses; and facility-related expenses, which include direct depreciation costs and expenses for rent and maintenance of facilities, and other operating costs that are not specifically attributable to research and development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We expect that our general and administrative expenses will increase in the future as we increase our personnel headcount to support our continued clinical development and manufacturing activities. We expect to continue to incur increased expenses associated with being a public company, including costs of accounting, audit, legal, regulatory, and tax-related services associated with maintaining compliance with exchange listing and SEC requirements; director and officer insurance costs; and investor and public relations costs.</w:t>
      </w:r>
      <w:r>
        <w:rPr>
          <w:rFonts w:ascii="Times New Roman" w:hAnsi="Times New Roman"/>
          <w:color w:val="000000"/>
          <w:sz w:val="20"/>
        </w:rPr>
        <w:t xml:space="preserve"> </w:t>
      </w:r>
    </w:p>
    <w:p>
      <w:pPr>
        <w:pStyle w:val="TextBody"/>
        <w:bidi w:val="0"/>
        <w:spacing w:before="160" w:after="120"/>
        <w:jc w:val="left"/>
        <w:rPr>
          <w:rFonts w:ascii="Arial" w:hAnsi="Arial"/>
          <w:b/>
          <w:i/>
          <w:color w:val="000000"/>
          <w:sz w:val="20"/>
        </w:rPr>
      </w:pPr>
      <w:r>
        <w:rPr>
          <w:rFonts w:ascii="Arial" w:hAnsi="Arial"/>
          <w:b/>
          <w:i/>
          <w:color w:val="000000"/>
          <w:sz w:val="20"/>
        </w:rPr>
        <w:t>Grant Income</w:t>
      </w:r>
    </w:p>
    <w:p>
      <w:pPr>
        <w:pStyle w:val="TextBody"/>
        <w:bidi w:val="0"/>
        <w:jc w:val="left"/>
        <w:rPr>
          <w:rFonts w:ascii="Arial" w:hAnsi="Arial"/>
          <w:color w:val="000000"/>
          <w:sz w:val="19"/>
        </w:rPr>
      </w:pPr>
      <w:r>
        <w:rPr>
          <w:rFonts w:ascii="Arial" w:hAnsi="Arial"/>
          <w:color w:val="000000"/>
          <w:sz w:val="19"/>
        </w:rPr>
        <w:t>Grant income consists of amounts received under a grant from the Massachusetts Life Sciences Center.</w:t>
      </w:r>
    </w:p>
    <w:p>
      <w:pPr>
        <w:pStyle w:val="TextBody"/>
        <w:bidi w:val="0"/>
        <w:spacing w:before="160" w:after="283"/>
        <w:jc w:val="left"/>
        <w:rPr>
          <w:rFonts w:ascii="Arial" w:hAnsi="Arial"/>
          <w:b/>
          <w:i/>
          <w:color w:val="000000"/>
          <w:sz w:val="20"/>
        </w:rPr>
      </w:pPr>
      <w:r>
        <w:rPr>
          <w:rFonts w:ascii="Arial" w:hAnsi="Arial"/>
          <w:b/>
          <w:i/>
          <w:color w:val="000000"/>
          <w:sz w:val="20"/>
        </w:rPr>
        <w:t>Interest Income</w:t>
      </w:r>
    </w:p>
    <w:p>
      <w:pPr>
        <w:pStyle w:val="TextBody"/>
        <w:bidi w:val="0"/>
        <w:spacing w:before="120" w:after="283"/>
        <w:jc w:val="left"/>
        <w:rPr>
          <w:rFonts w:ascii="Arial" w:hAnsi="Arial"/>
          <w:color w:val="000000"/>
          <w:sz w:val="19"/>
        </w:rPr>
      </w:pPr>
      <w:r>
        <w:rPr>
          <w:rFonts w:ascii="Arial" w:hAnsi="Arial"/>
          <w:color w:val="000000"/>
          <w:sz w:val="19"/>
        </w:rPr>
        <w:t>Interest income primarily consists of amounts earned on investment of cash equivalents.</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Arial" w:hAnsi="Arial"/>
          <w:b/>
          <w:i/>
          <w:color w:val="000000"/>
          <w:sz w:val="20"/>
        </w:rPr>
      </w:pPr>
      <w:r>
        <w:rPr>
          <w:rFonts w:ascii="Arial" w:hAnsi="Arial"/>
          <w:b/>
          <w:i/>
          <w:color w:val="000000"/>
          <w:sz w:val="20"/>
        </w:rPr>
        <w:t>Interest Expense</w:t>
      </w:r>
    </w:p>
    <w:p>
      <w:pPr>
        <w:pStyle w:val="TextBody"/>
        <w:bidi w:val="0"/>
        <w:spacing w:before="120" w:after="283"/>
        <w:jc w:val="left"/>
        <w:rPr>
          <w:rFonts w:ascii="Arial" w:hAnsi="Arial"/>
          <w:color w:val="000000"/>
          <w:sz w:val="19"/>
        </w:rPr>
      </w:pPr>
      <w:r>
        <w:rPr>
          <w:rFonts w:ascii="Arial" w:hAnsi="Arial"/>
          <w:color w:val="000000"/>
          <w:sz w:val="19"/>
        </w:rPr>
        <w:t>Interest expense primarily consists of interest expense on our debt under our Loan and Security Agreement with Trinity and our previous Loan Agreement with SVB.</w:t>
      </w:r>
    </w:p>
    <w:p>
      <w:pPr>
        <w:pStyle w:val="TextBody"/>
        <w:bidi w:val="0"/>
        <w:spacing w:before="160" w:after="283"/>
        <w:jc w:val="left"/>
        <w:rPr>
          <w:rFonts w:ascii="Times New Roman" w:hAnsi="Times New Roman"/>
          <w:sz w:val="20"/>
        </w:rPr>
      </w:pPr>
      <w:r>
        <w:rPr>
          <w:rFonts w:ascii="Arial" w:hAnsi="Arial"/>
          <w:b/>
          <w:i/>
          <w:color w:val="000000"/>
          <w:sz w:val="20"/>
        </w:rPr>
        <w:t>Change in Fair Value of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In connection with the November 13, 2018 issuance of Series B preferred stock, we issued warrants to the purchasers of the Series B preferred stock, to purchase up to 7,344,968 shares of our common stock with an exercise price of $6.81 per share. On October 14, 2025, the Company entered into an amendment (the Warrant Amendment) with holders, including affiliates of Paul Manning and Chris Martell, who are directors of the Company, of the Series B Warrants and the Conditional Series B Warrants. Pursuant to the Warrant Amendment, the holders agreed (i) to extend the expiration date of the Series B Warrants and the Conditional Series B Warrants from November 2025 to September 2027; (ii) to irrevocably release the Company and its directors, officers and affiliates (collectively, the Releasees) from any and all claims that the holders may have against the Releasees related to any alleged breach of or wrongful act under that certain Series B Preferred Stock Purchase Agreement dated November 13, 2018 by and between the Company and PBM ADV Holdings, LLC (the Purchase Agreement) and the issuance of shares of the Company’s Series B preferred stock or existing warrants under the Purchase Agreement; (iii) to not, during the six months following the Warrant Amendment, (x) transfer or dispose of any shares of Common Stock or any securities convertible into or exercisable or exchangeable for Common Stock, or (y) enter into any swap or other arrangement that transfers to another any of the economic consequences of ownership of such securities, subject to certain exceptions set forth in the Warrant Amendment; and (iv) that, if requested by the underwriters in any equity financing transaction undertaken by the Company prior to September 30, 2027, to execute a standard lock-up agreement in connection with such equity financing.</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We also issued a warrant to the NC Incorporated Ohio Trust, an irrevocable trust funded by us, to purchase 162,740 shares of our common stock, $0.01 par value, at an exercise price of $1.46 per share, subject to adjustments as specified in the warrant agreement (the NC Ohio Warrants). Certain of those warrants are recorded as a liability on our balance sheet. The warrants recorded as a liability are remeasured to their fair value at each reporting date with changes in the fair value recognized as a component of other income (expense), net in the condensed consolidated statements of operations and comprehensive income (loss). We will continue to recognize changes in the fair value of the warrants until they are exercised, expire or qualify for equity classification. The fair value of the warrants is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and the remaining contractual term of the warrants.</w:t>
      </w:r>
    </w:p>
    <w:p>
      <w:pPr>
        <w:pStyle w:val="TextBody"/>
        <w:bidi w:val="0"/>
        <w:spacing w:before="120" w:after="283"/>
        <w:jc w:val="left"/>
        <w:rPr>
          <w:rFonts w:ascii="Arial" w:hAnsi="Arial"/>
          <w:color w:val="000000"/>
          <w:sz w:val="19"/>
        </w:rPr>
      </w:pPr>
      <w:r>
        <w:rPr>
          <w:rFonts w:ascii="Arial" w:hAnsi="Arial"/>
          <w:color w:val="000000"/>
          <w:sz w:val="19"/>
        </w:rPr>
        <w:t>In connection with the October 14, 2025 Trinity LSA, we issued warrants to the Lenders to purchase up to 254,642 shares of our common stock, $0.01 par value, at an exercise price of $5.89 per share. In connection with the drawdown of any Tranche under the Trinity LSA, the Company is required to issue to the Lenders warrants (the Lender Warrants) to purchase shares of the Company’s common stock, $0.01 par value per share. The exercise price for the Lender Warrants is equal to $5.89 per share. The number of shares of common stock for which each Lender Warrant is exercisable is equal to 3.0% of the applicable drawn down amount, divided by the exercise price. The Lender Warrants shall have a term of ten years from the date of issuance and shall permit cashless net exercise, all in accordance with their terms. Certain of those warrants are recorded as a liability on our balance sheet. The warrants recorded as a liability are remeasured to their fair value at each reporting date with changes in the fair value recognized as a component of other income (expense), net in the consolidated statements of operations. We will continue to recognize changes in the fair value of the warrants until they are exercised, expire or qualify for equity classification. The fair value of the warrants is determined based on significant inputs not observable in the market. The fair value of the warrants is determined using a hybrid Monte Carlo simulation and Black-Scholes methodology, which incorporates assumptions and estimates to value the common stock warrants. Key inputs, estimates, and assumptions impacting the fair value measurement include the Company stock price, risk-free interest rate, expected dividend yield, volatility, remaining contractual term of the warrants, timing of milestone achievements, and expected stock price increases and decreases in success and failure scenarios related to the milestones.</w:t>
      </w:r>
    </w:p>
    <w:p>
      <w:pPr>
        <w:pStyle w:val="TextBody"/>
        <w:bidi w:val="0"/>
        <w:spacing w:before="160" w:after="283"/>
        <w:jc w:val="left"/>
        <w:rPr>
          <w:rFonts w:ascii="Times New Roman" w:hAnsi="Times New Roman"/>
          <w:sz w:val="20"/>
        </w:rPr>
      </w:pPr>
      <w:r>
        <w:rPr>
          <w:rFonts w:ascii="Arial" w:hAnsi="Arial"/>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Since our inception, we have generated cumulative federal and state net operating loss and research and development credit carryforwards for which we have not recorded any net tax benefit due to uncertainty around utilizing these tax attributes within their respective carryforward periods.</w:t>
      </w:r>
    </w:p>
    <w:p>
      <w:pPr>
        <w:pStyle w:val="TextBody"/>
        <w:bidi w:val="0"/>
        <w:spacing w:before="120" w:after="120"/>
        <w:jc w:val="left"/>
        <w:rPr>
          <w:rFonts w:ascii="Times New Roman" w:hAnsi="Times New Roman"/>
          <w:sz w:val="20"/>
        </w:rPr>
      </w:pPr>
      <w:r>
        <w:rPr>
          <w:rFonts w:ascii="Arial" w:hAnsi="Arial"/>
          <w:color w:val="000000"/>
          <w:sz w:val="19"/>
        </w:rPr>
        <w:t>As of December 31, 2025, we had federal net operating loss carryforwards (NOLs) of approximately $141.1 million and state NOLs of approximately $131.2 million which may be available to offset future taxable income. Our federal NOLs include $8.8 million available to reduce future taxable income through 2037 and approximately $132.3 million of NOLs that do not expire and are available to reduce future taxable income indefinitely. The state NOLs are available to offset future taxable income through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Arial" w:hAnsi="Arial"/>
          <w:color w:val="000000"/>
          <w:sz w:val="19"/>
        </w:rPr>
      </w:pPr>
      <w:r>
        <w:rPr>
          <w:rFonts w:ascii="Arial" w:hAnsi="Arial"/>
          <w:color w:val="000000"/>
          <w:sz w:val="19"/>
        </w:rPr>
        <w:t>2045. As of December 31, 2025, we also had federal and state research and development tax credit carryforwards of $5.7 million and $2.6 million, respectively, which are available to offset federal and state tax liabilities through 2045 and 2040, respectively.</w:t>
      </w:r>
    </w:p>
    <w:p>
      <w:pPr>
        <w:pStyle w:val="TextBody"/>
        <w:bidi w:val="0"/>
        <w:jc w:val="left"/>
        <w:rPr>
          <w:rFonts w:ascii="Arial" w:hAnsi="Arial"/>
          <w:color w:val="000000"/>
          <w:sz w:val="19"/>
        </w:rPr>
      </w:pPr>
      <w:r>
        <w:rPr>
          <w:rFonts w:ascii="Arial" w:hAnsi="Arial"/>
          <w:color w:val="000000"/>
          <w:sz w:val="19"/>
        </w:rPr>
        <w:t>Realization of future tax benefits is dependent on many factors, including our ability to generate taxable income within the NOL period. Our management has evaluated the positive and negative evidence bearing upon the realizability of our deferred tax assets, which are comprised principally of net operating loss carryforwards and certain tax credits.</w:t>
      </w:r>
    </w:p>
    <w:p>
      <w:pPr>
        <w:pStyle w:val="TextBody"/>
        <w:bidi w:val="0"/>
        <w:spacing w:before="120" w:after="283"/>
        <w:jc w:val="left"/>
        <w:rPr>
          <w:rFonts w:ascii="Arial" w:hAnsi="Arial"/>
          <w:color w:val="000000"/>
          <w:sz w:val="19"/>
        </w:rPr>
      </w:pPr>
      <w:r>
        <w:rPr>
          <w:rFonts w:ascii="Arial" w:hAnsi="Arial"/>
          <w:color w:val="000000"/>
          <w:sz w:val="19"/>
        </w:rPr>
        <w:t>Management has considered our history of cumulative net losses incurred since inception, as well as our lack of product revenue since inception, and has determined that it is more likely than not that we will not realize the benefits of its deferred tax assets. As a result, a full valuation allowance has been established at June 30, 2026 and December 31, 2025.</w:t>
      </w:r>
    </w:p>
    <w:p>
      <w:pPr>
        <w:pStyle w:val="TextBody"/>
        <w:bidi w:val="0"/>
        <w:spacing w:before="120" w:after="283"/>
        <w:jc w:val="left"/>
        <w:rPr>
          <w:rFonts w:ascii="Times New Roman" w:hAnsi="Times New Roman"/>
          <w:sz w:val="20"/>
        </w:rPr>
      </w:pPr>
      <w:r>
        <w:rPr>
          <w:rFonts w:ascii="Arial" w:hAnsi="Arial"/>
          <w:color w:val="000000"/>
          <w:sz w:val="19"/>
        </w:rPr>
        <w:t>NOL and tax credit carryforwards may become subject to an annual limitation in the event of certain cumulative changes in the ownership interest of significant stockholders over a three-year period in excess of 50%, as provided under Sections 382 and 383 of the Internal Revenue Code of 1986, as amended (the Code), as well as under similar state provisions. These ownership changes may limit the amount of NOLs that can be utilized annually to offset future taxable income. In general, an ownership change, as defined under Section 382 of the Code (Section 382), results from transactions increasing the ownership of certain stockholders or public groups in the stock of a corporation by more than 50% over a three-year period. We have completed several financings and not yet determined if such a limitation would be placed against our NOL. We will make such a determination prior to the utilization of any NOL.</w:t>
      </w:r>
      <w:r>
        <w:rPr>
          <w:rFonts w:ascii="Times New Roman" w:hAnsi="Times New Roman"/>
          <w:color w:val="000000"/>
          <w:sz w:val="20"/>
        </w:rPr>
        <w:t xml:space="preserve"> </w:t>
      </w:r>
    </w:p>
    <w:p>
      <w:pPr>
        <w:pStyle w:val="TextBody"/>
        <w:bidi w:val="0"/>
        <w:spacing w:before="160" w:after="283"/>
        <w:jc w:val="left"/>
        <w:rPr>
          <w:rFonts w:ascii="Arial" w:hAnsi="Arial"/>
          <w:b/>
          <w:color w:val="000000"/>
          <w:sz w:val="20"/>
        </w:rPr>
      </w:pPr>
      <w:r>
        <w:rPr>
          <w:rFonts w:ascii="Arial" w:hAnsi="Arial"/>
          <w:b/>
          <w:color w:val="000000"/>
          <w:sz w:val="20"/>
        </w:rPr>
        <w:t>Results of Operations</w:t>
      </w:r>
    </w:p>
    <w:p>
      <w:pPr>
        <w:pStyle w:val="TextBody"/>
        <w:bidi w:val="0"/>
        <w:spacing w:before="160" w:after="283"/>
        <w:jc w:val="left"/>
        <w:rPr>
          <w:rFonts w:ascii="Times New Roman" w:hAnsi="Times New Roman"/>
          <w:sz w:val="20"/>
        </w:rPr>
      </w:pPr>
      <w:r>
        <w:rPr>
          <w:rFonts w:ascii="Arial" w:hAnsi="Arial"/>
          <w:b/>
          <w:i/>
          <w:color w:val="000000"/>
          <w:sz w:val="19"/>
        </w:rPr>
        <w:t>Comparison of the Three Months Ended June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following table summarizes our results of operations for the three months ended June 30, 2026 and 2025 (in thousands):</w:t>
      </w:r>
      <w:r>
        <w:rPr>
          <w:rFonts w:ascii="Times New Roman" w:hAnsi="Times New Roman"/>
          <w:color w:val="000000"/>
          <w:sz w:val="20"/>
        </w:rPr>
        <w:t xml:space="preserve"> </w:t>
      </w:r>
    </w:p>
    <w:p>
      <w:pPr>
        <w:pStyle w:val="TextBody"/>
        <w:bidi w:val="0"/>
        <w:jc w:val="left"/>
        <w:rPr/>
      </w:pPr>
      <w:r>
        <w:rPr/>
        <w:t> </w:t>
      </w:r>
    </w:p>
    <w:tbl>
      <w:tblPr>
        <w:tblW w:w="7978" w:type="dxa"/>
        <w:jc w:val="left"/>
        <w:tblInd w:w="0" w:type="dxa"/>
        <w:tblLayout w:type="fixed"/>
        <w:tblCellMar>
          <w:top w:w="28" w:type="dxa"/>
          <w:left w:w="28" w:type="dxa"/>
          <w:bottom w:w="28" w:type="dxa"/>
          <w:right w:w="28" w:type="dxa"/>
        </w:tblCellMar>
      </w:tblPr>
      <w:tblGrid>
        <w:gridCol w:w="3571"/>
        <w:gridCol w:w="146"/>
        <w:gridCol w:w="211"/>
        <w:gridCol w:w="751"/>
        <w:gridCol w:w="166"/>
        <w:gridCol w:w="146"/>
        <w:gridCol w:w="211"/>
        <w:gridCol w:w="751"/>
        <w:gridCol w:w="166"/>
        <w:gridCol w:w="146"/>
        <w:gridCol w:w="211"/>
        <w:gridCol w:w="751"/>
        <w:gridCol w:w="75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12,810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15,569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(15,569</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(1,339</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(17,969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(34,109</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60" w:after="283"/>
        <w:jc w:val="left"/>
        <w:rPr>
          <w:rFonts w:ascii="Times New Roman" w:hAnsi="Times New Roman"/>
          <w:sz w:val="20"/>
        </w:rPr>
      </w:pPr>
      <w:r>
        <w:rPr>
          <w:rFonts w:ascii="Arial" w:hAnsi="Arial"/>
          <w:i/>
          <w:color w:val="000000"/>
          <w:sz w:val="19"/>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following table summarizes our research and development expenses for the three months ended June 30, 2026 and 2025 (in thousands):</w:t>
      </w:r>
      <w:r>
        <w:rPr>
          <w:rFonts w:ascii="Times New Roman" w:hAnsi="Times New Roman"/>
          <w:color w:val="000000"/>
          <w:sz w:val="20"/>
        </w:rPr>
        <w:t xml:space="preserve"> </w:t>
      </w:r>
    </w:p>
    <w:tbl>
      <w:tblPr>
        <w:tblW w:w="9318" w:type="dxa"/>
        <w:jc w:val="left"/>
        <w:tblInd w:w="0" w:type="dxa"/>
        <w:tblLayout w:type="fixed"/>
        <w:tblCellMar>
          <w:top w:w="28" w:type="dxa"/>
          <w:left w:w="28" w:type="dxa"/>
          <w:bottom w:w="28" w:type="dxa"/>
          <w:right w:w="28" w:type="dxa"/>
        </w:tblCellMar>
      </w:tblPr>
      <w:tblGrid>
        <w:gridCol w:w="5506"/>
        <w:gridCol w:w="146"/>
        <w:gridCol w:w="216"/>
        <w:gridCol w:w="708"/>
        <w:gridCol w:w="149"/>
        <w:gridCol w:w="149"/>
        <w:gridCol w:w="216"/>
        <w:gridCol w:w="600"/>
        <w:gridCol w:w="146"/>
        <w:gridCol w:w="146"/>
        <w:gridCol w:w="263"/>
        <w:gridCol w:w="862"/>
        <w:gridCol w:w="21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Clinical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13,083</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5,829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Occupancy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impairment, and loss on the sale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Recruiting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Pre-clinical research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19,801</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19"/>
        </w:rPr>
        <w:t>Research and development expenses increased $12.8 million from $7.0 million for the three months ended June 30, 2025 to $19.8 million for the three months ended June 30, 2026. The increase was primarily attributable to a $10.0 million increase in clinical development costs driven by increased clinical trial, manufacturing and regulatory costs for aglatimagene programs,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a $2.9 million increase in employee-related expenses due to higher headcount and increased stock-based compensation expense.</w:t>
      </w:r>
    </w:p>
    <w:p>
      <w:pPr>
        <w:pStyle w:val="TextBody"/>
        <w:bidi w:val="0"/>
        <w:spacing w:before="160" w:after="283"/>
        <w:jc w:val="left"/>
        <w:rPr>
          <w:rFonts w:ascii="Times New Roman" w:hAnsi="Times New Roman"/>
          <w:sz w:val="20"/>
        </w:rPr>
      </w:pPr>
      <w:r>
        <w:rPr>
          <w:rFonts w:ascii="Arial" w:hAnsi="Arial"/>
          <w:i/>
          <w:color w:val="000000"/>
          <w:sz w:val="19"/>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following table summarizes our general and administrative expenses for the three months ended June 30, 2026 and 2025 (in thousands):</w:t>
      </w:r>
      <w:r>
        <w:rPr>
          <w:rFonts w:ascii="Times New Roman" w:hAnsi="Times New Roman"/>
          <w:color w:val="000000"/>
          <w:sz w:val="20"/>
        </w:rPr>
        <w:t xml:space="preserve"> </w:t>
      </w:r>
    </w:p>
    <w:tbl>
      <w:tblPr>
        <w:tblW w:w="6768" w:type="dxa"/>
        <w:jc w:val="left"/>
        <w:tblInd w:w="0" w:type="dxa"/>
        <w:tblLayout w:type="fixed"/>
        <w:tblCellMar>
          <w:top w:w="28" w:type="dxa"/>
          <w:left w:w="28" w:type="dxa"/>
          <w:bottom w:w="28" w:type="dxa"/>
          <w:right w:w="28" w:type="dxa"/>
        </w:tblCellMar>
      </w:tblPr>
      <w:tblGrid>
        <w:gridCol w:w="2956"/>
        <w:gridCol w:w="146"/>
        <w:gridCol w:w="228"/>
        <w:gridCol w:w="634"/>
        <w:gridCol w:w="157"/>
        <w:gridCol w:w="157"/>
        <w:gridCol w:w="228"/>
        <w:gridCol w:w="634"/>
        <w:gridCol w:w="146"/>
        <w:gridCol w:w="146"/>
        <w:gridCol w:w="296"/>
        <w:gridCol w:w="829"/>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Commercial readiness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and consulting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Recruiting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Occupancy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Information technology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6,945</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19"/>
        </w:rPr>
      </w:pPr>
      <w:r>
        <w:rPr>
          <w:rFonts w:ascii="Arial" w:hAnsi="Arial"/>
          <w:color w:val="000000"/>
          <w:sz w:val="19"/>
        </w:rPr>
        <w:t>General and administrative expenses increased $2.7 million from $4.2 million for the three months ended June 30, 2025 to $6.9 million for the three months ended June 30, 2026. The increase was primarily attributable to a $2.1 million increase in commercial readiness costs due to increased investments in launch preparation insight gathering, stakeholder engagement, and commercial consulting expenses and a $0.7 million increase in employee-related expenses due to higher headcount and increased stock-based compensation expense.</w:t>
      </w:r>
    </w:p>
    <w:p>
      <w:pPr>
        <w:pStyle w:val="TextBody"/>
        <w:bidi w:val="0"/>
        <w:spacing w:before="160" w:after="283"/>
        <w:jc w:val="left"/>
        <w:rPr>
          <w:rFonts w:ascii="Times New Roman" w:hAnsi="Times New Roman"/>
          <w:sz w:val="20"/>
        </w:rPr>
      </w:pPr>
      <w:r>
        <w:rPr>
          <w:rFonts w:ascii="Arial" w:hAnsi="Arial"/>
          <w:i/>
          <w:color w:val="000000"/>
          <w:sz w:val="19"/>
        </w:rPr>
        <w:t>Interest Income</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Interest income was $1.7 million and $0.9 million for the three months ended June 30, 2026 and 2025, respectively, and represents earnings on our cash equivalents. The increase in interest income is the result of interest being generated on a higher average cash equivalents balance for the three months ended June 30, 2026 compared to the three months ended June 30, 2025.</w:t>
      </w:r>
    </w:p>
    <w:p>
      <w:pPr>
        <w:pStyle w:val="TextBody"/>
        <w:bidi w:val="0"/>
        <w:spacing w:before="160" w:after="283"/>
        <w:jc w:val="left"/>
        <w:rPr>
          <w:rFonts w:ascii="Times New Roman" w:hAnsi="Times New Roman"/>
          <w:sz w:val="20"/>
        </w:rPr>
      </w:pPr>
      <w:r>
        <w:rPr>
          <w:rFonts w:ascii="Arial" w:hAnsi="Arial"/>
          <w:i/>
          <w:color w:val="000000"/>
          <w:sz w:val="19"/>
        </w:rPr>
        <w:t>Interest Expense</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Interest expense was $1.6 million and $0.2 million for the three months ended June 30, 2026 and 2025, respectively, and represents interest expense on our outstanding debt obligations. The increase in interest expense is primarily the result of higher outstanding balance on the term loan payable under the Trinity LSA.</w:t>
      </w:r>
    </w:p>
    <w:p>
      <w:pPr>
        <w:pStyle w:val="TextBody"/>
        <w:bidi w:val="0"/>
        <w:spacing w:before="160" w:after="283"/>
        <w:jc w:val="left"/>
        <w:rPr>
          <w:rFonts w:ascii="Arial" w:hAnsi="Arial"/>
          <w:i/>
          <w:color w:val="000000"/>
          <w:sz w:val="19"/>
        </w:rPr>
      </w:pPr>
      <w:r>
        <w:rPr>
          <w:rFonts w:ascii="Arial" w:hAnsi="Arial"/>
          <w:i/>
          <w:color w:val="000000"/>
          <w:sz w:val="19"/>
        </w:rPr>
        <w:t>Change in Fair Value of Warrant Liabilities</w:t>
      </w:r>
    </w:p>
    <w:p>
      <w:pPr>
        <w:pStyle w:val="TextBody"/>
        <w:bidi w:val="0"/>
        <w:spacing w:before="120" w:after="283"/>
        <w:jc w:val="left"/>
        <w:rPr>
          <w:rFonts w:ascii="Arial" w:hAnsi="Arial"/>
          <w:color w:val="000000"/>
          <w:sz w:val="19"/>
        </w:rPr>
      </w:pPr>
      <w:r>
        <w:rPr>
          <w:rFonts w:ascii="Arial" w:hAnsi="Arial"/>
          <w:color w:val="000000"/>
          <w:sz w:val="19"/>
        </w:rPr>
        <w:t>The change in fair value of our warrant liabilities was an increase of $12.3 million for the three months ended June 30, 2026, compared to a decrease of $5.7 million for the three months ended June 30, 2025. The change in fair value of the warrant liabilities is primarily driven by changes in the underlying value of our stock price, the remaining contractual term and lower volatility.</w:t>
      </w:r>
    </w:p>
    <w:p>
      <w:pPr>
        <w:pStyle w:val="TextBody"/>
        <w:bidi w:val="0"/>
        <w:spacing w:before="160" w:after="283"/>
        <w:jc w:val="left"/>
        <w:rPr>
          <w:rFonts w:ascii="Arial" w:hAnsi="Arial"/>
          <w:b/>
          <w:i/>
          <w:color w:val="000000"/>
          <w:sz w:val="19"/>
        </w:rPr>
      </w:pPr>
      <w:r>
        <w:rPr>
          <w:rFonts w:ascii="Arial" w:hAnsi="Arial"/>
          <w:b/>
          <w:i/>
          <w:color w:val="000000"/>
          <w:sz w:val="19"/>
        </w:rPr>
        <w:t>Comparison of the Six Months Ended June 30, 2026 and 2025</w:t>
      </w:r>
    </w:p>
    <w:p>
      <w:pPr>
        <w:pStyle w:val="TextBody"/>
        <w:bidi w:val="0"/>
        <w:spacing w:before="120" w:after="283"/>
        <w:jc w:val="left"/>
        <w:rPr>
          <w:rFonts w:ascii="Arial" w:hAnsi="Arial"/>
          <w:color w:val="000000"/>
          <w:sz w:val="19"/>
        </w:rPr>
      </w:pPr>
      <w:r>
        <w:rPr>
          <w:rFonts w:ascii="Arial" w:hAnsi="Arial"/>
          <w:color w:val="000000"/>
          <w:sz w:val="19"/>
        </w:rPr>
        <w:t>The following table summarizes our results of operations for the six months ended June 30, 2026 and 2025 (in thousands):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tbl>
      <w:tblPr>
        <w:tblW w:w="7828" w:type="dxa"/>
        <w:jc w:val="left"/>
        <w:tblInd w:w="0" w:type="dxa"/>
        <w:tblLayout w:type="fixed"/>
        <w:tblCellMar>
          <w:top w:w="28" w:type="dxa"/>
          <w:left w:w="28" w:type="dxa"/>
          <w:bottom w:w="28" w:type="dxa"/>
          <w:right w:w="28" w:type="dxa"/>
        </w:tblCellMar>
      </w:tblPr>
      <w:tblGrid>
        <w:gridCol w:w="3421"/>
        <w:gridCol w:w="146"/>
        <w:gridCol w:w="211"/>
        <w:gridCol w:w="751"/>
        <w:gridCol w:w="166"/>
        <w:gridCol w:w="146"/>
        <w:gridCol w:w="211"/>
        <w:gridCol w:w="751"/>
        <w:gridCol w:w="166"/>
        <w:gridCol w:w="146"/>
        <w:gridCol w:w="211"/>
        <w:gridCol w:w="751"/>
        <w:gridCol w:w="75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18,634</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23,723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(23,723</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(2,597</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(25,207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(50,349</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60" w:after="283"/>
        <w:jc w:val="left"/>
        <w:rPr>
          <w:rFonts w:ascii="Times New Roman" w:hAnsi="Times New Roman"/>
          <w:sz w:val="20"/>
        </w:rPr>
      </w:pPr>
      <w:r>
        <w:rPr>
          <w:rFonts w:ascii="Arial" w:hAnsi="Arial"/>
          <w:i/>
          <w:color w:val="000000"/>
          <w:sz w:val="19"/>
        </w:rPr>
        <w:t>Research and Development Expenses</w:t>
      </w:r>
      <w:r>
        <w:rPr>
          <w:rFonts w:ascii="Times New Roman" w:hAnsi="Times New Roman"/>
          <w:color w:val="000000"/>
          <w:sz w:val="20"/>
        </w:rPr>
        <w:t xml:space="preserve"> </w:t>
      </w:r>
    </w:p>
    <w:p>
      <w:pPr>
        <w:pStyle w:val="TextBody"/>
        <w:bidi w:val="0"/>
        <w:spacing w:before="120" w:after="120"/>
        <w:jc w:val="left"/>
        <w:rPr>
          <w:rFonts w:ascii="Arial" w:hAnsi="Arial"/>
          <w:color w:val="000000"/>
          <w:sz w:val="19"/>
        </w:rPr>
      </w:pPr>
      <w:r>
        <w:rPr>
          <w:rFonts w:ascii="Arial" w:hAnsi="Arial"/>
          <w:color w:val="000000"/>
          <w:sz w:val="19"/>
        </w:rPr>
        <w:t>The following table summarizes our research and development expenses for the six months ended June 30, 2026 and 2025 (in thousands):</w:t>
      </w:r>
    </w:p>
    <w:tbl>
      <w:tblPr>
        <w:tblW w:w="9376" w:type="dxa"/>
        <w:jc w:val="left"/>
        <w:tblInd w:w="0" w:type="dxa"/>
        <w:tblLayout w:type="fixed"/>
        <w:tblCellMar>
          <w:top w:w="28" w:type="dxa"/>
          <w:left w:w="28" w:type="dxa"/>
          <w:bottom w:w="28" w:type="dxa"/>
          <w:right w:w="28" w:type="dxa"/>
        </w:tblCellMar>
      </w:tblPr>
      <w:tblGrid>
        <w:gridCol w:w="5506"/>
        <w:gridCol w:w="146"/>
        <w:gridCol w:w="211"/>
        <w:gridCol w:w="691"/>
        <w:gridCol w:w="146"/>
        <w:gridCol w:w="146"/>
        <w:gridCol w:w="211"/>
        <w:gridCol w:w="691"/>
        <w:gridCol w:w="146"/>
        <w:gridCol w:w="146"/>
        <w:gridCol w:w="263"/>
        <w:gridCol w:w="862"/>
        <w:gridCol w:w="21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Clinical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Occupancy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impairment, and loss on the sale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Recruiting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Pre-clinical research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19"/>
        </w:rPr>
      </w:pPr>
      <w:r>
        <w:rPr>
          <w:rFonts w:ascii="Arial" w:hAnsi="Arial"/>
          <w:color w:val="000000"/>
          <w:sz w:val="19"/>
        </w:rPr>
        <w:t>Research and development expenses increased $18.6 million from $11.0 million for the six months ended June 30, 2025 to $29.6 million for the six months ended June 30, 2026. The increase was primarily attributable to a $13.6 million increase in clinical development costs driven by increased clinical trial, manufacturing and regulatory costs for aglatimagene programs, and a $4.8 million increase in employee-related expenses due to higher headcount and increased stock-based compensation expense.</w:t>
      </w:r>
    </w:p>
    <w:p>
      <w:pPr>
        <w:pStyle w:val="TextBody"/>
        <w:bidi w:val="0"/>
        <w:spacing w:before="160" w:after="283"/>
        <w:jc w:val="left"/>
        <w:rPr>
          <w:rFonts w:ascii="Times New Roman" w:hAnsi="Times New Roman"/>
          <w:sz w:val="20"/>
        </w:rPr>
      </w:pPr>
      <w:r>
        <w:rPr>
          <w:rFonts w:ascii="Arial" w:hAnsi="Arial"/>
          <w:i/>
          <w:color w:val="000000"/>
          <w:sz w:val="19"/>
        </w:rPr>
        <w:t>General and Administrative Expenses</w:t>
      </w:r>
      <w:r>
        <w:rPr>
          <w:rFonts w:ascii="Times New Roman" w:hAnsi="Times New Roman"/>
          <w:color w:val="000000"/>
          <w:sz w:val="20"/>
        </w:rPr>
        <w:t xml:space="preserve"> </w:t>
      </w:r>
    </w:p>
    <w:p>
      <w:pPr>
        <w:pStyle w:val="TextBody"/>
        <w:bidi w:val="0"/>
        <w:spacing w:before="120" w:after="120"/>
        <w:jc w:val="left"/>
        <w:rPr>
          <w:rFonts w:ascii="Arial" w:hAnsi="Arial"/>
          <w:color w:val="000000"/>
          <w:sz w:val="19"/>
        </w:rPr>
      </w:pPr>
      <w:r>
        <w:rPr>
          <w:rFonts w:ascii="Arial" w:hAnsi="Arial"/>
          <w:color w:val="000000"/>
          <w:sz w:val="19"/>
        </w:rPr>
        <w:t>The following table summarizes our general and administrative expenses for the six months ended June 30, 2026 and 2025 (in thousands):</w:t>
      </w:r>
    </w:p>
    <w:tbl>
      <w:tblPr>
        <w:tblW w:w="6721" w:type="dxa"/>
        <w:jc w:val="left"/>
        <w:tblInd w:w="0" w:type="dxa"/>
        <w:tblLayout w:type="fixed"/>
        <w:tblCellMar>
          <w:top w:w="28" w:type="dxa"/>
          <w:left w:w="28" w:type="dxa"/>
          <w:bottom w:w="28" w:type="dxa"/>
          <w:right w:w="28" w:type="dxa"/>
        </w:tblCellMar>
      </w:tblPr>
      <w:tblGrid>
        <w:gridCol w:w="2956"/>
        <w:gridCol w:w="146"/>
        <w:gridCol w:w="211"/>
        <w:gridCol w:w="691"/>
        <w:gridCol w:w="146"/>
        <w:gridCol w:w="146"/>
        <w:gridCol w:w="211"/>
        <w:gridCol w:w="586"/>
        <w:gridCol w:w="146"/>
        <w:gridCol w:w="146"/>
        <w:gridCol w:w="296"/>
        <w:gridCol w:w="829"/>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Commercial readiness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and consulting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Recruiting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Information technology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Occupancy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9"/>
        </w:rPr>
        <w:t>General and administrative expenses increased $5.1 million from $8.3 million for the six months ended June 30, 2025 to $13.4 million for the six months ended June 30, 2026. The increase was primarily attributable to a $3.3 million increase in commercial readiness costs due to increased investments in launch preparation insight gathering, stakeholder engagement, and commercial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consulting expenses and a $1.4 million increase in employee-related expenses due to higher headcount and increased stock-based compensation expense.</w:t>
      </w:r>
    </w:p>
    <w:p>
      <w:pPr>
        <w:pStyle w:val="TextBody"/>
        <w:bidi w:val="0"/>
        <w:spacing w:before="160" w:after="283"/>
        <w:jc w:val="left"/>
        <w:rPr>
          <w:rFonts w:ascii="Times New Roman" w:hAnsi="Times New Roman"/>
          <w:sz w:val="20"/>
        </w:rPr>
      </w:pPr>
      <w:r>
        <w:rPr>
          <w:rFonts w:ascii="Arial" w:hAnsi="Arial"/>
          <w:i/>
          <w:color w:val="000000"/>
          <w:sz w:val="19"/>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Interest income was $3.0 million and $1.9 million for the six months ended June 30, 2026 and 2025, respectively, and represents earnings on our cash equivalents. The increase in interest income is the result of interest being generated on a higher average cash equivalents balance for the six months ended June 30, 2026 compared to the six months ended June 30, 2025.</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i/>
          <w:color w:val="000000"/>
          <w:sz w:val="19"/>
        </w:rPr>
        <w:t>Interest Expense</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Interest expense was $3.1 million and $0.5 million for the six months ended June 30, 2026 and 2025, respectively, and represents interest expense on our outstanding debt obligations. The increase in interest expense is primarily the result of higher outstanding balance on the term loan payable under the Trinity LSA.</w:t>
      </w:r>
    </w:p>
    <w:p>
      <w:pPr>
        <w:pStyle w:val="TextBody"/>
        <w:bidi w:val="0"/>
        <w:spacing w:before="160" w:after="283"/>
        <w:jc w:val="left"/>
        <w:rPr>
          <w:rFonts w:ascii="Arial" w:hAnsi="Arial"/>
          <w:i/>
          <w:color w:val="000000"/>
          <w:sz w:val="19"/>
        </w:rPr>
      </w:pPr>
      <w:r>
        <w:rPr>
          <w:rFonts w:ascii="Arial" w:hAnsi="Arial"/>
          <w:i/>
          <w:color w:val="000000"/>
          <w:sz w:val="19"/>
        </w:rPr>
        <w:t>Change in Fair Value of Warrant Liabilities</w:t>
      </w:r>
    </w:p>
    <w:p>
      <w:pPr>
        <w:pStyle w:val="TextBody"/>
        <w:bidi w:val="0"/>
        <w:spacing w:before="120" w:after="283"/>
        <w:jc w:val="left"/>
        <w:rPr>
          <w:rFonts w:ascii="Arial" w:hAnsi="Arial"/>
          <w:color w:val="000000"/>
          <w:sz w:val="19"/>
        </w:rPr>
      </w:pPr>
      <w:r>
        <w:rPr>
          <w:rFonts w:ascii="Arial" w:hAnsi="Arial"/>
          <w:color w:val="000000"/>
          <w:sz w:val="19"/>
        </w:rPr>
        <w:t>The change in fair value of our warrant liabilities was an increase of $4.6 million for the six months ended June 30, 2026, compared to a decrease of $20.6 million for the six months ended June 30, 2025. The change in fair value of the warrant liabilities is primarily driven by changes in the underlying value of our stock price, the remaining contractual term and lower volatility.</w:t>
      </w:r>
    </w:p>
    <w:p>
      <w:pPr>
        <w:pStyle w:val="TextBody"/>
        <w:bidi w:val="0"/>
        <w:spacing w:before="160" w:after="283"/>
        <w:jc w:val="left"/>
        <w:rPr>
          <w:rFonts w:ascii="Arial" w:hAnsi="Arial"/>
          <w:b/>
          <w:color w:val="000000"/>
          <w:sz w:val="20"/>
        </w:rPr>
      </w:pPr>
      <w:r>
        <w:rPr>
          <w:rFonts w:ascii="Arial" w:hAnsi="Arial"/>
          <w:b/>
          <w:color w:val="000000"/>
          <w:sz w:val="20"/>
        </w:rPr>
        <w:t>Liquidity and Capital Resources</w:t>
      </w:r>
    </w:p>
    <w:p>
      <w:pPr>
        <w:pStyle w:val="TextBody"/>
        <w:bidi w:val="0"/>
        <w:spacing w:before="120" w:after="283"/>
        <w:jc w:val="left"/>
        <w:rPr>
          <w:rFonts w:ascii="Arial" w:hAnsi="Arial"/>
          <w:color w:val="000000"/>
          <w:sz w:val="19"/>
        </w:rPr>
      </w:pPr>
      <w:r>
        <w:rPr>
          <w:rFonts w:ascii="Arial" w:hAnsi="Arial"/>
          <w:color w:val="000000"/>
          <w:sz w:val="19"/>
        </w:rPr>
        <w:t>Since our inception, we have not generated any revenue from product sales and have incurred significant operating losses.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for our product candidates, developing our manufacturing capabilities which may include the cost of establishing a relationship with contract manufacturers to support commercial launch of our product candidate aglatimagene and costs associated with equipping our laboratory and manufacturing facility to support clinical trials and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 As of June 30, 2026, we had cash and cash equivalents of $201.6 million. Based on current plans and assumptions, including increased planned investment in our clinical development and commercialization readiness activities, we continue to expect that our existing cash and cash equivalents will be sufficient to fund our current operating plan into the first quarter of 2028. We will require additional capital to commercialize aglatimagene in early localized prostate cancer, to support enrollment and conduct the phase 3 trial for aglatimagene in NSCLC, and to advance the development of linoserpaturev beyond the current trials.</w:t>
      </w:r>
    </w:p>
    <w:p>
      <w:pPr>
        <w:pStyle w:val="TextBody"/>
        <w:bidi w:val="0"/>
        <w:spacing w:before="120" w:after="283"/>
        <w:jc w:val="left"/>
        <w:rPr>
          <w:rFonts w:ascii="Arial" w:hAnsi="Arial"/>
          <w:color w:val="000000"/>
          <w:sz w:val="19"/>
        </w:rPr>
      </w:pPr>
      <w:r>
        <w:rPr>
          <w:rFonts w:ascii="Arial" w:hAnsi="Arial"/>
          <w:color w:val="000000"/>
          <w:sz w:val="19"/>
        </w:rPr>
        <w:t>We do not currently have any approved products and have never generated any revenue from product sales. We have financed our operations primarily through proceeds from government grants and proceeds from the sale of convertible notes, common stock, and our convertible preferred stock. As of June 30, 2026, we have raised approximately $410.9 million of gross proceeds from such transactions, including $15.9 million of government grants, $66.1 million from the sale of convertible preferred stock, $326.6 million from the sale of our common stock and accompanying pre-funded warrants, and $2.3 million from stock option exercises. Our cash and cash equivalents totaled $201.6 million as of June 30, 2026. We had $47.8 million of debt as of June 30, 2026.</w:t>
      </w:r>
    </w:p>
    <w:p>
      <w:pPr>
        <w:pStyle w:val="TextBody"/>
        <w:bidi w:val="0"/>
        <w:spacing w:before="120" w:after="283"/>
        <w:jc w:val="left"/>
        <w:rPr>
          <w:rFonts w:ascii="Arial" w:hAnsi="Arial"/>
          <w:color w:val="000000"/>
          <w:sz w:val="19"/>
        </w:rPr>
      </w:pPr>
      <w:r>
        <w:rPr>
          <w:rFonts w:ascii="Arial" w:hAnsi="Arial"/>
          <w:color w:val="000000"/>
          <w:sz w:val="19"/>
        </w:rPr>
        <w:t>On February 24, 2022, we entered into a Loan Agreement with SVB pursuant to which SVB agreed to provide term loans to us in an aggregate principal amount of $20.0 million. We borrowed $20.0 million upon entering into the SVB Loan Agreement. The term loan was secured by substantially all of our properties, rights and assets, except for our intellectual property, which was subject to a negative pledge under the SVB Loan Agreement.</w:t>
      </w:r>
    </w:p>
    <w:p>
      <w:pPr>
        <w:pStyle w:val="TextBody"/>
        <w:bidi w:val="0"/>
        <w:spacing w:before="120" w:after="283"/>
        <w:jc w:val="left"/>
        <w:rPr>
          <w:rFonts w:ascii="Arial" w:hAnsi="Arial"/>
          <w:color w:val="000000"/>
          <w:sz w:val="19"/>
        </w:rPr>
      </w:pPr>
      <w:r>
        <w:rPr>
          <w:rFonts w:ascii="Arial" w:hAnsi="Arial"/>
          <w:color w:val="000000"/>
          <w:sz w:val="19"/>
        </w:rPr>
        <w:t>The term loan bore interest at a floating rate per annum equal to the greater of (A) 5.75% and (B) the prime rate (as published in the money rates section of The Wall Street Journal) plus 2.50%. We were required to make monthly interest payments, and commencing on February 1, 2024, 24 consecutive installments of principal plus monthly payments of accrued interest. The term loan had a maturity date of January 1, 2026. Upon repayment in full of the term loans, we were required to pay a final payment fee equal to 4.50% of the original principal amount of any funded term loan being repaid. The SVB Loan Agreement permitted voluntary prepayment of all, but not less than all, of the SVB term loans, subject to a prepayment premium of 1% to 3% based upon the timing of the prepayment.</w:t>
      </w:r>
    </w:p>
    <w:p>
      <w:pPr>
        <w:pStyle w:val="TextBody"/>
        <w:bidi w:val="0"/>
        <w:spacing w:before="120" w:after="283"/>
        <w:jc w:val="left"/>
        <w:rPr>
          <w:rFonts w:ascii="Arial" w:hAnsi="Arial"/>
          <w:color w:val="000000"/>
          <w:sz w:val="19"/>
        </w:rPr>
      </w:pPr>
      <w:r>
        <w:rPr>
          <w:rFonts w:ascii="Arial" w:hAnsi="Arial"/>
          <w:color w:val="000000"/>
          <w:sz w:val="19"/>
        </w:rPr>
        <w:t>We used a portion of the proceeds from the First Tranche of the Trinity LSA (defined below) to repay the SVB Loan Agreement in full on October 14, 2025.</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On August 5, 2022, we filed the 2022 Shelf with the SEC, which covered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2022 Shelf. The 2022 Shelf was declared effective by the SEC on August 12, 2022 and expired on August 12, 2025. As of August 12, 2025, we had sold and issued 3,923,829 shares of common stock under the 2022 ATM Program, for total net proceeds of $20.9 million.</w:t>
      </w:r>
    </w:p>
    <w:p>
      <w:pPr>
        <w:pStyle w:val="TextBody"/>
        <w:bidi w:val="0"/>
        <w:spacing w:before="120" w:after="283"/>
        <w:jc w:val="left"/>
        <w:rPr>
          <w:rFonts w:ascii="Arial" w:hAnsi="Arial"/>
          <w:color w:val="000000"/>
          <w:sz w:val="19"/>
        </w:rPr>
      </w:pPr>
      <w:r>
        <w:rPr>
          <w:rFonts w:ascii="Arial" w:hAnsi="Arial"/>
          <w:color w:val="000000"/>
          <w:sz w:val="19"/>
        </w:rPr>
        <w:t>In connection with the 2024 Follow-On Offering, we issued and sold 12,000,001 shares of common stock at a price to the public of $6.00 per share and pre-funded warrants to purchase up to an aggregate of 3,333,333 shares of common stock at a price to the public of $5.99 per pre-funded warrant to purchase one share of the common stock for aggregate gross proceeds of approximately $92.0 million. We received approximately $85.9 million in net proceeds from the 2024 Follow-On Offering after deducting underwriting discounts and commissions and offering expenses. All pre-funded warrants were exercised in 2025.</w:t>
      </w:r>
    </w:p>
    <w:p>
      <w:pPr>
        <w:pStyle w:val="TextBody"/>
        <w:bidi w:val="0"/>
        <w:spacing w:before="160" w:after="120"/>
        <w:jc w:val="left"/>
        <w:rPr>
          <w:rFonts w:ascii="Arial" w:hAnsi="Arial"/>
          <w:color w:val="000000"/>
          <w:sz w:val="19"/>
        </w:rPr>
      </w:pPr>
      <w:r>
        <w:rPr>
          <w:rFonts w:ascii="Arial" w:hAnsi="Arial"/>
          <w:color w:val="000000"/>
          <w:sz w:val="19"/>
        </w:rPr>
        <w:t>In connection with the Registered Direct Offering, we issued and sold 3,221,395 shares of common stock at a price per share of $4.67 to the purchasers for aggregate gross proceeds of approximately $15.0 million, before deducting offering expenses payable by us. We received approximately $14.3 million in net proceeds from the Registered Direct Offering after deducting offering expenses.</w:t>
      </w:r>
    </w:p>
    <w:p>
      <w:pPr>
        <w:pStyle w:val="TextBody"/>
        <w:bidi w:val="0"/>
        <w:jc w:val="left"/>
        <w:rPr>
          <w:rFonts w:ascii="Arial" w:hAnsi="Arial"/>
          <w:color w:val="000000"/>
          <w:sz w:val="19"/>
        </w:rPr>
      </w:pPr>
      <w:r>
        <w:rPr>
          <w:rFonts w:ascii="Arial" w:hAnsi="Arial"/>
          <w:color w:val="000000"/>
          <w:sz w:val="19"/>
        </w:rPr>
        <w:t>On August 14, 2025, we filed the 2025 Shelf with the SEC, which covers the offering, issuance, and sale by us of up to an aggregate of $300.0 million of our common stock, preferred stock, debt securities, warrants and/or units of any combination thereof. We simultaneously entered into a sales agreement with Jefferies LLC, as sales agent, to provide for the issuance and sale by us of up to $50.0 million of our common stock from time to time in “at-the-market” offerings under the 2025 Shelf. The 2025 Shelf was declared effective by the SEC on August 22, 2025. As of June 30, 2026, the Company has sold and issued 2,838,894 shares of common stock under the 2025 ATM Program, for total net proceeds of $24.2 million. Subsequent to June 30, 2026 and through August 11, 2026, the Company has sold and issued 617,345 additional shares of common stock under the 2025 ATM Program, for total net proceeds of $6.3 million. As market conditions permit, we may offer and sell securities under the 2025 Shelf, including through the 2025 ATM Program, in order to fund our operations or provide additional liquidity.</w:t>
      </w:r>
    </w:p>
    <w:p>
      <w:pPr>
        <w:pStyle w:val="TextBody"/>
        <w:bidi w:val="0"/>
        <w:spacing w:before="120" w:after="283"/>
        <w:jc w:val="left"/>
        <w:rPr>
          <w:rFonts w:ascii="Arial" w:hAnsi="Arial"/>
          <w:color w:val="000000"/>
          <w:sz w:val="19"/>
        </w:rPr>
      </w:pPr>
      <w:r>
        <w:rPr>
          <w:rFonts w:ascii="Arial" w:hAnsi="Arial"/>
          <w:color w:val="000000"/>
          <w:sz w:val="19"/>
        </w:rPr>
        <w:t>On October 14, 2025, we entered into a Loan and Security Agreement, as amended by that certain First Amendment to Loan and Security Agreement dated as of March 10, 2026 (the Trinity LSA), with the lenders party thereto (the Lenders) and Trinity Capital Inc., as administrative agent and collateral agent (the Agent).</w:t>
      </w:r>
    </w:p>
    <w:p>
      <w:pPr>
        <w:pStyle w:val="TextBody"/>
        <w:bidi w:val="0"/>
        <w:spacing w:before="120" w:after="283"/>
        <w:jc w:val="left"/>
        <w:rPr>
          <w:rFonts w:ascii="Arial" w:hAnsi="Arial"/>
          <w:color w:val="000000"/>
          <w:sz w:val="19"/>
        </w:rPr>
      </w:pPr>
      <w:r>
        <w:rPr>
          <w:rFonts w:ascii="Arial" w:hAnsi="Arial"/>
          <w:color w:val="000000"/>
          <w:sz w:val="19"/>
        </w:rPr>
        <w:t>Under the Trinity LSA, the Lenders agreed to extend debt capital to us, at our request, in the form of a term loan, in tranches totaling an aggregate principal amount of up to $130.0 million as follows: (a) at closing, the aggregate principal amount of $50.0 million (the First Tranche), (b) until May 30, 2027, subject to the achievement of certain regulatory, clinical and operational milestones by March 31, 2027, the aggregate principal amount of $20.0 million (the Second Tranche), (c) following funding of the Second Tranche, until February 29, 2028, subject to the achievement of certain regulatory and operational milestones by December 31, 2027, the aggregate principal amount of $30.0 million (the Third Tranche), and (d) following funding of the Third Tranche, in Lenders’ sole discretion, the aggregate principal amount of $30.0 million (the Fourth Tranche and collectively with the First Tranche, the Second Tranche and the Third Tranche, the Tranches). The obligations of the Lenders to extend such debt capital are subject to certain conditions precedent described in the Trinity LSA. We are required to pay a commitment fee of 1.0% of the amount drawn, plus related documentation and funding fees, in connection with each drawdown. On October 14, 2025 (the Closing Date), we drew down the First Tranche. Our obligations under the facility are secured by a first priority security interest in substantially all of our assets.</w:t>
      </w:r>
    </w:p>
    <w:p>
      <w:pPr>
        <w:pStyle w:val="TextBody"/>
        <w:bidi w:val="0"/>
        <w:spacing w:before="120" w:after="283"/>
        <w:jc w:val="left"/>
        <w:rPr>
          <w:rFonts w:ascii="Arial" w:hAnsi="Arial"/>
          <w:color w:val="000000"/>
          <w:sz w:val="19"/>
        </w:rPr>
      </w:pPr>
      <w:r>
        <w:rPr>
          <w:rFonts w:ascii="Arial" w:hAnsi="Arial"/>
          <w:color w:val="000000"/>
          <w:sz w:val="19"/>
        </w:rPr>
        <w:t>All Tranches will mature on October 1, 2030 (the Maturity Date), unless earlier accelerated under the terms of the Trinity LSA. At maturity, we are required to repay the then-outstanding principal amount, together with any accrued and unpaid interest thereon. In addition, at maturity or early termination of the Trinity LSA, we are required to pay the Lenders an additional 4.25% of the amounts drawn down by us under the Trinity LSA.</w:t>
      </w:r>
    </w:p>
    <w:p>
      <w:pPr>
        <w:pStyle w:val="TextBody"/>
        <w:bidi w:val="0"/>
        <w:spacing w:before="120" w:after="283"/>
        <w:jc w:val="left"/>
        <w:rPr>
          <w:rFonts w:ascii="Arial" w:hAnsi="Arial"/>
          <w:color w:val="000000"/>
          <w:sz w:val="19"/>
        </w:rPr>
      </w:pPr>
      <w:r>
        <w:rPr>
          <w:rFonts w:ascii="Arial" w:hAnsi="Arial"/>
          <w:color w:val="000000"/>
          <w:sz w:val="19"/>
        </w:rPr>
        <w:t>Interest accrues on the Tranches that we have drawn down at a floating rate per annum, calculated based on a 360-day year, equal to the greater of (a) the sum of (i) The Wall Street Journal Prime Rate and (ii) 3.0%, and (b) 9.75%. For the first 36 months after the Closing Date, we are required to make monthly payments of interest only in arrears. Upon the achievement of a certain commercial milestone by June 30, 2028, the Interest Only Period will be extended by twelve months. In the event of such extension of the Interest Only Period, the duration of the Amortization Period will decrease by the same amount. In any event, the total term of all Tranches shall not exceed 60 months.</w:t>
      </w:r>
    </w:p>
    <w:p>
      <w:pPr>
        <w:pStyle w:val="TextBody"/>
        <w:bidi w:val="0"/>
        <w:spacing w:before="120" w:after="283"/>
        <w:jc w:val="left"/>
        <w:rPr>
          <w:rFonts w:ascii="Arial" w:hAnsi="Arial"/>
          <w:color w:val="000000"/>
          <w:sz w:val="19"/>
        </w:rPr>
      </w:pPr>
      <w:r>
        <w:rPr>
          <w:rFonts w:ascii="Arial" w:hAnsi="Arial"/>
          <w:color w:val="000000"/>
          <w:sz w:val="19"/>
        </w:rPr>
        <w:t>We may voluntarily prepay the outstanding loan balance at any time, in whole or in part, subject to the payment of prepayment premiums and payment of the Exit Fee on the principal amount then prepaid. If prepayment occurs on or before the first anniversary of the Closing Date, the premium shall equal 3.0% of the principal being repaid. Thereafter, if prepayment occurs on or before the second anniversary of the Closing Date, the premium shall equal 2.0% of the principal being repaid. Thereafter, if prepayment occurs on or before the Maturity Date, the premium shall equal 1.0% of the principal being repaid.</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The Trinity LSA contains customary affirmative and negative covenants, including with respect to notice obligations, limitations on new indebtedness, liens, investments and transactions with our affiliates, restrictions on the payment of dividends, maintenance of collateral and accounts and maintenance of insurance. The Trinity LSA also contains financial covenants requiring, if our market capitalization is less than $550 million, we maintain minimum cash and cash equivalents pledged to secure the obligations under the Trinity LSA, less certain accounts payable, of at least (i) beginning from July 1, 2026 through the date, that we have raised at least $93.5 million in unrestricted net cash proceeds from one or more bona fide equity financings and/or upfront proceeds from business development after the Closing Date, 67.5% of all of the aggregate principal amount of outstanding obligations under the Trinity LSA, and (ii) beginning from the earlier of (x) October 1, 2027 and (ii) the date upon which we receive written notice of certain regulatory outcomes, through the date that the we obtain certain regulatory approvals, 75% of the aggregate outstanding principal amount of the obligations under the Trinity LSA.</w:t>
      </w:r>
    </w:p>
    <w:p>
      <w:pPr>
        <w:pStyle w:val="TextBody"/>
        <w:bidi w:val="0"/>
        <w:spacing w:before="120" w:after="283"/>
        <w:jc w:val="left"/>
        <w:rPr>
          <w:rFonts w:ascii="Arial" w:hAnsi="Arial"/>
          <w:color w:val="000000"/>
          <w:sz w:val="19"/>
        </w:rPr>
      </w:pPr>
      <w:r>
        <w:rPr>
          <w:rFonts w:ascii="Arial" w:hAnsi="Arial"/>
          <w:color w:val="000000"/>
          <w:sz w:val="19"/>
        </w:rPr>
        <w:t>In connection with the drawdown of any Tranche, we are required to issue to the Lenders warrants (the Lender Warrants) to purchase shares of our common stock, $0.01 par value per share. The exercise price for the Lender Warrants shall be equal to $5.89 per share. The number of shares of common stock for which each Lender Warrant is exercisable is equal to 3.0% of the applicable drawn down amount, divided by the exercise price. The Lender Warrants shall have a term of ten years from the date of issuance and shall permit cashless net exercise, all in accordance with their terms. In connection with the drawdown of the First Tranche, we issued a Lender Warrant to purchase up to 254,642 shares of Common Stock.</w:t>
      </w:r>
    </w:p>
    <w:p>
      <w:pPr>
        <w:pStyle w:val="TextBody"/>
        <w:bidi w:val="0"/>
        <w:spacing w:before="120" w:after="283"/>
        <w:jc w:val="left"/>
        <w:rPr>
          <w:rFonts w:ascii="Arial" w:hAnsi="Arial"/>
          <w:color w:val="000000"/>
          <w:sz w:val="19"/>
        </w:rPr>
      </w:pPr>
      <w:r>
        <w:rPr>
          <w:rFonts w:ascii="Arial" w:hAnsi="Arial"/>
          <w:color w:val="000000"/>
          <w:sz w:val="19"/>
        </w:rPr>
        <w:t>In connection with the 2026 Follow-On Offering, we issued and sold 18,348,624 shares of common stock at a price to the public of $5.45 per share for aggregate gross proceeds of approximately $100 million. We received approximately $93.5 million in net proceeds from the 2026 Follow-On Offering after deducting underwriting discounts and commissions and offering expenses.</w:t>
      </w:r>
    </w:p>
    <w:p>
      <w:pPr>
        <w:pStyle w:val="TextBody"/>
        <w:bidi w:val="0"/>
        <w:spacing w:before="120" w:after="283"/>
        <w:jc w:val="left"/>
        <w:rPr>
          <w:rFonts w:ascii="Arial" w:hAnsi="Arial"/>
          <w:color w:val="000000"/>
          <w:sz w:val="19"/>
        </w:rPr>
      </w:pPr>
      <w:r>
        <w:rPr>
          <w:rFonts w:ascii="Arial" w:hAnsi="Arial"/>
          <w:color w:val="000000"/>
          <w:sz w:val="19"/>
        </w:rPr>
        <w:t>As of June 30, 2026, we had an accumulated deficit of $278.2 million and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and contract manufacturing costs, legal and other regulatory expenses, launch and commercial readiness costs,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will require substantial additional financing to fund our operations and to continue to execute our strategy, and we will pursue a range of options to secure additional capital.</w:t>
      </w:r>
    </w:p>
    <w:p>
      <w:pPr>
        <w:pStyle w:val="TextBody"/>
        <w:bidi w:val="0"/>
        <w:spacing w:before="120" w:after="283"/>
        <w:jc w:val="left"/>
        <w:rPr>
          <w:rFonts w:ascii="Arial" w:hAnsi="Arial"/>
          <w:color w:val="000000"/>
          <w:sz w:val="19"/>
        </w:rPr>
      </w:pPr>
      <w:r>
        <w:rPr>
          <w:rFonts w:ascii="Arial" w:hAnsi="Arial"/>
          <w:color w:val="000000"/>
          <w:sz w:val="19"/>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it would have a negative impact on our financial condition and we could be forced to delay, reduce or eliminate our research, clinical trials, product development or future commercialization efforts.</w:t>
      </w:r>
    </w:p>
    <w:p>
      <w:pPr>
        <w:pStyle w:val="TextBody"/>
        <w:bidi w:val="0"/>
        <w:spacing w:before="160" w:after="283"/>
        <w:jc w:val="left"/>
        <w:rPr>
          <w:rFonts w:ascii="Times New Roman" w:hAnsi="Times New Roman"/>
          <w:sz w:val="20"/>
        </w:rPr>
      </w:pPr>
      <w:r>
        <w:rPr>
          <w:rFonts w:ascii="Arial" w:hAnsi="Arial"/>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The following table summarizes our sources and uses of cash for the periods presented (in thousands):</w:t>
      </w:r>
      <w:r>
        <w:rPr>
          <w:rFonts w:ascii="Times New Roman" w:hAnsi="Times New Roman"/>
          <w:color w:val="000000"/>
          <w:sz w:val="20"/>
        </w:rPr>
        <w:t xml:space="preserve"> </w:t>
      </w:r>
    </w:p>
    <w:tbl>
      <w:tblPr>
        <w:tblW w:w="8834" w:type="dxa"/>
        <w:jc w:val="left"/>
        <w:tblInd w:w="0" w:type="dxa"/>
        <w:tblLayout w:type="fixed"/>
        <w:tblCellMar>
          <w:top w:w="28" w:type="dxa"/>
          <w:left w:w="28" w:type="dxa"/>
          <w:bottom w:w="28" w:type="dxa"/>
          <w:right w:w="28" w:type="dxa"/>
        </w:tblCellMar>
      </w:tblPr>
      <w:tblGrid>
        <w:gridCol w:w="6196"/>
        <w:gridCol w:w="146"/>
        <w:gridCol w:w="211"/>
        <w:gridCol w:w="796"/>
        <w:gridCol w:w="166"/>
        <w:gridCol w:w="146"/>
        <w:gridCol w:w="211"/>
        <w:gridCol w:w="751"/>
        <w:gridCol w:w="21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160" w:after="283"/>
        <w:jc w:val="left"/>
        <w:rPr>
          <w:rFonts w:ascii="Arial" w:hAnsi="Arial"/>
          <w:b/>
          <w:i/>
          <w:color w:val="000000"/>
          <w:sz w:val="20"/>
        </w:rPr>
      </w:pPr>
      <w:r>
        <w:rPr>
          <w:rFonts w:ascii="Arial" w:hAnsi="Arial"/>
          <w:b/>
          <w:i/>
          <w:color w:val="000000"/>
          <w:sz w:val="20"/>
        </w:rPr>
        <w:t>Cash Flows for the six months ended June 30, 2026 and 2025</w:t>
      </w:r>
    </w:p>
    <w:p>
      <w:pPr>
        <w:pStyle w:val="TextBody"/>
        <w:bidi w:val="0"/>
        <w:spacing w:before="160" w:after="283"/>
        <w:jc w:val="left"/>
        <w:rPr>
          <w:rFonts w:ascii="Times New Roman" w:hAnsi="Times New Roman"/>
          <w:sz w:val="20"/>
        </w:rPr>
      </w:pPr>
      <w:r>
        <w:rPr>
          <w:rFonts w:ascii="Arial" w:hAnsi="Arial"/>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Net cash used in operating activities for the six months ended June 30, 2026 was $35.2 million, consisting primarily of net loss of $47.8 million and non-cash charges of $10.2 million, primarily related to the $4.6 million change in the fair value of our warrant liabilities and $4.3 million of non-cash stock compensation. Net cash used in operating activities was also impacted by $2.4 million in changes in operating assets and liabilities, primarily driven by an increase of $4.1 million in accounts payable, partially offset by an increase $1.1 million in prepaid expenses and other current assets.</w:t>
      </w:r>
    </w:p>
    <w:p>
      <w:pPr>
        <w:pStyle w:val="TextBody"/>
        <w:bidi w:val="0"/>
        <w:spacing w:before="120" w:after="283"/>
        <w:jc w:val="left"/>
        <w:rPr>
          <w:rFonts w:ascii="Times New Roman" w:hAnsi="Times New Roman"/>
          <w:sz w:val="20"/>
        </w:rPr>
      </w:pPr>
      <w:r>
        <w:rPr>
          <w:rFonts w:ascii="Arial" w:hAnsi="Arial"/>
          <w:color w:val="000000"/>
          <w:sz w:val="19"/>
        </w:rPr>
        <w:t>Net cash used in operating activities for the six months ended June 30, 2025 was $17.5 million, primarily consisting of a net income of $2.6 million and non-cash charges of $18.3 million, primarily related to the $20.6 million change in the fair value of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warrant liability and partially offset by $1.4 million of non-cash stock compensation. Net cash used in operating activities was also impacted by $1.8 million in changes in operating assets and liabilities, primarily driven by a decrease of $1.2 million in accrued expenses and partially offset by an increase of $1.5 million in accounts payable.</w:t>
      </w:r>
    </w:p>
    <w:p>
      <w:pPr>
        <w:pStyle w:val="TextBody"/>
        <w:bidi w:val="0"/>
        <w:spacing w:before="160" w:after="283"/>
        <w:jc w:val="left"/>
        <w:rPr>
          <w:rFonts w:ascii="Times New Roman" w:hAnsi="Times New Roman"/>
          <w:sz w:val="20"/>
        </w:rPr>
      </w:pPr>
      <w:r>
        <w:rPr>
          <w:rFonts w:ascii="Arial" w:hAnsi="Arial"/>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Net cash used in investing activities for the six months ended June 30, 2026 was $0.7 million and consisted of the purchase of fixed assets.</w:t>
      </w:r>
    </w:p>
    <w:p>
      <w:pPr>
        <w:pStyle w:val="TextBody"/>
        <w:bidi w:val="0"/>
        <w:spacing w:before="120" w:after="283"/>
        <w:jc w:val="left"/>
        <w:rPr>
          <w:rFonts w:ascii="Arial" w:hAnsi="Arial"/>
          <w:color w:val="000000"/>
          <w:sz w:val="19"/>
        </w:rPr>
      </w:pPr>
      <w:r>
        <w:rPr>
          <w:rFonts w:ascii="Arial" w:hAnsi="Arial"/>
          <w:color w:val="000000"/>
          <w:sz w:val="19"/>
        </w:rPr>
        <w:t>Net cash used in investing activities for the six months ended June 30, 2025 was $34,000 and consisted of the purchase of fixed assets.</w:t>
      </w:r>
    </w:p>
    <w:p>
      <w:pPr>
        <w:pStyle w:val="TextBody"/>
        <w:bidi w:val="0"/>
        <w:spacing w:before="160" w:after="283"/>
        <w:jc w:val="left"/>
        <w:rPr>
          <w:rFonts w:ascii="Times New Roman" w:hAnsi="Times New Roman"/>
          <w:sz w:val="20"/>
        </w:rPr>
      </w:pPr>
      <w:r>
        <w:rPr>
          <w:rFonts w:ascii="Arial" w:hAnsi="Arial"/>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Net cash provided by financing activities for the six months ended June 30, 2026 was $117.8 million and consisted primarily of $93.5 million of net proceeds from the issuance of common stock in the 2026 Follow-On Offering and $24.2 million of net proceeds from the issuance of common stock under our 2025 ATM Program.</w:t>
      </w:r>
    </w:p>
    <w:p>
      <w:pPr>
        <w:pStyle w:val="TextBody"/>
        <w:bidi w:val="0"/>
        <w:spacing w:before="120" w:after="283"/>
        <w:jc w:val="left"/>
        <w:rPr>
          <w:rFonts w:ascii="Arial" w:hAnsi="Arial"/>
          <w:color w:val="000000"/>
          <w:sz w:val="19"/>
        </w:rPr>
      </w:pPr>
      <w:r>
        <w:rPr>
          <w:rFonts w:ascii="Arial" w:hAnsi="Arial"/>
          <w:color w:val="000000"/>
          <w:sz w:val="19"/>
        </w:rPr>
        <w:t>Net cash provided by financing activities for the six months ended June 30, 2025 was $15.6 million and consisted of $15.0 million of proceeds from the issuance of common stock in the Registered Direct Offering, before deducting expenses payable by us, $5.0 million of net proceeds from the issuance of common stock under our 2022 ATM Program, and $0.5 million of proceeds from option exercises, partially offset by $5.0 million of principal payments on our term loan with SVB.</w:t>
      </w:r>
    </w:p>
    <w:p>
      <w:pPr>
        <w:pStyle w:val="TextBody"/>
        <w:bidi w:val="0"/>
        <w:spacing w:before="160" w:after="283"/>
        <w:jc w:val="left"/>
        <w:rPr>
          <w:rFonts w:ascii="Times New Roman" w:hAnsi="Times New Roman"/>
          <w:sz w:val="20"/>
        </w:rPr>
      </w:pPr>
      <w:r>
        <w:rPr>
          <w:rFonts w:ascii="Arial" w:hAnsi="Arial"/>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We expect our operating expenses to increase substantially in the future in connection with our ongoing activities, particularly as we advance aglatimagene and linoserpaturev through research and development, clinical trials, and develop our manufacturing capabilities, as we research and as we prepare for potential marketing approval and potential commercialization. We also expect to continue to incur additional costs associated with operating as a public company.</w:t>
      </w:r>
    </w:p>
    <w:p>
      <w:pPr>
        <w:pStyle w:val="TextBody"/>
        <w:bidi w:val="0"/>
        <w:spacing w:before="120" w:after="283"/>
        <w:jc w:val="left"/>
        <w:rPr>
          <w:rFonts w:ascii="Arial" w:hAnsi="Arial"/>
          <w:color w:val="000000"/>
          <w:sz w:val="19"/>
        </w:rPr>
      </w:pPr>
      <w:r>
        <w:rPr>
          <w:rFonts w:ascii="Arial" w:hAnsi="Arial"/>
          <w:color w:val="000000"/>
          <w:sz w:val="19"/>
        </w:rPr>
        <w:t>Specifically, our costs and expenses will increase as we: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advance the clinical development of aglatimagene and linoserpaturev;</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develop our manufacturing capabilities, including through relationships with contract manufacturers for potential commercial manufacturing of our product candidate aglatimagene and the development, construction and qualification of our clinical manufacturing capabilities, internally or through CDMOs for our product candidate linoserpaturev;</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pursue preparatory activities for potential launch and commercialization for aglatimagene in localized prostate cancer;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pursue the preclinical and clinical development of other product candidates using our enLIGHTEN Discovery Platform, an HSV-based platform;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expand our operational, financial, and management systems and increase personnel, including personnel to support our operations as a public company.</w:t>
      </w:r>
    </w:p>
    <w:p>
      <w:pPr>
        <w:pStyle w:val="TextBody"/>
        <w:bidi w:val="0"/>
        <w:spacing w:before="120" w:after="283"/>
        <w:jc w:val="left"/>
        <w:rPr>
          <w:rFonts w:ascii="Arial" w:hAnsi="Arial"/>
          <w:color w:val="000000"/>
          <w:sz w:val="19"/>
        </w:rPr>
      </w:pPr>
      <w:r>
        <w:rPr>
          <w:rFonts w:ascii="Arial" w:hAnsi="Arial"/>
          <w:color w:val="000000"/>
          <w:sz w:val="19"/>
        </w:rPr>
        <w:t>We believe that our existing cash and cash equivalents as of June 30, 2026, will enable us to fund our operating expenses and capital expense requirements into the first quarter of 2028. We have based this estimate on assumptions that may prove to be incorrect, and we could utilize our available capital resources sooner than we currently expect.</w:t>
      </w:r>
    </w:p>
    <w:p>
      <w:pPr>
        <w:pStyle w:val="TextBody"/>
        <w:bidi w:val="0"/>
        <w:spacing w:before="120" w:after="283"/>
        <w:jc w:val="left"/>
        <w:rPr>
          <w:rFonts w:ascii="Arial" w:hAnsi="Arial"/>
          <w:color w:val="000000"/>
          <w:sz w:val="19"/>
        </w:rPr>
      </w:pPr>
      <w:r>
        <w:rPr>
          <w:rFonts w:ascii="Arial" w:hAnsi="Arial"/>
          <w:color w:val="000000"/>
          <w:sz w:val="19"/>
        </w:rPr>
        <w:t>Because of the numerous risks and uncertainties associated with the research, development, and commercialization of therapeutics, it is difficult to estimate with certainty the amount of our working capital requirements. Our future funding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progress, costs, and results of our clinical development and clinical trials for aglatimagene and linoserpaturev;</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progress, costs, and results of our additional research and preclinical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costs,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establish and maintain collaborations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outcome, timing and cost of meeting regulatory requirements established by the FDA and comparable foreign regulatory authorities, if applicable,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costs and timing of internal and external process development for our manufacturing capabilities;</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scope, progress, results, and costs of any product candidates that we may derive from our HSV-based platform or with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costs of preparing, filing and prosecuting patent applications, obtaining, maintaining and enforcing our intellectual property rights and defending intellectual property-related claims; hire additional personnel in research, manufacturing, and regulatory and clinical development, as well as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extent to which we in-license or acquire rights to other products,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additions or departures of key scientific or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costs and timing of future commercialization activities, including product manufacturing, marketing, sales, and distribution for any of our product candidates for which we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amount of revenue, if any, received from commercial sales of our product candidates, should any of our product candidates receive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costs of operating as a public company.</w:t>
      </w:r>
    </w:p>
    <w:p>
      <w:pPr>
        <w:pStyle w:val="TextBody"/>
        <w:bidi w:val="0"/>
        <w:spacing w:before="120" w:after="283"/>
        <w:jc w:val="left"/>
        <w:rPr>
          <w:rFonts w:ascii="Times New Roman" w:hAnsi="Times New Roman"/>
          <w:sz w:val="20"/>
        </w:rPr>
      </w:pPr>
      <w:r>
        <w:rPr>
          <w:rFonts w:ascii="Arial" w:hAnsi="Arial"/>
          <w:color w:val="000000"/>
          <w:sz w:val="19"/>
        </w:rPr>
        <w:t>Until such time as we can generate significant revenue from product sales, if ever, we expect to finance our cash needs through a combination of public or private equity or debt financings and other sources, which may include collaborations strategic alliances and licensing arrangements with third parties.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could adversely affect your rights as a common stockholder. Debt financing and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to those restrictive covenants contained in the Trinity LSA. If we raise additional funds through other sources, such as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Our primary contractual obligations are our facility lease, the Loan Agreement with Trinity, and the Periphagen Note. The table below summarizes the contractual obligations that will become due as of June 30, 2026 (in thousands):</w:t>
      </w:r>
      <w:r>
        <w:rPr>
          <w:rFonts w:ascii="Times New Roman" w:hAnsi="Times New Roman"/>
          <w:color w:val="000000"/>
          <w:sz w:val="20"/>
        </w:rPr>
        <w:t xml:space="preserve"> </w:t>
      </w:r>
    </w:p>
    <w:tbl>
      <w:tblPr>
        <w:tblW w:w="7715" w:type="dxa"/>
        <w:jc w:val="left"/>
        <w:tblInd w:w="0" w:type="dxa"/>
        <w:tblLayout w:type="fixed"/>
        <w:tblCellMar>
          <w:top w:w="28" w:type="dxa"/>
          <w:left w:w="28" w:type="dxa"/>
          <w:bottom w:w="28" w:type="dxa"/>
          <w:right w:w="28" w:type="dxa"/>
        </w:tblCellMar>
      </w:tblPr>
      <w:tblGrid>
        <w:gridCol w:w="2761"/>
        <w:gridCol w:w="146"/>
        <w:gridCol w:w="211"/>
        <w:gridCol w:w="691"/>
        <w:gridCol w:w="146"/>
        <w:gridCol w:w="146"/>
        <w:gridCol w:w="274"/>
        <w:gridCol w:w="761"/>
        <w:gridCol w:w="146"/>
        <w:gridCol w:w="146"/>
        <w:gridCol w:w="211"/>
        <w:gridCol w:w="691"/>
        <w:gridCol w:w="146"/>
        <w:gridCol w:w="146"/>
        <w:gridCol w:w="211"/>
        <w:gridCol w:w="691"/>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3 TO 5</w:t>
              <w:br/>
              <w:t>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Operating lease obligation</w:t>
            </w:r>
            <w:r>
              <w:rPr>
                <w:rFonts w:ascii="Times New Roman" w:hAnsi="Times New Roman"/>
                <w:color w:val="000000"/>
                <w:sz w:val="20"/>
              </w:rPr>
              <w:t>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Loan Agreement with Trinity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Periphagen Note </w:t>
            </w: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9"/>
        </w:rPr>
      </w:pPr>
      <w:r>
        <w:rPr>
          <w:rFonts w:ascii="Arial" w:hAnsi="Arial"/>
          <w:color w:val="000000"/>
          <w:sz w:val="19"/>
        </w:rPr>
        <w:t>(1)</w:t>
      </w:r>
    </w:p>
    <w:p>
      <w:pPr>
        <w:pStyle w:val="TextBody"/>
        <w:bidi w:val="0"/>
        <w:spacing w:before="0" w:after="0"/>
        <w:jc w:val="left"/>
        <w:rPr>
          <w:rFonts w:ascii="Arial" w:hAnsi="Arial"/>
          <w:color w:val="000000"/>
          <w:sz w:val="19"/>
        </w:rPr>
      </w:pPr>
      <w:r>
        <w:rPr>
          <w:rFonts w:ascii="Arial" w:hAnsi="Arial"/>
          <w:color w:val="000000"/>
          <w:sz w:val="19"/>
        </w:rPr>
        <w:t>Represents future minimum lease payments under our operating lease for office and laboratory space at our Needham, Massachusetts facility. Our facility lease, as amended, extends to August of 2029.</w:t>
      </w:r>
    </w:p>
    <w:p>
      <w:pPr>
        <w:pStyle w:val="TextBody"/>
        <w:bidi w:val="0"/>
        <w:spacing w:before="0" w:after="0"/>
        <w:jc w:val="left"/>
        <w:rPr>
          <w:rFonts w:ascii="Arial" w:hAnsi="Arial"/>
          <w:color w:val="000000"/>
          <w:sz w:val="19"/>
        </w:rPr>
      </w:pPr>
      <w:r>
        <w:rPr>
          <w:rFonts w:ascii="Arial" w:hAnsi="Arial"/>
          <w:color w:val="000000"/>
          <w:sz w:val="19"/>
        </w:rPr>
        <w:t>(2)</w:t>
      </w:r>
    </w:p>
    <w:p>
      <w:pPr>
        <w:pStyle w:val="TextBody"/>
        <w:bidi w:val="0"/>
        <w:spacing w:before="0" w:after="0"/>
        <w:jc w:val="left"/>
        <w:rPr>
          <w:rFonts w:ascii="Arial" w:hAnsi="Arial"/>
          <w:color w:val="000000"/>
          <w:sz w:val="19"/>
        </w:rPr>
      </w:pPr>
      <w:r>
        <w:rPr>
          <w:rFonts w:ascii="Arial" w:hAnsi="Arial"/>
          <w:color w:val="000000"/>
          <w:sz w:val="19"/>
        </w:rPr>
        <w:t>Represents future principal, interest payments, and the final payment fee on our Loan Agreement with Trinity, which matures on October 1, 2030.</w:t>
      </w:r>
    </w:p>
    <w:p>
      <w:pPr>
        <w:pStyle w:val="TextBody"/>
        <w:bidi w:val="0"/>
        <w:spacing w:before="0" w:after="0"/>
        <w:jc w:val="left"/>
        <w:rPr>
          <w:rFonts w:ascii="Arial" w:hAnsi="Arial"/>
          <w:color w:val="000000"/>
          <w:sz w:val="19"/>
        </w:rPr>
      </w:pPr>
      <w:r>
        <w:rPr>
          <w:rFonts w:ascii="Arial" w:hAnsi="Arial"/>
          <w:color w:val="000000"/>
          <w:sz w:val="19"/>
        </w:rPr>
        <w:t>(3)</w:t>
      </w:r>
    </w:p>
    <w:p>
      <w:pPr>
        <w:pStyle w:val="TextBody"/>
        <w:bidi w:val="0"/>
        <w:jc w:val="left"/>
        <w:rPr>
          <w:rFonts w:ascii="Arial" w:hAnsi="Arial"/>
          <w:color w:val="000000"/>
          <w:sz w:val="19"/>
        </w:rPr>
      </w:pPr>
      <w:r>
        <w:rPr>
          <w:rFonts w:ascii="Arial" w:hAnsi="Arial"/>
          <w:color w:val="000000"/>
          <w:sz w:val="19"/>
        </w:rPr>
        <w:t>Represents a $1.0 million promissory note plus interest under the terms of our asset purchase agreements with Periphagen, Inc. The promissory note is due upon maturity in November 2027.</w:t>
      </w:r>
    </w:p>
    <w:p>
      <w:pPr>
        <w:pStyle w:val="TextBody"/>
        <w:bidi w:val="0"/>
        <w:spacing w:before="120" w:after="283"/>
        <w:jc w:val="left"/>
        <w:rPr>
          <w:rFonts w:ascii="Arial" w:hAnsi="Arial"/>
          <w:color w:val="000000"/>
          <w:sz w:val="19"/>
        </w:rPr>
      </w:pPr>
      <w:r>
        <w:rPr>
          <w:rFonts w:ascii="Arial" w:hAnsi="Arial"/>
          <w:color w:val="000000"/>
          <w:sz w:val="19"/>
        </w:rPr>
        <w:t>See our condensed consolidated financial statements and related footnotes elsewhere in this Form 10-Q for additional information on these agreements.</w:t>
      </w:r>
    </w:p>
    <w:p>
      <w:pPr>
        <w:pStyle w:val="TextBody"/>
        <w:bidi w:val="0"/>
        <w:spacing w:before="120" w:after="283"/>
        <w:jc w:val="left"/>
        <w:rPr>
          <w:rFonts w:ascii="Times New Roman" w:hAnsi="Times New Roman"/>
          <w:sz w:val="20"/>
        </w:rPr>
      </w:pPr>
      <w:r>
        <w:rPr>
          <w:rFonts w:ascii="Arial" w:hAnsi="Arial"/>
          <w:color w:val="000000"/>
          <w:sz w:val="19"/>
        </w:rPr>
        <w:t>We also enter into contracts in the normal course of business with contract research organizations, contract manufacturing organizations, and other third parties to assist in the performance of our research and development, manufacturing, and commercial activities. These contracts generally do not contain minimum purchase commitments and are cancelable by us upon prior written notice, subject in certain cases to required notice periods, binding purchase orders, or cancellation fees that we may be obligated to pay. Payments due upon cancelation consist of payments for services provided or expenses incurred, including noncancelable obligations of our service providers, up to the date of cancelation, and in certain cases may include cancellation fees. These payments are not included in the table above as the amount and timing of such payments are not known.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Arial" w:hAnsi="Arial"/>
          <w:b/>
          <w:color w:val="000000"/>
          <w:sz w:val="20"/>
        </w:rPr>
      </w:pPr>
      <w:r>
        <w:rPr>
          <w:rFonts w:ascii="Arial" w:hAnsi="Arial"/>
          <w:b/>
          <w:color w:val="000000"/>
          <w:sz w:val="20"/>
        </w:rPr>
        <w:t>Critical Accounting Estimates</w:t>
      </w:r>
    </w:p>
    <w:p>
      <w:pPr>
        <w:pStyle w:val="TextBody"/>
        <w:bidi w:val="0"/>
        <w:spacing w:before="120" w:after="283"/>
        <w:jc w:val="left"/>
        <w:rPr>
          <w:rFonts w:ascii="Arial" w:hAnsi="Arial"/>
          <w:color w:val="000000"/>
          <w:sz w:val="19"/>
        </w:rPr>
      </w:pPr>
      <w:r>
        <w:rPr>
          <w:rFonts w:ascii="Arial" w:hAnsi="Arial"/>
          <w:color w:val="000000"/>
          <w:sz w:val="19"/>
        </w:rPr>
        <w:t>Our management’s discussion and analysis of financial condition and results of operations is based on our financial statements, which have been prepared in accordance with U.S. generally accepted accounting principles (GAAP). The preparation of our condensed consolidated financial statements and related disclosures requires us to make estimates and assumptions that affect the reported amounts of assets and liabilities, costs and expenses, and the disclosure of contingent assets and liabilities in our financial statements.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pStyle w:val="TextBody"/>
        <w:bidi w:val="0"/>
        <w:spacing w:before="120" w:after="283"/>
        <w:jc w:val="left"/>
        <w:rPr>
          <w:rFonts w:ascii="Times New Roman" w:hAnsi="Times New Roman"/>
          <w:sz w:val="20"/>
        </w:rPr>
      </w:pPr>
      <w:r>
        <w:rPr>
          <w:rFonts w:ascii="Arial" w:hAnsi="Arial"/>
          <w:color w:val="000000"/>
          <w:sz w:val="19"/>
        </w:rPr>
        <w:t>During the three and six months ended June 30, 2026, there were no material changes to our critical accounting estimates as reported in our Annual Report on Form 10-K for the year ended December 31, 2025. For a full discussion of these estimates, see “</w:t>
      </w:r>
      <w:r>
        <w:rPr>
          <w:rFonts w:ascii="Arial" w:hAnsi="Arial"/>
          <w:i/>
          <w:color w:val="000000"/>
          <w:sz w:val="19"/>
        </w:rPr>
        <w:t>Critical Accounting Estimates</w:t>
      </w:r>
      <w:r>
        <w:rPr>
          <w:rFonts w:ascii="Times New Roman" w:hAnsi="Times New Roman"/>
          <w:color w:val="000000"/>
          <w:sz w:val="20"/>
        </w:rPr>
        <w:t xml:space="preserve">” </w:t>
      </w:r>
      <w:r>
        <w:rPr>
          <w:rFonts w:ascii="Arial" w:hAnsi="Arial"/>
          <w:color w:val="000000"/>
          <w:sz w:val="19"/>
        </w:rPr>
        <w:t>within “</w:t>
      </w:r>
      <w:r>
        <w:rPr>
          <w:rFonts w:ascii="Arial" w:hAnsi="Arial"/>
          <w:i/>
          <w:color w:val="000000"/>
          <w:sz w:val="19"/>
        </w:rPr>
        <w:t>Management’s Discussion and Analysis of Financial Condition and Results of Operations</w:t>
      </w:r>
      <w:r>
        <w:rPr>
          <w:rFonts w:ascii="Times New Roman" w:hAnsi="Times New Roman"/>
          <w:color w:val="000000"/>
          <w:sz w:val="20"/>
        </w:rPr>
        <w:t xml:space="preserve">” </w:t>
      </w:r>
      <w:r>
        <w:rPr>
          <w:rFonts w:ascii="Arial" w:hAnsi="Arial"/>
          <w:color w:val="000000"/>
          <w:sz w:val="19"/>
        </w:rPr>
        <w:t>in our Annual Report on Form 10-K for the year ended December 31, 2025.</w:t>
      </w:r>
    </w:p>
    <w:p>
      <w:pPr>
        <w:pStyle w:val="TextBody"/>
        <w:bidi w:val="0"/>
        <w:spacing w:before="160" w:after="283"/>
        <w:jc w:val="left"/>
        <w:rPr>
          <w:rFonts w:ascii="Times New Roman" w:hAnsi="Times New Roman"/>
          <w:sz w:val="20"/>
        </w:rPr>
      </w:pPr>
      <w:r>
        <w:rPr>
          <w:rFonts w:ascii="Arial" w:hAnsi="Arial"/>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A description of recent accounting pronouncements that may potentially impact our financial position, results of operations, or cash flows is disclosed in Note 2 to our condensed consolidated financial statements included elsewhere in this Form 10-Q.</w:t>
      </w:r>
    </w:p>
    <w:p>
      <w:pPr>
        <w:pStyle w:val="TextBody"/>
        <w:bidi w:val="0"/>
        <w:spacing w:before="160" w:after="283"/>
        <w:jc w:val="left"/>
        <w:rPr>
          <w:rFonts w:ascii="Times New Roman" w:hAnsi="Times New Roman"/>
          <w:sz w:val="20"/>
        </w:rPr>
      </w:pPr>
      <w:r>
        <w:rPr>
          <w:rFonts w:ascii="Arial" w:hAnsi="Arial"/>
          <w:b/>
          <w:color w:val="000000"/>
          <w:sz w:val="20"/>
        </w:rPr>
        <w:t>Emerging Growth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In April 2012, the Jumpstart Our Business Startups Act of 2012 (the JOBS Act) was enacted. Section 107 of the JOBS Act provides that an “emerging growth company,” or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pStyle w:val="TextBody"/>
        <w:bidi w:val="0"/>
        <w:spacing w:before="160" w:after="283"/>
        <w:jc w:val="left"/>
        <w:rPr>
          <w:rFonts w:ascii="Arial" w:hAnsi="Arial"/>
          <w:b/>
          <w:color w:val="000000"/>
          <w:sz w:val="20"/>
        </w:rPr>
      </w:pPr>
      <w:r>
        <w:rPr>
          <w:rFonts w:ascii="Arial" w:hAnsi="Arial"/>
          <w:b/>
          <w:color w:val="000000"/>
          <w:sz w:val="20"/>
        </w:rPr>
        <w:t>Smaller Reporting Company and Non-Accelerated Filer Status</w:t>
      </w:r>
    </w:p>
    <w:p>
      <w:pPr>
        <w:pStyle w:val="TextBody"/>
        <w:bidi w:val="0"/>
        <w:spacing w:before="120" w:after="283"/>
        <w:jc w:val="left"/>
        <w:rPr>
          <w:rFonts w:ascii="Arial" w:hAnsi="Arial"/>
          <w:color w:val="000000"/>
          <w:sz w:val="19"/>
        </w:rPr>
      </w:pPr>
      <w:r>
        <w:rPr>
          <w:rFonts w:ascii="Arial" w:hAnsi="Arial"/>
          <w:color w:val="000000"/>
          <w:sz w:val="19"/>
        </w:rPr>
        <w:t>Based on the market value of our common stock held by our non-affiliates as of June 30, 2025, we were considered a “smaller reporting company,” effective as of December 31, 2025. Based on the market value of our common stock held by our non-affiliates as of June 30, 2026, we will no longer be a “smaller reporting company” as of December 31, 2026. Accordingly, we will cease to be eligible to use the requirements for a smaller reporting company beginning with our Quarterly Report on Form 10-Q for the quarter ended March 31, 2027, and will thus be subject to additional disclosure and compliance requirements. Because we remain eligible to use the requirements for smaller reporting companies through December 31, 2026, we will continue to be a non-accelerated filer as of December 31, 2026 and will remain a “non-accelerated filer” through December 31, 2027.</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Arial" w:hAnsi="Arial"/>
          <w:b/>
          <w:color w:val="000000"/>
          <w:sz w:val="20"/>
        </w:rPr>
      </w:pPr>
      <w:bookmarkStart w:id="10" w:name="item_3_quantitative_qualitative_disclosu"/>
      <w:bookmarkEnd w:id="10"/>
      <w:r>
        <w:rPr>
          <w:rFonts w:ascii="Arial" w:hAnsi="Arial"/>
          <w:b/>
          <w:color w:val="000000"/>
          <w:sz w:val="20"/>
        </w:rPr>
        <w:t>Item 3. Quantitative and Qualitative Disclosures About Market Risk.</w:t>
      </w:r>
    </w:p>
    <w:p>
      <w:pPr>
        <w:pStyle w:val="TextBody"/>
        <w:bidi w:val="0"/>
        <w:spacing w:before="120" w:after="283"/>
        <w:jc w:val="left"/>
        <w:rPr>
          <w:rFonts w:ascii="Arial" w:hAnsi="Arial"/>
          <w:color w:val="000000"/>
          <w:sz w:val="19"/>
        </w:rPr>
      </w:pPr>
      <w:r>
        <w:rPr>
          <w:rFonts w:ascii="Arial" w:hAnsi="Arial"/>
          <w:color w:val="000000"/>
          <w:sz w:val="19"/>
        </w:rPr>
        <w:t>We are a smaller reporting company as defined by Rule 12b-2 of the Securities Exchange Act of 1934, as amended, and are not required to provide the information under this item.</w:t>
      </w:r>
    </w:p>
    <w:p>
      <w:pPr>
        <w:pStyle w:val="TextBody"/>
        <w:bidi w:val="0"/>
        <w:spacing w:before="160" w:after="283"/>
        <w:jc w:val="left"/>
        <w:rPr>
          <w:rFonts w:ascii="Times New Roman" w:hAnsi="Times New Roman"/>
          <w:sz w:val="20"/>
        </w:rPr>
      </w:pPr>
      <w:bookmarkStart w:id="11" w:name="item_4_controls_procedures"/>
      <w:bookmarkEnd w:id="11"/>
      <w:r>
        <w:rPr>
          <w:rFonts w:ascii="Arial" w:hAnsi="Arial"/>
          <w:b/>
          <w:color w:val="000000"/>
          <w:sz w:val="20"/>
        </w:rPr>
        <w:t>Item 4. Controls</w:t>
      </w:r>
      <w:r>
        <w:rPr>
          <w:rFonts w:ascii="Times New Roman" w:hAnsi="Times New Roman"/>
          <w:color w:val="000000"/>
          <w:sz w:val="20"/>
        </w:rPr>
        <w:t xml:space="preserve"> </w:t>
      </w:r>
      <w:r>
        <w:rPr>
          <w:rFonts w:ascii="Arial" w:hAnsi="Arial"/>
          <w:b/>
          <w:color w:val="000000"/>
          <w:sz w:val="20"/>
        </w:rPr>
        <w:t>and Procedures.</w:t>
      </w:r>
    </w:p>
    <w:p>
      <w:pPr>
        <w:pStyle w:val="TextBody"/>
        <w:bidi w:val="0"/>
        <w:spacing w:before="160" w:after="283"/>
        <w:jc w:val="left"/>
        <w:rPr>
          <w:rFonts w:ascii="Arial" w:hAnsi="Arial"/>
          <w:b/>
          <w:color w:val="000000"/>
          <w:sz w:val="20"/>
        </w:rPr>
      </w:pPr>
      <w:r>
        <w:rPr>
          <w:rFonts w:ascii="Arial" w:hAnsi="Arial"/>
          <w:b/>
          <w:color w:val="000000"/>
          <w:sz w:val="20"/>
        </w:rPr>
        <w:t>Limitations on Effectiveness of Controls and Procedures</w:t>
      </w:r>
    </w:p>
    <w:p>
      <w:pPr>
        <w:pStyle w:val="TextBody"/>
        <w:bidi w:val="0"/>
        <w:spacing w:before="120" w:after="283"/>
        <w:jc w:val="left"/>
        <w:rPr>
          <w:rFonts w:ascii="Arial" w:hAnsi="Arial"/>
          <w:color w:val="000000"/>
          <w:sz w:val="19"/>
        </w:rPr>
      </w:pPr>
      <w:r>
        <w:rPr>
          <w:rFonts w:ascii="Arial" w:hAnsi="Arial"/>
          <w:color w:val="000000"/>
          <w:sz w:val="19"/>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before="160" w:after="283"/>
        <w:jc w:val="left"/>
        <w:rPr>
          <w:rFonts w:ascii="Arial" w:hAnsi="Arial"/>
          <w:b/>
          <w:color w:val="000000"/>
          <w:sz w:val="20"/>
        </w:rPr>
      </w:pPr>
      <w:r>
        <w:rPr>
          <w:rFonts w:ascii="Arial" w:hAnsi="Arial"/>
          <w:b/>
          <w:color w:val="000000"/>
          <w:sz w:val="20"/>
        </w:rPr>
        <w:t>Evaluation of Disclosure Controls and Procedures</w:t>
      </w:r>
    </w:p>
    <w:p>
      <w:pPr>
        <w:pStyle w:val="TextBody"/>
        <w:bidi w:val="0"/>
        <w:spacing w:before="120" w:after="283"/>
        <w:jc w:val="left"/>
        <w:rPr>
          <w:rFonts w:ascii="Arial" w:hAnsi="Arial"/>
          <w:color w:val="000000"/>
          <w:sz w:val="19"/>
        </w:rPr>
      </w:pPr>
      <w:r>
        <w:rPr>
          <w:rFonts w:ascii="Arial" w:hAnsi="Arial"/>
          <w:color w:val="000000"/>
          <w:sz w:val="19"/>
        </w:rPr>
        <w:t>Our management is responsible for establishing and maintaining adequate internal control over financial reporting (as defined in Rule 13a-15(f) under the Securities and Exchange Act of 1934, as amended). 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120" w:after="283"/>
        <w:jc w:val="left"/>
        <w:rPr>
          <w:rFonts w:ascii="Arial" w:hAnsi="Arial"/>
          <w:color w:val="000000"/>
          <w:sz w:val="19"/>
        </w:rPr>
      </w:pPr>
      <w:r>
        <w:rPr>
          <w:rFonts w:ascii="Arial" w:hAnsi="Arial"/>
          <w:color w:val="000000"/>
          <w:sz w:val="19"/>
        </w:rPr>
        <w:t>Our management, with the participation of our Chief Executive Officer and Chief Financial Officer (our principal executive officer and principal financial officer, respectively), evaluated the effectiveness of our disclosure controls and procedures as of June 30, 2026.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before="160" w:after="283"/>
        <w:jc w:val="left"/>
        <w:rPr>
          <w:rFonts w:ascii="Arial" w:hAnsi="Arial"/>
          <w:b/>
          <w:color w:val="000000"/>
          <w:sz w:val="19"/>
        </w:rPr>
      </w:pPr>
      <w:r>
        <w:rPr>
          <w:rFonts w:ascii="Arial" w:hAnsi="Arial"/>
          <w:b/>
          <w:color w:val="000000"/>
          <w:sz w:val="19"/>
        </w:rPr>
        <w:t>Changes in Internal Control Over Financial Reporting</w:t>
      </w:r>
    </w:p>
    <w:p>
      <w:pPr>
        <w:pStyle w:val="TextBody"/>
        <w:bidi w:val="0"/>
        <w:spacing w:before="120" w:after="283"/>
        <w:jc w:val="left"/>
        <w:rPr>
          <w:rFonts w:ascii="Times New Roman" w:hAnsi="Times New Roman"/>
          <w:sz w:val="20"/>
        </w:rPr>
      </w:pPr>
      <w:r>
        <w:rPr>
          <w:rFonts w:ascii="Arial" w:hAnsi="Arial"/>
          <w:color w:val="000000"/>
          <w:sz w:val="19"/>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12" w:name="part_iior_information"/>
      <w:bookmarkEnd w:id="12"/>
      <w:r>
        <w:rPr>
          <w:rFonts w:ascii="Arial" w:hAnsi="Arial"/>
          <w:b/>
          <w:color w:val="000000"/>
          <w:sz w:val="20"/>
        </w:rPr>
        <w:t>PART II—OTHER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360" w:after="283"/>
        <w:jc w:val="left"/>
        <w:rPr>
          <w:rFonts w:ascii="Times New Roman" w:hAnsi="Times New Roman"/>
          <w:sz w:val="20"/>
        </w:rPr>
      </w:pPr>
      <w:bookmarkStart w:id="13" w:name="item_1_legal_proceedings"/>
      <w:bookmarkEnd w:id="13"/>
      <w:r>
        <w:rPr>
          <w:rFonts w:ascii="Arial" w:hAnsi="Arial"/>
          <w:b/>
          <w:color w:val="000000"/>
          <w:sz w:val="20"/>
        </w:rPr>
        <w:t>Item 1. Legal</w:t>
      </w:r>
      <w:r>
        <w:rPr>
          <w:rFonts w:ascii="Times New Roman" w:hAnsi="Times New Roman"/>
          <w:color w:val="000000"/>
          <w:sz w:val="20"/>
        </w:rPr>
        <w:t xml:space="preserve"> </w:t>
      </w:r>
      <w:r>
        <w:rPr>
          <w:rFonts w:ascii="Arial" w:hAnsi="Arial"/>
          <w:b/>
          <w:color w:val="000000"/>
          <w:sz w:val="20"/>
        </w:rPr>
        <w:t>Proceedings.</w:t>
      </w:r>
    </w:p>
    <w:p>
      <w:pPr>
        <w:pStyle w:val="TextBody"/>
        <w:bidi w:val="0"/>
        <w:spacing w:before="120" w:after="283"/>
        <w:jc w:val="left"/>
        <w:rPr>
          <w:rFonts w:ascii="Times New Roman" w:hAnsi="Times New Roman"/>
          <w:sz w:val="20"/>
        </w:rPr>
      </w:pPr>
      <w:r>
        <w:rPr>
          <w:rFonts w:ascii="Arial" w:hAnsi="Arial"/>
          <w:color w:val="000000"/>
          <w:sz w:val="19"/>
        </w:rPr>
        <w:t>From time to time, we may become involved in litigation or other legal proceedings.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pStyle w:val="TextBody"/>
        <w:bidi w:val="0"/>
        <w:spacing w:before="160" w:after="283"/>
        <w:jc w:val="left"/>
        <w:rPr>
          <w:rFonts w:ascii="Arial" w:hAnsi="Arial"/>
          <w:b/>
          <w:color w:val="000000"/>
          <w:sz w:val="20"/>
        </w:rPr>
      </w:pPr>
      <w:bookmarkStart w:id="14" w:name="item_1a_risk_factors"/>
      <w:bookmarkEnd w:id="14"/>
      <w:r>
        <w:rPr>
          <w:rFonts w:ascii="Arial" w:hAnsi="Arial"/>
          <w:b/>
          <w:color w:val="000000"/>
          <w:sz w:val="20"/>
        </w:rPr>
        <w:t>Item 1A. Risk Factors.</w:t>
      </w:r>
    </w:p>
    <w:p>
      <w:pPr>
        <w:pStyle w:val="TextBody"/>
        <w:bidi w:val="0"/>
        <w:spacing w:before="120" w:after="283"/>
        <w:jc w:val="left"/>
        <w:rPr>
          <w:rFonts w:ascii="Arial" w:hAnsi="Arial"/>
          <w:i/>
          <w:color w:val="000000"/>
          <w:sz w:val="19"/>
        </w:rPr>
      </w:pPr>
      <w:r>
        <w:rPr>
          <w:rFonts w:ascii="Arial" w:hAnsi="Arial"/>
          <w:i/>
          <w:color w:val="000000"/>
          <w:sz w:val="19"/>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pStyle w:val="TextBody"/>
        <w:bidi w:val="0"/>
        <w:spacing w:before="160" w:after="283"/>
        <w:jc w:val="left"/>
        <w:rPr>
          <w:rFonts w:ascii="Arial" w:hAnsi="Arial"/>
          <w:b/>
          <w:color w:val="000000"/>
          <w:sz w:val="19"/>
        </w:rPr>
      </w:pPr>
      <w:r>
        <w:rPr>
          <w:rFonts w:ascii="Arial" w:hAnsi="Arial"/>
          <w:b/>
          <w:color w:val="000000"/>
          <w:sz w:val="19"/>
        </w:rPr>
        <w:t>Risks Related to Our Business, Financial Position and Capital Requirements</w:t>
      </w:r>
    </w:p>
    <w:p>
      <w:pPr>
        <w:pStyle w:val="TextBody"/>
        <w:bidi w:val="0"/>
        <w:spacing w:before="120" w:after="283"/>
        <w:jc w:val="left"/>
        <w:rPr>
          <w:rFonts w:ascii="Arial" w:hAnsi="Arial"/>
          <w:b/>
          <w:i/>
          <w:color w:val="000000"/>
          <w:sz w:val="19"/>
        </w:rPr>
      </w:pPr>
      <w:r>
        <w:rPr>
          <w:rFonts w:ascii="Arial" w:hAnsi="Arial"/>
          <w:b/>
          <w:i/>
          <w:color w:val="000000"/>
          <w:sz w:val="19"/>
        </w:rPr>
        <w:t>We are a biopharmaceutical company with a limited operating history and have not generated any revenue to date from product sales.</w:t>
      </w:r>
    </w:p>
    <w:p>
      <w:pPr>
        <w:pStyle w:val="TextBody"/>
        <w:bidi w:val="0"/>
        <w:spacing w:before="120" w:after="283"/>
        <w:jc w:val="left"/>
        <w:rPr>
          <w:rFonts w:ascii="Times New Roman" w:hAnsi="Times New Roman"/>
          <w:sz w:val="20"/>
        </w:rPr>
      </w:pPr>
      <w:r>
        <w:rPr>
          <w:rFonts w:ascii="Arial" w:hAnsi="Arial"/>
          <w:color w:val="000000"/>
          <w:sz w:val="19"/>
        </w:rPr>
        <w:t>Biopharmaceutical product development is a highly speculative undertaking and involves a substantial degree of risk. We were incorporated under the laws of the State of Delaware in June 2003. Since inception, we have focused substantially all of our efforts and financial resources on raising capital and developing our initial product candidates. To date, we have financed our operations primarily through the issuance and sale of our convertible preferred stock to outside investors in private equity financings and from the proceeds of the sale of our common stock and accompanying pre-funded warrants. From our inception through June 30, 2026, we raised an aggregate of $392.7 million of gross proceeds from such transactions. In addition, in February 2022, we borrowed $20.0 million under the four-year loan and security agreement (the SVB Loan Agreement) with Silicon Valley Bank (SVB). On October 14, 2025, we entered into a Loan and Security Agreement, as amended by that certain First Amendment to Loan and Security Agreement dated as of March 10, 2026 (the Trinity LSA), with the lenders party thereto and Trinity Capital Inc. (Trinity), as administrative agent and collateral agent and in October 2025 we borrowed $50.0 million under the Trinity LSA pursuant to the First Tranche at closing. We used a portion of the proceeds from the First Tranche of the Trinity LSA to repay the SVB Loan Agreement in full on October 14, 2025. As of June 30, 2026, our cash and cash equivalents were $201.6 million. We had an accumulated deficit of $278.2 million as of June 30, 2026. For the six months ended June 30, 2026 and 2025, we reported net loss of $47.8 million and net income of $2.6 million, respectively. We have no products approved for commercial sale and therefore have never generated any revenue from product sales, and we do not expect to do so in the foreseeable future. We have not obtained regulatory approvals for any of our product candidates, and even if our clinical development efforts result in positive data, our product candidates may not receive regulatory approval or be successfully introduced and marketed at prices that would permit us to operate profitably.</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We expect to continue to incur significant expenses and operating losses for the foreseeable future. Our prior losses, combined with expected future losses, have had and will continue to have an adverse effect on our stockholders’ equity and working capital.</w:t>
      </w:r>
    </w:p>
    <w:p>
      <w:pPr>
        <w:pStyle w:val="TextBody"/>
        <w:bidi w:val="0"/>
        <w:spacing w:before="120" w:after="283"/>
        <w:jc w:val="left"/>
        <w:rPr>
          <w:rFonts w:ascii="Arial" w:hAnsi="Arial"/>
          <w:b/>
          <w:i/>
          <w:color w:val="000000"/>
          <w:sz w:val="19"/>
        </w:rPr>
      </w:pPr>
      <w:r>
        <w:rPr>
          <w:rFonts w:ascii="Arial" w:hAnsi="Arial"/>
          <w:b/>
          <w:i/>
          <w:color w:val="000000"/>
          <w:sz w:val="19"/>
        </w:rPr>
        <w:t>We have incurred significant operating losses since our inception and anticipate that we will incur continued losses for the foreseeable future.</w:t>
      </w:r>
    </w:p>
    <w:p>
      <w:pPr>
        <w:pStyle w:val="TextBody"/>
        <w:bidi w:val="0"/>
        <w:spacing w:before="120" w:after="283"/>
        <w:jc w:val="left"/>
        <w:rPr>
          <w:rFonts w:ascii="Arial" w:hAnsi="Arial"/>
          <w:color w:val="000000"/>
          <w:sz w:val="19"/>
        </w:rPr>
      </w:pPr>
      <w:r>
        <w:rPr>
          <w:rFonts w:ascii="Arial" w:hAnsi="Arial"/>
          <w:color w:val="000000"/>
          <w:sz w:val="19"/>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manufacturing expenses. We are incurring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Arial" w:hAnsi="Arial"/>
          <w:color w:val="000000"/>
          <w:sz w:val="19"/>
        </w:rPr>
        <w:t>The amount of our future losses is uncertain, and our quarterly and annual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quarterly and annual operating results may fluctuate significantly in the future due to a variety of factors, many of which are outside of our control and may be difficult to predict,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successfully enroll and retain subjects for clinical trials, and any delays caused by difficulties in such efforts;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obtain marketing approval for our product candidates, and the timing and scope of any such approvals we may receive;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changing and volatile U.S. and global economic environments, including as a result of any future public health crisis or changes in trade policy, tariffs or other trade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timing and cost of, and level of investment in, research and development activities relating to our product candidates, which may change from time to time;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cost of manufacturing our product candidates, which may vary depending on the quantity of production, and the success of achieving clinical-scale manufacturing operations in our new facility or through CDMOs and commercial manufacturing at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attract, hire and retain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expenditures that we will or may incur to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level of demand for our product candidates should they receive approval, which may vary significantly;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risk/benefit profile, cost and reimbursement policies with respect to our product candidates, if approved, and existing and potential future therapeutics that compete with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future accounting pronouncements or changes in our accounting policies.</w:t>
      </w:r>
    </w:p>
    <w:p>
      <w:pPr>
        <w:pStyle w:val="TextBody"/>
        <w:bidi w:val="0"/>
        <w:spacing w:before="120" w:after="283"/>
        <w:jc w:val="left"/>
        <w:rPr>
          <w:rFonts w:ascii="Arial" w:hAnsi="Arial"/>
          <w:color w:val="000000"/>
          <w:sz w:val="19"/>
        </w:rPr>
      </w:pPr>
      <w:r>
        <w:rPr>
          <w:rFonts w:ascii="Arial" w:hAnsi="Arial"/>
          <w:color w:val="000000"/>
          <w:sz w:val="19"/>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120" w:after="283"/>
        <w:jc w:val="left"/>
        <w:rPr>
          <w:rFonts w:ascii="Arial" w:hAnsi="Arial"/>
          <w:b/>
          <w:i/>
          <w:color w:val="000000"/>
          <w:sz w:val="19"/>
        </w:rPr>
      </w:pPr>
      <w:r>
        <w:rPr>
          <w:rFonts w:ascii="Arial" w:hAnsi="Arial"/>
          <w:b/>
          <w:i/>
          <w:color w:val="000000"/>
          <w:sz w:val="19"/>
        </w:rPr>
        <w:t>We have no products approved for commercial sale and have not generated any revenue from product sales.</w:t>
      </w:r>
    </w:p>
    <w:p>
      <w:pPr>
        <w:pStyle w:val="TextBody"/>
        <w:bidi w:val="0"/>
        <w:spacing w:before="120" w:after="283"/>
        <w:jc w:val="left"/>
        <w:rPr>
          <w:rFonts w:ascii="Arial" w:hAnsi="Arial"/>
          <w:color w:val="000000"/>
          <w:sz w:val="19"/>
        </w:rPr>
      </w:pPr>
      <w:r>
        <w:rPr>
          <w:rFonts w:ascii="Arial" w:hAnsi="Arial"/>
          <w:color w:val="000000"/>
          <w:sz w:val="19"/>
        </w:rPr>
        <w:t>Our ability to become profitable depends upon our ability to generate revenue. To date, we have not generated any revenue from our product candidates,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successfully complete our ongoing and planned preclinical studies and clinical trials for our viral immunotherapy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timely file and receive clearance of our Investigational New Drug applications (INDs), in order to commence our planned clinical trials or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successfully enroll subjects in, and complete, clinical trials for our viral immunotherapy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timely file marketing applications and receive regulatory approvals for our product candidates from the FDA and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initiate and successfully complete all safety studies required to obtain U.S. and foreign marketing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establish clinical supply capabilities through arrangements with third-party manufacturers for clinical supply and commercial manufacturing;</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obtain and maintain patent and trade secret protection or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launch commercial sales of our product candidates, if and when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maintain a continued acceptable safety profile of the product candidates following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obtain and maintain acceptance of the product candidates, if and when approved,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position our products to effectively compete with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obtain and maintain favorable coverage and adequate reimbursement by third-party payors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enforce and defend intellectual property rights and claims with respect to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hire additional staff, including clinical, scientific and management personnel.</w:t>
      </w:r>
    </w:p>
    <w:p>
      <w:pPr>
        <w:pStyle w:val="TextBody"/>
        <w:bidi w:val="0"/>
        <w:spacing w:before="120" w:after="283"/>
        <w:jc w:val="left"/>
        <w:rPr>
          <w:rFonts w:ascii="Arial" w:hAnsi="Arial"/>
          <w:color w:val="000000"/>
          <w:sz w:val="19"/>
        </w:rPr>
      </w:pPr>
      <w:r>
        <w:rPr>
          <w:rFonts w:ascii="Arial" w:hAnsi="Arial"/>
          <w:color w:val="000000"/>
          <w:sz w:val="19"/>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pStyle w:val="TextBody"/>
        <w:bidi w:val="0"/>
        <w:spacing w:before="120" w:after="283"/>
        <w:jc w:val="left"/>
        <w:rPr>
          <w:rFonts w:ascii="Arial" w:hAnsi="Arial"/>
          <w:b/>
          <w:i/>
          <w:color w:val="000000"/>
          <w:sz w:val="19"/>
        </w:rPr>
      </w:pPr>
      <w:r>
        <w:rPr>
          <w:rFonts w:ascii="Arial" w:hAnsi="Arial"/>
          <w:b/>
          <w:i/>
          <w:color w:val="000000"/>
          <w:sz w:val="19"/>
        </w:rPr>
        <w:t>We will need to raise substantial additional funding, which may not be available on acceptable terms, or at all. If we are unable to raise capital when needed, we would be forced to delay, reduce or eliminate some of our product development programs or commercialization efforts or initiate steps to cease operations.</w:t>
      </w:r>
    </w:p>
    <w:p>
      <w:pPr>
        <w:pStyle w:val="TextBody"/>
        <w:bidi w:val="0"/>
        <w:spacing w:before="120" w:after="283"/>
        <w:jc w:val="left"/>
        <w:rPr>
          <w:rFonts w:ascii="Arial" w:hAnsi="Arial"/>
          <w:color w:val="000000"/>
          <w:sz w:val="19"/>
        </w:rPr>
      </w:pPr>
      <w:r>
        <w:rPr>
          <w:rFonts w:ascii="Arial" w:hAnsi="Arial"/>
          <w:color w:val="000000"/>
          <w:sz w:val="19"/>
        </w:rPr>
        <w:t>The development of pharmaceutical products is capital-intensive. We are currently advancing our product candidates through clinical development across a number of potential indications. We expect our expenses to significantly increase in connection with our ongoing activities, particularly as we continue our ongoing clinical trials or initiate future trials and pursue the research and development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and may be unable to expand our operations or otherwise capitalize on our business opportunities, as desired, which could materially affect our business, financial condition and results of operations.</w:t>
      </w:r>
    </w:p>
    <w:p>
      <w:pPr>
        <w:pStyle w:val="TextBody"/>
        <w:bidi w:val="0"/>
        <w:spacing w:before="120" w:after="120"/>
        <w:jc w:val="left"/>
        <w:rPr>
          <w:rFonts w:ascii="Arial" w:hAnsi="Arial"/>
          <w:color w:val="000000"/>
          <w:sz w:val="19"/>
        </w:rPr>
      </w:pPr>
      <w:r>
        <w:rPr>
          <w:rFonts w:ascii="Arial" w:hAnsi="Arial"/>
          <w:color w:val="000000"/>
          <w:sz w:val="19"/>
        </w:rPr>
        <w:t>We expect that our existing cash and cash equivalents will be sufficient to fund our current operating plan into the first quarter of 2028. However, our future capital requirements will depend on and could increase significantly as a result of many factors, including: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the scope, progress, results and costs of product discovery, preclinical and clinical development, laboratory testing, manufacturing and clinical trials for the development of aglatimagene, linoserpaturev, or our other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timing of, and the costs involved in, obtaining marketing approvals for aglatimagene in newly diagnosed localized prostate cancer and NSCLC as well as for linoserpaturev in our initial target indication of glioblastoma and our other potential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if approved, the costs of commercialization activities for aglatimagene or linoserpaturev for any approved indications or any other product candidate that receives regulatory approval to the extent such costs are not the responsibility of a collaborator that we may contract with in the future,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scope, prioritization and number of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costs,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establish and maintain additional collaborations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achievement of milestones or occurrence of other developments that trigger payments under any additional collaboration agreements we may enter into;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extent to which we are obligated to reimburse, or entitled to reimbursement of, clinical trial costs under future collaboration agreements, if any;</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extent to which we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costs of securing manufacturing arrangements for commercial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emergence of competing viral immunotherapies as well as immuno-oncology therapies in general and other adverse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costs of establishing clinical manufacturing operations through CDMOs;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costs of establishing or contracting for sales and marketing capabilities if we obtain regulatory approvals to market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impact of any future public health crisis, which may exacerbate the magnitude of the factors discussed above.</w:t>
      </w:r>
    </w:p>
    <w:p>
      <w:pPr>
        <w:pStyle w:val="TextBody"/>
        <w:bidi w:val="0"/>
        <w:spacing w:before="120" w:after="283"/>
        <w:jc w:val="left"/>
        <w:rPr>
          <w:rFonts w:ascii="Arial" w:hAnsi="Arial"/>
          <w:color w:val="000000"/>
          <w:sz w:val="19"/>
        </w:rPr>
      </w:pPr>
      <w:r>
        <w:rPr>
          <w:rFonts w:ascii="Arial" w:hAnsi="Arial"/>
          <w:color w:val="000000"/>
          <w:sz w:val="19"/>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the foreseeable future, if at all. Accordingly, we will need to continue to rely on additional financing to achieve our business objectives.</w:t>
      </w:r>
    </w:p>
    <w:p>
      <w:pPr>
        <w:pStyle w:val="TextBody"/>
        <w:bidi w:val="0"/>
        <w:spacing w:before="120" w:after="283"/>
        <w:jc w:val="left"/>
        <w:rPr>
          <w:rFonts w:ascii="Times New Roman" w:hAnsi="Times New Roman"/>
          <w:sz w:val="20"/>
        </w:rPr>
      </w:pPr>
      <w:r>
        <w:rPr>
          <w:rFonts w:ascii="Arial" w:hAnsi="Arial"/>
          <w:color w:val="000000"/>
          <w:sz w:val="19"/>
        </w:rPr>
        <w:t>Any additional fundraising efforts may divert our management from their day-to-day activities, which may adversely affect our ability to develop and commercialize our product candidates. Disruptions in the financial markets in general have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pStyle w:val="TextBody"/>
        <w:bidi w:val="0"/>
        <w:spacing w:before="120" w:after="283"/>
        <w:jc w:val="left"/>
        <w:rPr>
          <w:rFonts w:ascii="Arial" w:hAnsi="Arial"/>
          <w:color w:val="000000"/>
          <w:sz w:val="19"/>
        </w:rPr>
      </w:pPr>
      <w:r>
        <w:rPr>
          <w:rFonts w:ascii="Arial" w:hAnsi="Arial"/>
          <w:color w:val="000000"/>
          <w:sz w:val="19"/>
        </w:rPr>
        <w:t>If we are unable to obtain adequate funding on a timely basis or on terms acceptable to us, we may be required to revise our business plan and strategy and potentially curtail, delay, or discontinue one or more of our clinical trials, our research efforts, product development, future commercialization efforts or we may be unable to expand our operations or otherwise capitalize on our business opportunities, or we may be required to initiate steps to cease operations. As a result, our business, financial condition and results of operations could be materially affected.</w:t>
      </w:r>
    </w:p>
    <w:p>
      <w:pPr>
        <w:pStyle w:val="TextBody"/>
        <w:bidi w:val="0"/>
        <w:spacing w:before="120" w:after="283"/>
        <w:jc w:val="left"/>
        <w:rPr>
          <w:rFonts w:ascii="Arial" w:hAnsi="Arial"/>
          <w:b/>
          <w:i/>
          <w:color w:val="000000"/>
          <w:sz w:val="19"/>
        </w:rPr>
      </w:pPr>
      <w:r>
        <w:rPr>
          <w:rFonts w:ascii="Arial" w:hAnsi="Arial"/>
          <w:b/>
          <w:i/>
          <w:color w:val="000000"/>
          <w:sz w:val="19"/>
        </w:rPr>
        <w:t>We have incurred indebtedness, and we may incur additional indebtedness, which could adversely affect our financial condition.</w:t>
      </w:r>
    </w:p>
    <w:p>
      <w:pPr>
        <w:pStyle w:val="TextBody"/>
        <w:bidi w:val="0"/>
        <w:spacing w:before="120" w:after="283"/>
        <w:jc w:val="left"/>
        <w:rPr>
          <w:rFonts w:ascii="Arial" w:hAnsi="Arial"/>
          <w:color w:val="000000"/>
          <w:sz w:val="19"/>
        </w:rPr>
      </w:pPr>
      <w:r>
        <w:rPr>
          <w:rFonts w:ascii="Arial" w:hAnsi="Arial"/>
          <w:color w:val="000000"/>
          <w:sz w:val="19"/>
        </w:rPr>
        <w:t>On October 14, 2025, we entered into the Trinity LSA, pursuant to which Trinity has agreed to provide term loans to us in tranches totaling an aggregate principal amount of up to $130.0 million, as described in the Trinity LSA. Our indebtedness could have important consequences to our stockholders. For example, it: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increases our vulnerability to adverse general economic and industry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limits our flexibility in planning for, or reacting to, changes in our business or the industries in which we operate by restricting our ability to make acquisitions, investments or divestments, or take other corporate actions quickly;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limits our ability to obtain additional financing or refinancing in the future for working capital, clinical trials, research and development, or other purposes.</w:t>
      </w:r>
    </w:p>
    <w:p>
      <w:pPr>
        <w:pStyle w:val="TextBody"/>
        <w:bidi w:val="0"/>
        <w:spacing w:before="120" w:after="283"/>
        <w:jc w:val="left"/>
        <w:rPr>
          <w:rFonts w:ascii="Arial" w:hAnsi="Arial"/>
          <w:color w:val="000000"/>
          <w:sz w:val="19"/>
        </w:rPr>
      </w:pPr>
      <w:r>
        <w:rPr>
          <w:rFonts w:ascii="Arial" w:hAnsi="Arial"/>
          <w:color w:val="000000"/>
          <w:sz w:val="19"/>
        </w:rPr>
        <w:t>Any of the above-listed factors could materially adversely affect our business, financial condition, results of operations, and cash flows. The Trinity LSA also contains certain covenants, including limitations on, among other things, additional indebtedness, making certain dispositions, paying dividends in certain circumstances, and making certain acquisitions and investments. Any failure to comply with the terms, covenants and conditions of the Trinity LSA may limit our ability to draw upon additional tranches of term loans and may result in an event of default under such agreement entitling the lender to accelerate our indebtedness, which could have a material adverse effect on our business, financial condition, and results of operations.</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spacing w:before="120" w:after="160"/>
        <w:jc w:val="left"/>
        <w:rPr>
          <w:rFonts w:ascii="Times New Roman" w:hAnsi="Times New Roman"/>
          <w:sz w:val="20"/>
        </w:rPr>
      </w:pPr>
      <w:r>
        <w:rPr>
          <w:rFonts w:ascii="Arial" w:hAnsi="Arial"/>
          <w:color w:val="000000"/>
          <w:sz w:val="19"/>
        </w:rPr>
        <w:t>Recent increases in interest rates have increased our borrowing costs and may also affect our ability to obtain working capital through borrowings such as bank credit lines and public or private sales of debt securities, which may result in lower liquidity, reduced working capital and other adverse impacts on our business.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9"/>
        </w:rPr>
        <w:t>Our outstanding debt under the Trinity LSA may bear interest at variable interest rates. To meet our liquidity needs, we have relied in part on borrowed funds with variable interest rates and may continue to do so in the future. Continued increase in interest rates may increase the cost of new indebtedness and the servicing of our outstanding indebtedness, and could materially and adversely affect our results of operations, financial condition, liquidity and cash flows.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Arial" w:hAnsi="Arial"/>
          <w:b/>
          <w:i/>
          <w:color w:val="000000"/>
          <w:sz w:val="19"/>
        </w:rPr>
      </w:pPr>
      <w:r>
        <w:rPr>
          <w:rFonts w:ascii="Arial" w:hAnsi="Arial"/>
          <w:b/>
          <w:i/>
          <w:color w:val="000000"/>
          <w:sz w:val="19"/>
        </w:rPr>
        <w:t>The terms of the RTW Purchase Agreement place restrictions on our operating and financial flexibility, and if we fail to comply with certain covenants in the RTW Purchase Agreement, our results of operations and financial condition may be harmed.</w:t>
      </w:r>
    </w:p>
    <w:p>
      <w:pPr>
        <w:pStyle w:val="TextBody"/>
        <w:bidi w:val="0"/>
        <w:spacing w:before="120" w:after="283"/>
        <w:jc w:val="left"/>
        <w:rPr>
          <w:rFonts w:ascii="Arial" w:hAnsi="Arial"/>
          <w:color w:val="000000"/>
          <w:sz w:val="19"/>
        </w:rPr>
      </w:pPr>
      <w:r>
        <w:rPr>
          <w:rFonts w:ascii="Arial" w:hAnsi="Arial"/>
          <w:color w:val="000000"/>
          <w:sz w:val="19"/>
        </w:rPr>
        <w:t>The RTW Purchase Agreement contains covenants that impose on us certain obligations with respect to payment, diligence, reporting, intellectual property, license agreements, and certain other actions, as well as indemnification obligations. The RTW Purchase Agreement also contains covenants that limit or restrict our ability to, among other things, incur indebtedness, refinance our existing indebtedness, grant liens, enter into out-licenses, in each case subject to certain exceptions set forth in the RTW Purchase Agreement. Compliance with these covenants may limit our flexibility in operating our business and our ability to take actions that might otherwise be advantageous to us and our stockholders. Pursuant to the RTW Purchase Agreement, at the closing of the RTW Purchase Agreement, we will grant to the Purchaser a lien in certain of our intellectual property assets and other related assets to secure our obligations under the Purchase Agreement. If we are unable to comply with our obligations, the Purchaser could seek to enforce its security interest in such assets.</w:t>
      </w:r>
    </w:p>
    <w:p>
      <w:pPr>
        <w:pStyle w:val="TextBody"/>
        <w:bidi w:val="0"/>
        <w:spacing w:before="120" w:after="283"/>
        <w:jc w:val="left"/>
        <w:rPr>
          <w:rFonts w:ascii="Arial" w:hAnsi="Arial"/>
          <w:color w:val="000000"/>
          <w:sz w:val="19"/>
        </w:rPr>
      </w:pPr>
      <w:r>
        <w:rPr>
          <w:rFonts w:ascii="Arial" w:hAnsi="Arial"/>
          <w:color w:val="000000"/>
          <w:sz w:val="19"/>
        </w:rPr>
        <w:t>Further, the Purchase Agreement and our payment obligations to the Purchaser could have important negative consequences to our stockholders. For example, a portion of our cash flow from operations will be needed to make required payments to the Purchaser and will not be available to fund future operations. Payment requirements under the Purchase Agreement will increase our cash outflows.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 would result in dilution to our stockholders. There is no assurance that if we are required to secure funding we can do so on terms acceptable to us, or at all. Failure to pay amounts owed to the Purchaser when due would result in a default under the Purchase Agreement and could result in acceleration of obligations, foreclosure on assets, or other remedies that could materially harm our business operations and financial condition. These restrictions and obligations could limit our ability to operate our business effectively and respond to changing market conditions, which may adversely affect our business, financial condition, and results of operations.</w:t>
      </w:r>
    </w:p>
    <w:p>
      <w:pPr>
        <w:pStyle w:val="TextBody"/>
        <w:bidi w:val="0"/>
        <w:spacing w:before="120" w:after="283"/>
        <w:jc w:val="left"/>
        <w:rPr>
          <w:rFonts w:ascii="Arial" w:hAnsi="Arial"/>
          <w:color w:val="000000"/>
          <w:sz w:val="19"/>
        </w:rPr>
      </w:pPr>
      <w:r>
        <w:rPr>
          <w:rFonts w:ascii="Arial" w:hAnsi="Arial"/>
          <w:color w:val="000000"/>
          <w:sz w:val="19"/>
        </w:rPr>
        <w:t>Furthermore, the Purchase Agreement is subject to customary closing conditions. If we are unable to satisfy the closing conditions set forth in the Purchase Agreement, our business, financial condition and results of operations may be adversely impacted.</w:t>
      </w:r>
    </w:p>
    <w:p>
      <w:pPr>
        <w:pStyle w:val="TextBody"/>
        <w:bidi w:val="0"/>
        <w:spacing w:before="120" w:after="283"/>
        <w:jc w:val="left"/>
        <w:rPr>
          <w:rFonts w:ascii="Times New Roman" w:hAnsi="Times New Roman"/>
          <w:sz w:val="20"/>
        </w:rPr>
      </w:pPr>
      <w:r>
        <w:rPr>
          <w:rFonts w:ascii="Arial" w:hAnsi="Arial"/>
          <w:b/>
          <w:i/>
          <w:color w:val="000000"/>
          <w:sz w:val="19"/>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We currently have a $50 million loan outstanding pursuant to a $130 million term loan facility with Trinity, which was entered into in October 2025. In addition, if any of our customers, suppliers or other parties with whom we conduct business are unable to access funds pursuant to such instruments or lending arrangements with certain financial institutions, such parties’ ability to pay their obligations to us or to enter into new commercial arrangements requiring additional payments to us could be adversely affected.</w:t>
      </w:r>
    </w:p>
    <w:p>
      <w:pPr>
        <w:pStyle w:val="TextBody"/>
        <w:bidi w:val="0"/>
        <w:spacing w:before="120" w:after="283"/>
        <w:jc w:val="left"/>
        <w:rPr>
          <w:rFonts w:ascii="Times New Roman" w:hAnsi="Times New Roman"/>
          <w:sz w:val="20"/>
        </w:rPr>
      </w:pPr>
      <w:r>
        <w:rPr>
          <w:rFonts w:ascii="Arial" w:hAnsi="Arial"/>
          <w:color w:val="000000"/>
          <w:sz w:val="19"/>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Although we assess our banking and customer relationships as we believe necessary or appropriate, our access to funding sources and other credit arrangements in amounts adequate to finance or capitalize our current and projected future business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Arial" w:hAnsi="Arial"/>
          <w:color w:val="000000"/>
          <w:sz w:val="19"/>
        </w:rPr>
        <w:t>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Delayed access to deposits or other financial assets or the uninsured loss of deposits or other financial assets;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Delayed or lost access to, or reductions in borrowings available under revolving existing credit facilities or other working capital sources and/or delays, inability or reductions in our ability to refund, roll over or extend the maturity of, or enter into new credit facilities or other working capital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Potential or actual breach of contractual obligations that require us to maintain letters of credit or other credit support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Potential or actual breach of financial covenants in our credit agreements or credit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Potential or actual cross-defaults in other credit agreements, credit arrangements or operating or financing agreements;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Termination of cash management arrangements and/or delays in accessing or actual loss of funds subject to cash management arrangements.</w:t>
      </w:r>
    </w:p>
    <w:p>
      <w:pPr>
        <w:pStyle w:val="TextBody"/>
        <w:bidi w:val="0"/>
        <w:spacing w:before="120" w:after="283"/>
        <w:jc w:val="left"/>
        <w:rPr>
          <w:rFonts w:ascii="Times New Roman" w:hAnsi="Times New Roman"/>
          <w:sz w:val="20"/>
        </w:rPr>
      </w:pPr>
      <w:r>
        <w:rPr>
          <w:rFonts w:ascii="Arial" w:hAnsi="Arial"/>
          <w:color w:val="000000"/>
          <w:sz w:val="19"/>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a material adverse impact on our business.</w:t>
      </w:r>
    </w:p>
    <w:p>
      <w:pPr>
        <w:pStyle w:val="TextBody"/>
        <w:bidi w:val="0"/>
        <w:spacing w:before="160" w:after="283"/>
        <w:jc w:val="left"/>
        <w:rPr>
          <w:rFonts w:ascii="Arial" w:hAnsi="Arial"/>
          <w:b/>
          <w:color w:val="000000"/>
          <w:sz w:val="19"/>
        </w:rPr>
      </w:pPr>
      <w:r>
        <w:rPr>
          <w:rFonts w:ascii="Arial" w:hAnsi="Arial"/>
          <w:b/>
          <w:color w:val="000000"/>
          <w:sz w:val="19"/>
        </w:rPr>
        <w:t>Risks Related to Product Development</w:t>
      </w:r>
    </w:p>
    <w:p>
      <w:pPr>
        <w:pStyle w:val="TextBody"/>
        <w:bidi w:val="0"/>
        <w:spacing w:before="120" w:after="283"/>
        <w:jc w:val="left"/>
        <w:rPr>
          <w:rFonts w:ascii="Arial" w:hAnsi="Arial"/>
          <w:b/>
          <w:i/>
          <w:color w:val="000000"/>
          <w:sz w:val="19"/>
        </w:rPr>
      </w:pPr>
      <w:r>
        <w:rPr>
          <w:rFonts w:ascii="Arial" w:hAnsi="Arial"/>
          <w:b/>
          <w:i/>
          <w:color w:val="000000"/>
          <w:sz w:val="19"/>
        </w:rPr>
        <w:t>Our business is dependent on the success of our most advanced product candidate, aglatimagene, as well as linoserpaturev and any other product candidates that we advance into the clinic. All of our product candidates will require additional development before we may be able to seek regulatory approval for and launch a product commercially.</w:t>
      </w:r>
    </w:p>
    <w:p>
      <w:pPr>
        <w:pStyle w:val="TextBody"/>
        <w:bidi w:val="0"/>
        <w:spacing w:before="120" w:after="283"/>
        <w:jc w:val="left"/>
        <w:rPr>
          <w:rFonts w:ascii="Times New Roman" w:hAnsi="Times New Roman"/>
          <w:sz w:val="20"/>
        </w:rPr>
      </w:pPr>
      <w:r>
        <w:rPr>
          <w:rFonts w:ascii="Arial" w:hAnsi="Arial"/>
          <w:color w:val="000000"/>
          <w:sz w:val="19"/>
        </w:rPr>
        <w:t>We currently have no products that are approved for commercial sale and may never be able to develop marketable products. We expect that a substantial portion of our efforts and expenditures over the next several years will be devoted to our aglatimagene program, which is currently our most advanced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If aglatimagene, linoserpaturev or any other product candidate we develop encounters safety or efficacy issues, development delays, regulatory issues or other problems, our development plans and business would be significantly harmed. We can provide no assurance that aglatimagene, linoserpaturev or any other product candidates we develop will receive regulatory approval or be successfully commercialized, even if we receive regulatory approval. If we were required to discontinue development of aglatimagene, linoserpaturev or any future product candidate, or if aglatimagene, linoserpaturev, or any future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product candidate do not receive regulatory approval or fail to achieve significant market acceptance, we would be delayed by many years in our ability to achieve profitability, if ever.</w:t>
      </w:r>
    </w:p>
    <w:p>
      <w:pPr>
        <w:pStyle w:val="TextBody"/>
        <w:bidi w:val="0"/>
        <w:spacing w:before="120" w:after="283"/>
        <w:jc w:val="left"/>
        <w:rPr>
          <w:rFonts w:ascii="Arial" w:hAnsi="Arial"/>
          <w:color w:val="000000"/>
          <w:sz w:val="19"/>
        </w:rPr>
      </w:pPr>
      <w:r>
        <w:rPr>
          <w:rFonts w:ascii="Arial" w:hAnsi="Arial"/>
          <w:color w:val="000000"/>
          <w:sz w:val="19"/>
        </w:rPr>
        <w:t>Furthermore, even if we obtain regulatory approval for aglatimagene, linoserpaturev or any other product candidates we develop, we will still need to develop a commercial infrastructure, expand our manufacturing capabilities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aglatimagene, linoserpaturev or any other product candidates we develop, we may not be able to generate sufficient revenue to continue our business.</w:t>
      </w:r>
    </w:p>
    <w:p>
      <w:pPr>
        <w:pStyle w:val="TextBody"/>
        <w:bidi w:val="0"/>
        <w:spacing w:before="120" w:after="283"/>
        <w:jc w:val="left"/>
        <w:rPr>
          <w:rFonts w:ascii="Arial" w:hAnsi="Arial"/>
          <w:b/>
          <w:i/>
          <w:color w:val="000000"/>
          <w:sz w:val="19"/>
        </w:rPr>
      </w:pPr>
      <w:r>
        <w:rPr>
          <w:rFonts w:ascii="Arial" w:hAnsi="Arial"/>
          <w:b/>
          <w:i/>
          <w:color w:val="000000"/>
          <w:sz w:val="19"/>
        </w:rPr>
        <w:t>Our preclinical studies and clinical trials may fail to demonstrate adequately the safety and efficacy of any of our product candidates, which would prevent or delay development, regulatory approval, and commercialization.</w:t>
      </w:r>
    </w:p>
    <w:p>
      <w:pPr>
        <w:pStyle w:val="TextBody"/>
        <w:bidi w:val="0"/>
        <w:spacing w:before="120" w:after="283"/>
        <w:jc w:val="left"/>
        <w:rPr>
          <w:rFonts w:ascii="Arial" w:hAnsi="Arial"/>
          <w:color w:val="000000"/>
          <w:sz w:val="19"/>
        </w:rPr>
      </w:pPr>
      <w:r>
        <w:rPr>
          <w:rFonts w:ascii="Arial" w:hAnsi="Arial"/>
          <w:color w:val="000000"/>
          <w:sz w:val="19"/>
        </w:rPr>
        <w:t>Before obtaining regulatory approvals for the commercial sale of our product candidates, including aglatimagene, linoserpaturev or any other product candidates we develop, we must demonstrate the safety and efficacy of our product candidates for use in each target indication through lengthy, complex, and expensive preclinical studies and clinical trials. Failure can occur at any time during the preclinical study and clinical trial processes and there is a high risk of failure, so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or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are currently in early stages of clinical development for linoserpaturev,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pStyle w:val="TextBody"/>
        <w:bidi w:val="0"/>
        <w:spacing w:before="120" w:after="283"/>
        <w:jc w:val="left"/>
        <w:rPr>
          <w:rFonts w:ascii="Arial" w:hAnsi="Arial"/>
          <w:color w:val="000000"/>
          <w:sz w:val="19"/>
        </w:rPr>
      </w:pPr>
      <w:r>
        <w:rPr>
          <w:rFonts w:ascii="Arial" w:hAnsi="Arial"/>
          <w:color w:val="000000"/>
          <w:sz w:val="19"/>
        </w:rPr>
        <w:t>Our product candidates have caused side effects in clinical trials related to on-target toxicity such as fever, chills and muscle aches and other flu-like symptoms. The most common side effects observed in our clinical trials to date have been transient, injection site-related reactions, and flu-like symptoms. The specific symptoms are largely dependent on the tumor site (site of injection). Patients who have participated in our trials have experienced grade 3 and grade 4 treatment-related side effects, including blood abnormalities. Those include pyrexia, genitourinary toxicity, increased aspartate transaminase / alanine transaminase (AST/ALT), increased bilirubin, hemiparesis or worsening of speech impairment (in studies of recurrent HGG), insomnia, headache, wound complications, empyema, motor-neuropathy symptoms/signs, transient lymphopenia, dehydration with renal insufficiency, urinary retention, worsening abdominal pain and increased lipase. Different nomenclature for the same side effect can be used in different trials (i.e. lymphopenia or low lymphocyte count). If on-target toxicity is observed at unacceptable levels,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early-stage testing for treating cancer have later been found to cause side effects that prevented further development of the compound. In addition to our ongoing clinical trials of aglatimagene and linoserpaturev, patients have been, and may continue to be, treated with aglatimagene and/or linoserpaturev under an expanded access or “compassionate use” program. To the extent the experiences of patients being treated in this program are inconsistent with or less favorable than the results of our ongoing or planned company-sponsored trials with aglatimagene and/or linoserpaturev, it may negatively affect perceptions of aglatimagene and/or linoserpaturev, our other product candidates, or our business. In addition, the FDA or comparable foreign regulatory authorities may require us to obtain and submit additional clinical data due to these inconsistent or unfavorable results, which could delay clinical development or marketing approval of aglatimagene and/or linoserpaturev or potentially our other product candidates.</w:t>
      </w:r>
    </w:p>
    <w:p>
      <w:pPr>
        <w:pStyle w:val="TextBody"/>
        <w:bidi w:val="0"/>
        <w:spacing w:before="120" w:after="283"/>
        <w:jc w:val="left"/>
        <w:rPr>
          <w:rFonts w:ascii="Arial" w:hAnsi="Arial"/>
          <w:b/>
          <w:i/>
          <w:color w:val="000000"/>
          <w:sz w:val="19"/>
        </w:rPr>
      </w:pPr>
      <w:r>
        <w:rPr>
          <w:rFonts w:ascii="Arial" w:hAnsi="Arial"/>
          <w:b/>
          <w:i/>
          <w:color w:val="000000"/>
          <w:sz w:val="19"/>
        </w:rPr>
        <w:t>Interim, topline and preliminary data from our clinical trials that we announce or publish from time to time may change as more patient data become available and are subject to regulatory audit and verification procedures that could result in material changes in the final data.</w:t>
      </w:r>
    </w:p>
    <w:p>
      <w:pPr>
        <w:pStyle w:val="TextBody"/>
        <w:bidi w:val="0"/>
        <w:spacing w:before="120" w:after="283"/>
        <w:jc w:val="left"/>
        <w:rPr>
          <w:rFonts w:ascii="Times New Roman" w:hAnsi="Times New Roman"/>
          <w:sz w:val="20"/>
        </w:rPr>
      </w:pPr>
      <w:r>
        <w:rPr>
          <w:rFonts w:ascii="Arial" w:hAnsi="Arial"/>
          <w:color w:val="000000"/>
          <w:sz w:val="19"/>
        </w:rPr>
        <w:t>From time to time, we may publish interim, topline or preliminary data from our clinical trials. We may decide to conduct an interim analysis of the data after a certain number or percentage of patients have been enrolled, or after only a part of the full follow-up period but before completion of the trial. Similarly, we may report topline or preliminary results of primary and key secondary endpoints before the final trial results are completed. Preliminary, topline and interim data from our clinical trials may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change as more patient data or analyses become available. Preliminary, topline or interim data from our clinical trials are not necessarily predictive of final results and are subject to the risk that one or more of the clinical outcomes may materially change as patient enrollment continues, more patient data become available and we issue our final clinical trial report. These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Material adverse changes in the final data compared to the interim data could significantly harm our business prospects.</w:t>
      </w:r>
    </w:p>
    <w:p>
      <w:pPr>
        <w:pStyle w:val="TextBody"/>
        <w:bidi w:val="0"/>
        <w:spacing w:before="120" w:after="283"/>
        <w:jc w:val="left"/>
        <w:rPr>
          <w:rFonts w:ascii="Arial" w:hAnsi="Arial"/>
          <w:color w:val="000000"/>
          <w:sz w:val="19"/>
        </w:rPr>
      </w:pPr>
      <w:r>
        <w:rPr>
          <w:rFonts w:ascii="Arial" w:hAnsi="Arial"/>
          <w:color w:val="000000"/>
          <w:sz w:val="19"/>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before="120" w:after="283"/>
        <w:jc w:val="left"/>
        <w:rPr>
          <w:rFonts w:ascii="Arial" w:hAnsi="Arial"/>
          <w:color w:val="000000"/>
          <w:sz w:val="19"/>
        </w:rPr>
      </w:pPr>
      <w:r>
        <w:rPr>
          <w:rFonts w:ascii="Arial" w:hAnsi="Arial"/>
          <w:color w:val="000000"/>
          <w:sz w:val="19"/>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pStyle w:val="TextBody"/>
        <w:bidi w:val="0"/>
        <w:spacing w:before="120" w:after="283"/>
        <w:jc w:val="left"/>
        <w:rPr>
          <w:rFonts w:ascii="Arial" w:hAnsi="Arial"/>
          <w:b/>
          <w:i/>
          <w:color w:val="000000"/>
          <w:sz w:val="19"/>
        </w:rPr>
      </w:pPr>
      <w:r>
        <w:rPr>
          <w:rFonts w:ascii="Arial" w:hAnsi="Arial"/>
          <w:b/>
          <w:i/>
          <w:color w:val="000000"/>
          <w:sz w:val="19"/>
        </w:rPr>
        <w:t>We may not be successful in our efforts to identify additional product candidates or indications. Due to our limited resources and access to capital, we must prioritize development of certain product candidates and indications; these decisions may prove to be wrong and may adversely affect our business.</w:t>
      </w:r>
    </w:p>
    <w:p>
      <w:pPr>
        <w:pStyle w:val="TextBody"/>
        <w:bidi w:val="0"/>
        <w:spacing w:before="120" w:after="283"/>
        <w:jc w:val="left"/>
        <w:rPr>
          <w:rFonts w:ascii="Times New Roman" w:hAnsi="Times New Roman"/>
          <w:sz w:val="20"/>
        </w:rPr>
      </w:pPr>
      <w:r>
        <w:rPr>
          <w:rFonts w:ascii="Arial" w:hAnsi="Arial"/>
          <w:color w:val="000000"/>
          <w:sz w:val="19"/>
        </w:rPr>
        <w:t>Although we intend to explore other therapeutic opportunities, in addition to the product candidates and indications that we are currently developing, we may fail to identify successful product candidates or additional indications for clinical development for a number of reasons. If we fail to identify additional potential product candidates or indications for development, our business could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Research programs to pursue the development of our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 xml:space="preserve">the research methodology used may not be successful in identifying potential indications and/or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 xml:space="preserve">potential product candidates may, after further study, be shown to have harmful adverse effects or other characteristics that indicate they are unlikely to be effective drugs;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 xml:space="preserve">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product portfolio. </w:t>
      </w:r>
    </w:p>
    <w:p>
      <w:pPr>
        <w:pStyle w:val="TextBody"/>
        <w:bidi w:val="0"/>
        <w:spacing w:before="120" w:after="283"/>
        <w:jc w:val="left"/>
        <w:rPr>
          <w:rFonts w:ascii="Times New Roman" w:hAnsi="Times New Roman"/>
          <w:sz w:val="20"/>
        </w:rPr>
      </w:pPr>
      <w:r>
        <w:rPr>
          <w:rFonts w:ascii="Arial" w:hAnsi="Arial"/>
          <w:color w:val="000000"/>
          <w:sz w:val="19"/>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at the Annual Meeting of SITC in Boston in November 2022, due to promising clinical activity of linoserpaturev in recurrent HGG, we made a portfolio and resource decision to prioritize linoserpaturev in recurrent HGG and not to pursue a phase 3 clinical trial of aglatimagene in HGG.</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pStyle w:val="TextBody"/>
        <w:bidi w:val="0"/>
        <w:spacing w:before="120" w:after="283"/>
        <w:jc w:val="left"/>
        <w:rPr>
          <w:rFonts w:ascii="Arial" w:hAnsi="Arial"/>
          <w:b/>
          <w:i/>
          <w:color w:val="000000"/>
          <w:sz w:val="19"/>
        </w:rPr>
      </w:pPr>
      <w:r>
        <w:rPr>
          <w:rFonts w:ascii="Arial" w:hAnsi="Arial"/>
          <w:b/>
          <w:i/>
          <w:color w:val="000000"/>
          <w:sz w:val="19"/>
        </w:rPr>
        <w:t>Results of earlier studies and trials of our product candidates may not be predictive of future trial results.</w:t>
      </w:r>
    </w:p>
    <w:p>
      <w:pPr>
        <w:pStyle w:val="TextBody"/>
        <w:bidi w:val="0"/>
        <w:spacing w:before="120" w:after="283"/>
        <w:jc w:val="left"/>
        <w:rPr>
          <w:rFonts w:ascii="Times New Roman" w:hAnsi="Times New Roman"/>
          <w:sz w:val="20"/>
        </w:rPr>
      </w:pPr>
      <w:r>
        <w:rPr>
          <w:rFonts w:ascii="Arial" w:hAnsi="Arial"/>
          <w:color w:val="000000"/>
          <w:sz w:val="19"/>
        </w:rPr>
        <w:t>Success in preclinical studies and early clinical trials does not ensure that later clinical trials will be successful. Product candidates in later stages of clinical trials may fail to show the desired safety and efficacy traits despite having progressed through preclinical studies and initial clinical trials. As we commence new clinical trials and continue our ongoing clinical trials, issues may arise that could suspend or terminate such clinical trials.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In addition, the results of our preclinical animal studies, including our oncology mouse studies and other animal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studies, may not be predictive of the results of outcomes in human clinical trials. For example, our oncology product candidates that are in preclinical development may demonstrate different chemical and biological properties in patients than they do in laboratory animal studies or may interact with human biological systems in unforeseen or harmful ways.</w:t>
      </w:r>
    </w:p>
    <w:p>
      <w:pPr>
        <w:pStyle w:val="TextBody"/>
        <w:bidi w:val="0"/>
        <w:spacing w:before="120" w:after="283"/>
        <w:jc w:val="left"/>
        <w:rPr>
          <w:rFonts w:ascii="Arial" w:hAnsi="Arial"/>
          <w:color w:val="000000"/>
          <w:sz w:val="19"/>
        </w:rPr>
      </w:pPr>
      <w:r>
        <w:rPr>
          <w:rFonts w:ascii="Arial" w:hAnsi="Arial"/>
          <w:color w:val="000000"/>
          <w:sz w:val="19"/>
        </w:rPr>
        <w:t>Additionally, some of our past, ongoing and planned clinical trials utilize an “open-label” study design including our NSCLC trial in combination with ICI.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trials when studied in a controlled environment with a placebo or active control.</w:t>
      </w:r>
    </w:p>
    <w:p>
      <w:pPr>
        <w:pStyle w:val="TextBody"/>
        <w:bidi w:val="0"/>
        <w:spacing w:before="120" w:after="283"/>
        <w:jc w:val="left"/>
        <w:rPr>
          <w:rFonts w:ascii="Arial" w:hAnsi="Arial"/>
          <w:b/>
          <w:i/>
          <w:color w:val="000000"/>
          <w:sz w:val="19"/>
        </w:rPr>
      </w:pPr>
      <w:r>
        <w:rPr>
          <w:rFonts w:ascii="Arial" w:hAnsi="Arial"/>
          <w:b/>
          <w:i/>
          <w:color w:val="000000"/>
          <w:sz w:val="19"/>
        </w:rPr>
        <w:t>Our product candidates are based on a novel approach to the treatment of cancer, which makes it difficult to predict the time and cost of product candidate development and subsequently obtaining regulatory approval, if at all.</w:t>
      </w:r>
    </w:p>
    <w:p>
      <w:pPr>
        <w:pStyle w:val="TextBody"/>
        <w:bidi w:val="0"/>
        <w:spacing w:before="120" w:after="283"/>
        <w:jc w:val="left"/>
        <w:rPr>
          <w:rFonts w:ascii="Arial" w:hAnsi="Arial"/>
          <w:color w:val="000000"/>
          <w:sz w:val="19"/>
        </w:rPr>
      </w:pPr>
      <w:r>
        <w:rPr>
          <w:rFonts w:ascii="Arial" w:hAnsi="Arial"/>
          <w:color w:val="000000"/>
          <w:sz w:val="19"/>
        </w:rPr>
        <w:t>We have concentrated our research and development efforts on our aglatimagene and linoserpaturev product candidates, and our future success largely depends on the successful development of these therapeutic approaches.</w:t>
      </w:r>
    </w:p>
    <w:p>
      <w:pPr>
        <w:pStyle w:val="TextBody"/>
        <w:bidi w:val="0"/>
        <w:spacing w:before="120" w:after="283"/>
        <w:jc w:val="left"/>
        <w:rPr>
          <w:rFonts w:ascii="Arial" w:hAnsi="Arial"/>
          <w:color w:val="000000"/>
          <w:sz w:val="19"/>
        </w:rPr>
      </w:pPr>
      <w:r>
        <w:rPr>
          <w:rFonts w:ascii="Arial" w:hAnsi="Arial"/>
          <w:color w:val="000000"/>
          <w:sz w:val="19"/>
        </w:rPr>
        <w:t>We expect the novel nature of our product candidates to create further challenges in obtaining regulatory approval. Few viral immunotherapies have been approved globally or by the FDA to date. While talimogene laherparepvec (Imlygic, Amgen) and nadofaragene firadenovec-vncg (Adstiladrin, Ferring Pharmaceuticals) have received FDA approval, regulatory agencies have reviewed relatively few viral immunotherapy product candidates such as aglatimagene and linoserpaturev.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pStyle w:val="TextBody"/>
        <w:bidi w:val="0"/>
        <w:spacing w:before="120" w:after="283"/>
        <w:jc w:val="left"/>
        <w:rPr>
          <w:rFonts w:ascii="Arial" w:hAnsi="Arial"/>
          <w:color w:val="000000"/>
          <w:sz w:val="19"/>
        </w:rPr>
      </w:pPr>
      <w:r>
        <w:rPr>
          <w:rFonts w:ascii="Arial" w:hAnsi="Arial"/>
          <w:color w:val="000000"/>
          <w:sz w:val="19"/>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pStyle w:val="TextBody"/>
        <w:bidi w:val="0"/>
        <w:spacing w:before="120" w:after="283"/>
        <w:jc w:val="left"/>
        <w:rPr>
          <w:rFonts w:ascii="Arial" w:hAnsi="Arial"/>
          <w:color w:val="000000"/>
          <w:sz w:val="19"/>
        </w:rPr>
      </w:pPr>
      <w:r>
        <w:rPr>
          <w:rFonts w:ascii="Arial" w:hAnsi="Arial"/>
          <w:color w:val="000000"/>
          <w:sz w:val="19"/>
        </w:rPr>
        <w:t>In addition, our product candidates are live, gene-modified viruses for which the FDA, the European Medicines Agency (EMA)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pStyle w:val="TextBody"/>
        <w:bidi w:val="0"/>
        <w:spacing w:before="120" w:after="283"/>
        <w:jc w:val="left"/>
        <w:rPr>
          <w:rFonts w:ascii="Arial" w:hAnsi="Arial"/>
          <w:color w:val="000000"/>
          <w:sz w:val="19"/>
        </w:rPr>
      </w:pPr>
      <w:r>
        <w:rPr>
          <w:rFonts w:ascii="Arial" w:hAnsi="Arial"/>
          <w:color w:val="000000"/>
          <w:sz w:val="19"/>
        </w:rPr>
        <w:t>Furthermore, there has been limited historical clinical trial experience for the development of products that utilize the adenovirus. Moreover, the design and conduct of our clinical trials differs from the design and conduct of previously conducted clinical trials in this area. In particular, regulatory authorities in the United States and in other jurisdictions, including Europe, have not issued definitive guidance as to how to measure and demonstrate efficacy in newly diagnosed localized prostate cancer in intermediate- to high-risk patients in combination with the standard of care (SoC). As a result, there is substantial risk that the design or outcomes of our clinical trials will not be satisfactory to support marketing approval. For example, the endpoint in our phase 3 clinical trial which investigated aglatimagene in prostate cancer was a disease-free survival (DFS) endpoint. While this endpoint has not been utilized in prior trials, it was discussed and agreed by the FDA during the process resulting in the Special Protocol Assessment (SPA). The FDA may change its views on the clinical relevance of this endpoint because of evolving standards of care and contemporary disease management guidelines, or other emerging clinical or scientific information. However, even if this endpoint is accepted as a basis for approval in the United States, we cannot be certain that regulators outside of the United States will accept the endpoint or will not require us to conduct additional validation studies to support the suitability of such endpoints for approval in these jurisdictions.</w:t>
      </w:r>
    </w:p>
    <w:p>
      <w:pPr>
        <w:pStyle w:val="TextBody"/>
        <w:bidi w:val="0"/>
        <w:spacing w:before="120" w:after="283"/>
        <w:jc w:val="left"/>
        <w:rPr>
          <w:rFonts w:ascii="Arial" w:hAnsi="Arial"/>
          <w:b/>
          <w:i/>
          <w:color w:val="000000"/>
          <w:sz w:val="19"/>
        </w:rPr>
      </w:pPr>
      <w:r>
        <w:rPr>
          <w:rFonts w:ascii="Arial" w:hAnsi="Arial"/>
          <w:b/>
          <w:i/>
          <w:color w:val="000000"/>
          <w:sz w:val="19"/>
        </w:rPr>
        <w:t>We are developing, and in the future may develop, other product candidates, in combination with other therapies, which exposes us to additional risks related to any prodrugs or any agents used in combination with our product candidates.</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Our aglatimagene product candidate is being developed to be used in combination with the prodrug valacyclovir, which is an oral small molecule drug marketed for treatment of herpes infections. In the future, we may develop other product candidates to be used with one or more currently approved other therapies. Even if any product candidate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pStyle w:val="TextBody"/>
        <w:bidi w:val="0"/>
        <w:spacing w:before="120" w:after="283"/>
        <w:jc w:val="left"/>
        <w:rPr>
          <w:rFonts w:ascii="Arial" w:hAnsi="Arial"/>
          <w:color w:val="000000"/>
          <w:sz w:val="19"/>
        </w:rPr>
      </w:pPr>
      <w:r>
        <w:rPr>
          <w:rFonts w:ascii="Arial" w:hAnsi="Arial"/>
          <w:color w:val="000000"/>
          <w:sz w:val="19"/>
        </w:rPr>
        <w:t>If the FDA or comparable foreign regulatory authorities revoke their approval of these other drugs or revoke their approval of, or if safety, efficacy, manufacturing or supply issues arise with, the drugs we choose to evaluate in combination with any product candidate we develop, we may be unable to obtain approval.</w:t>
      </w:r>
    </w:p>
    <w:p>
      <w:pPr>
        <w:pStyle w:val="TextBody"/>
        <w:bidi w:val="0"/>
        <w:spacing w:before="120" w:after="283"/>
        <w:jc w:val="left"/>
        <w:rPr>
          <w:rFonts w:ascii="Arial" w:hAnsi="Arial"/>
          <w:color w:val="000000"/>
          <w:sz w:val="19"/>
        </w:rPr>
      </w:pPr>
      <w:r>
        <w:rPr>
          <w:rFonts w:ascii="Arial" w:hAnsi="Arial"/>
          <w:color w:val="000000"/>
          <w:sz w:val="19"/>
        </w:rPr>
        <w:t>We may also evaluate our future product candidates in combination with one or more other cancer therapies that have not yet been approved for marketing by the FDA or comparable foreign regulatory authorities. We will not be able to market any product candidate we develop in combination with any such unapproved cancer therapies that do not ultimately obtain marketing approval. In addition, unapproved therapies face the same risks described with respect to our product candidates currently in development and clinical trials, including the potential for serious adverse effects, delays in their clinical trials and lack of FDA approval.</w:t>
      </w:r>
    </w:p>
    <w:p>
      <w:pPr>
        <w:pStyle w:val="TextBody"/>
        <w:bidi w:val="0"/>
        <w:spacing w:before="120" w:after="283"/>
        <w:jc w:val="left"/>
        <w:rPr>
          <w:rFonts w:ascii="Arial" w:hAnsi="Arial"/>
          <w:b/>
          <w:i/>
          <w:color w:val="000000"/>
          <w:sz w:val="19"/>
        </w:rPr>
      </w:pPr>
      <w:r>
        <w:rPr>
          <w:rFonts w:ascii="Arial" w:hAnsi="Arial"/>
          <w:b/>
          <w:i/>
          <w:color w:val="000000"/>
          <w:sz w:val="19"/>
        </w:rPr>
        <w:t>Negative developments in the field of immuno-oncology and, in particular, viral immunotherapy, could damage public perception of any of our product candidates and negatively affect our business.</w:t>
      </w:r>
    </w:p>
    <w:p>
      <w:pPr>
        <w:pStyle w:val="TextBody"/>
        <w:bidi w:val="0"/>
        <w:spacing w:before="120" w:after="283"/>
        <w:jc w:val="left"/>
        <w:rPr>
          <w:rFonts w:ascii="Arial" w:hAnsi="Arial"/>
          <w:color w:val="000000"/>
          <w:sz w:val="19"/>
        </w:rPr>
      </w:pPr>
      <w:r>
        <w:rPr>
          <w:rFonts w:ascii="Arial" w:hAnsi="Arial"/>
          <w:color w:val="000000"/>
          <w:sz w:val="19"/>
        </w:rPr>
        <w:t>The commercial success of adenovirus- or HSV-based product candidates will depend in part on public acceptance of the use of immuno-oncology, and, in particular, viral immunotherapy. Adverse events in clinical trials of aglatimagene, linoserpaturev or any other adenovirus- or HSV-based product candidates which we may develop,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any adenovirus- or HSV-based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pStyle w:val="TextBody"/>
        <w:bidi w:val="0"/>
        <w:spacing w:before="120" w:after="283"/>
        <w:jc w:val="left"/>
        <w:rPr>
          <w:rFonts w:ascii="Arial" w:hAnsi="Arial"/>
          <w:color w:val="000000"/>
          <w:sz w:val="19"/>
        </w:rPr>
      </w:pPr>
      <w:r>
        <w:rPr>
          <w:rFonts w:ascii="Arial" w:hAnsi="Arial"/>
          <w:color w:val="000000"/>
          <w:sz w:val="19"/>
        </w:rPr>
        <w:t>Our product candidates consist of modified viruses. Adverse developments in clinical trials of other immunotherapy products based on viruses, like oncolytic viruses, may result in a disproportionately negative effect for our technologies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pStyle w:val="TextBody"/>
        <w:bidi w:val="0"/>
        <w:spacing w:before="120" w:after="283"/>
        <w:jc w:val="left"/>
        <w:rPr>
          <w:rFonts w:ascii="Arial" w:hAnsi="Arial"/>
          <w:b/>
          <w:i/>
          <w:color w:val="000000"/>
          <w:sz w:val="19"/>
        </w:rPr>
      </w:pPr>
      <w:r>
        <w:rPr>
          <w:rFonts w:ascii="Arial" w:hAnsi="Arial"/>
          <w:b/>
          <w:i/>
          <w:color w:val="000000"/>
          <w:sz w:val="19"/>
        </w:rPr>
        <w:t>Difficulty in enrolling patients could delay or prevent clinical trials of our product candidates, and ultimately delay or prevent regulatory approval.</w:t>
      </w:r>
    </w:p>
    <w:p>
      <w:pPr>
        <w:pStyle w:val="TextBody"/>
        <w:bidi w:val="0"/>
        <w:spacing w:before="120" w:after="283"/>
        <w:jc w:val="left"/>
        <w:rPr>
          <w:rFonts w:ascii="Arial" w:hAnsi="Arial"/>
          <w:color w:val="000000"/>
          <w:sz w:val="19"/>
        </w:rPr>
      </w:pPr>
      <w:r>
        <w:rPr>
          <w:rFonts w:ascii="Arial" w:hAnsi="Arial"/>
          <w:color w:val="000000"/>
          <w:sz w:val="19"/>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brain cancer for the development of linoserpaturev, our ability to enroll eligible patients may be limited or enrollment may be slower than we anticipate due to the small eligible patient population. In addition, our ability to enroll patients may be delayed by any future public health crisis and we are unable to predict the full extent and scope of such delays.</w:t>
      </w:r>
    </w:p>
    <w:p>
      <w:pPr>
        <w:pStyle w:val="TextBody"/>
        <w:bidi w:val="0"/>
        <w:spacing w:before="120" w:after="283"/>
        <w:jc w:val="left"/>
        <w:rPr>
          <w:rFonts w:ascii="Times New Roman" w:hAnsi="Times New Roman"/>
          <w:sz w:val="20"/>
        </w:rPr>
      </w:pPr>
      <w:r>
        <w:rPr>
          <w:rFonts w:ascii="Arial" w:hAnsi="Arial"/>
          <w:color w:val="000000"/>
          <w:sz w:val="19"/>
        </w:rPr>
        <w:t>In addition to the potentially small target populations for our planned clinical trials, particularly in brain cancer, the eligibility criteria will further limit the pool of available trial participants as we will require that patients have specific characteristics, such as a certain severity or stage of disease progression, to include them in a trial. Additionally, the process of finding eligible patients may prove costly. We also may not be able to identify, recruit, and enroll a sufficient number of patients to complete our clinical trials because of the perceived risks and benefits of the product candidate under evaluation, the availability and efficacy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competing therapies and clinical trials, the proximity and availability of clinical trial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 The enrollment of patients further depends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proximity of patients to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design of the clinical trial, including the number of site visits and invasive assessments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recruit clinical trial investigators with the appropriate competencies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obtain and maintain patient consents;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reporting of the preliminary results of any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risk that patients enrolled in clinical trials will drop out of the clinical trials before clinical trial completion;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factors we may not be able to control, such as any future public health crisis, that may limit patient participation, hiring of principal investigators or staff or clinical site availability.</w:t>
      </w:r>
    </w:p>
    <w:p>
      <w:pPr>
        <w:pStyle w:val="TextBody"/>
        <w:bidi w:val="0"/>
        <w:spacing w:before="120" w:after="283"/>
        <w:jc w:val="left"/>
        <w:rPr>
          <w:rFonts w:ascii="Arial" w:hAnsi="Arial"/>
          <w:color w:val="000000"/>
          <w:sz w:val="19"/>
        </w:rPr>
      </w:pPr>
      <w:r>
        <w:rPr>
          <w:rFonts w:ascii="Arial" w:hAnsi="Arial"/>
          <w:color w:val="000000"/>
          <w:sz w:val="19"/>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pStyle w:val="TextBody"/>
        <w:bidi w:val="0"/>
        <w:spacing w:before="120" w:after="283"/>
        <w:jc w:val="left"/>
        <w:rPr>
          <w:rFonts w:ascii="Arial" w:hAnsi="Arial"/>
          <w:b/>
          <w:i/>
          <w:color w:val="000000"/>
          <w:sz w:val="19"/>
        </w:rPr>
      </w:pPr>
      <w:r>
        <w:rPr>
          <w:rFonts w:ascii="Arial" w:hAnsi="Arial"/>
          <w:b/>
          <w:i/>
          <w:color w:val="000000"/>
          <w:sz w:val="19"/>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pStyle w:val="TextBody"/>
        <w:bidi w:val="0"/>
        <w:spacing w:before="120" w:after="283"/>
        <w:jc w:val="left"/>
        <w:rPr>
          <w:rFonts w:ascii="Arial" w:hAnsi="Arial"/>
          <w:color w:val="000000"/>
          <w:sz w:val="19"/>
        </w:rPr>
      </w:pPr>
      <w:r>
        <w:rPr>
          <w:rFonts w:ascii="Arial" w:hAnsi="Arial"/>
          <w:color w:val="000000"/>
          <w:sz w:val="19"/>
        </w:rPr>
        <w:t>Even if we receive marketing approval for our current or future product candidates, our current or future product candidates may not achieve broad market acceptance, which would limit the revenue that we generate from their sales.</w:t>
      </w:r>
    </w:p>
    <w:p>
      <w:pPr>
        <w:pStyle w:val="TextBody"/>
        <w:bidi w:val="0"/>
        <w:spacing w:before="120" w:after="283"/>
        <w:jc w:val="left"/>
        <w:rPr>
          <w:rFonts w:ascii="Arial" w:hAnsi="Arial"/>
          <w:color w:val="000000"/>
          <w:sz w:val="19"/>
        </w:rPr>
      </w:pPr>
      <w:r>
        <w:rPr>
          <w:rFonts w:ascii="Arial" w:hAnsi="Arial"/>
          <w:color w:val="000000"/>
          <w:sz w:val="19"/>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to other available medicines;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limitations or warnings contained in the labeling approved for our current or future product candidates by the FDA or other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prevalence and severity of adverse events associated with our product candidates or those products with which they may be co-administered in immuno-oncology and, in particular, viral immunotherapies;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clinical indications for which our current or future product candidates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availability of alternative treatments already approved or expected to be commercially launched in the near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potential and perceived advantages of our current or future product candidates over current treatment options or alternative treatments, including future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willingness of the target patient populations to try new therapies or treatment methods and of physicians to prescribe these therapies or methods in immuno-oncology and, in particular, viral immunotherapies;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need to dose such product candidates in combination with other therapeutic agents, and related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strength of marketing and distribution support and timing of market introduction of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publicity concerning our products or competing products and treatments;</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pricing and cost effectiveness;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effectiveness of our sales and marketing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increase awareness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obtain sufficient third-party coverage or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ability or willingness of patients to pay out-of-pocket in the absence of third-party coverage;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potential product liability claims.</w:t>
      </w:r>
    </w:p>
    <w:p>
      <w:pPr>
        <w:pStyle w:val="TextBody"/>
        <w:bidi w:val="0"/>
        <w:spacing w:before="120" w:after="283"/>
        <w:jc w:val="left"/>
        <w:rPr>
          <w:rFonts w:ascii="Arial" w:hAnsi="Arial"/>
          <w:color w:val="000000"/>
          <w:sz w:val="19"/>
        </w:rPr>
      </w:pPr>
      <w:r>
        <w:rPr>
          <w:rFonts w:ascii="Arial" w:hAnsi="Arial"/>
          <w:color w:val="000000"/>
          <w:sz w:val="19"/>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pStyle w:val="TextBody"/>
        <w:bidi w:val="0"/>
        <w:spacing w:before="120" w:after="283"/>
        <w:jc w:val="left"/>
        <w:rPr>
          <w:rFonts w:ascii="Arial" w:hAnsi="Arial"/>
          <w:b/>
          <w:i/>
          <w:color w:val="000000"/>
          <w:sz w:val="19"/>
        </w:rPr>
      </w:pPr>
      <w:r>
        <w:rPr>
          <w:rFonts w:ascii="Arial" w:hAnsi="Arial"/>
          <w:b/>
          <w:i/>
          <w:color w:val="000000"/>
          <w:sz w:val="19"/>
        </w:rPr>
        <w:t>We face substantial competition, which may result in others discovering, developing or commercializing product candidates before or more successfully than we do.</w:t>
      </w:r>
    </w:p>
    <w:p>
      <w:pPr>
        <w:pStyle w:val="TextBody"/>
        <w:bidi w:val="0"/>
        <w:spacing w:before="120" w:after="283"/>
        <w:jc w:val="left"/>
        <w:rPr>
          <w:rFonts w:ascii="Arial" w:hAnsi="Arial"/>
          <w:color w:val="000000"/>
          <w:sz w:val="19"/>
        </w:rPr>
      </w:pPr>
      <w:r>
        <w:rPr>
          <w:rFonts w:ascii="Arial" w:hAnsi="Arial"/>
          <w:color w:val="000000"/>
          <w:sz w:val="19"/>
        </w:rPr>
        <w:t>The development and commercialization of new product candidates is highly competitive. We face competition from major pharmaceutical, specialty pharmaceutical and biotechnology companies among others with respect to aglatimagene and linoserpaturev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Novartis, Pfizer, Regeneron and Roche/Genentech.</w:t>
      </w:r>
    </w:p>
    <w:p>
      <w:pPr>
        <w:pStyle w:val="TextBody"/>
        <w:bidi w:val="0"/>
        <w:spacing w:before="120" w:after="283"/>
        <w:jc w:val="left"/>
        <w:rPr>
          <w:rFonts w:ascii="Arial" w:hAnsi="Arial"/>
          <w:color w:val="000000"/>
          <w:sz w:val="19"/>
        </w:rPr>
      </w:pPr>
      <w:r>
        <w:rPr>
          <w:rFonts w:ascii="Arial" w:hAnsi="Arial"/>
          <w:color w:val="000000"/>
          <w:sz w:val="19"/>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CG Oncology, J&amp;J, Replimune, TILT and ImmVira,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120" w:after="283"/>
        <w:jc w:val="left"/>
        <w:rPr>
          <w:rFonts w:ascii="Arial" w:hAnsi="Arial"/>
          <w:color w:val="000000"/>
          <w:sz w:val="19"/>
        </w:rPr>
      </w:pPr>
      <w:r>
        <w:rPr>
          <w:rFonts w:ascii="Arial" w:hAnsi="Arial"/>
          <w:color w:val="000000"/>
          <w:sz w:val="19"/>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pStyle w:val="TextBody"/>
        <w:bidi w:val="0"/>
        <w:spacing w:before="120" w:after="283"/>
        <w:jc w:val="left"/>
        <w:rPr>
          <w:rFonts w:ascii="Arial" w:hAnsi="Arial"/>
          <w:color w:val="000000"/>
          <w:sz w:val="19"/>
        </w:rPr>
      </w:pPr>
      <w:r>
        <w:rPr>
          <w:rFonts w:ascii="Arial" w:hAnsi="Arial"/>
          <w:color w:val="000000"/>
          <w:sz w:val="19"/>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pStyle w:val="TextBody"/>
        <w:bidi w:val="0"/>
        <w:spacing w:before="160" w:after="283"/>
        <w:jc w:val="left"/>
        <w:rPr>
          <w:rFonts w:ascii="Arial" w:hAnsi="Arial"/>
          <w:b/>
          <w:color w:val="000000"/>
          <w:sz w:val="19"/>
        </w:rPr>
      </w:pPr>
      <w:r>
        <w:rPr>
          <w:rFonts w:ascii="Arial" w:hAnsi="Arial"/>
          <w:b/>
          <w:color w:val="000000"/>
          <w:sz w:val="19"/>
        </w:rPr>
        <w:t>Risks Related to Government Regulation and Commercialization of Our Product Candidates</w:t>
      </w:r>
    </w:p>
    <w:p>
      <w:pPr>
        <w:pStyle w:val="TextBody"/>
        <w:bidi w:val="0"/>
        <w:spacing w:before="120" w:after="283"/>
        <w:jc w:val="left"/>
        <w:rPr>
          <w:rFonts w:ascii="Arial" w:hAnsi="Arial"/>
          <w:b/>
          <w:i/>
          <w:color w:val="000000"/>
          <w:sz w:val="19"/>
        </w:rPr>
      </w:pPr>
      <w:r>
        <w:rPr>
          <w:rFonts w:ascii="Arial" w:hAnsi="Arial"/>
          <w:b/>
          <w:i/>
          <w:color w:val="000000"/>
          <w:sz w:val="19"/>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aglatimagene, linoserpaturev and future product candidates as expected, and our ability to generate revenue may be materially impaired.</w:t>
      </w:r>
    </w:p>
    <w:p>
      <w:pPr>
        <w:pStyle w:val="TextBody"/>
        <w:bidi w:val="0"/>
        <w:spacing w:before="120" w:after="283"/>
        <w:jc w:val="left"/>
        <w:rPr>
          <w:rFonts w:ascii="Times New Roman" w:hAnsi="Times New Roman"/>
          <w:sz w:val="20"/>
        </w:rPr>
      </w:pPr>
      <w:r>
        <w:rPr>
          <w:rFonts w:ascii="Arial" w:hAnsi="Arial"/>
          <w:color w:val="000000"/>
          <w:sz w:val="19"/>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jurisdictions. These regulatory requirements may require us to amend our clinical trial protocols, including to comply with the protocols of any applicable SPA we receive from the FDA; conduct additional preclinical studies or clinical trials that may require regulatory or independent IRB approval; or otherwise cause delays in obtaining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pStyle w:val="TextBody"/>
        <w:bidi w:val="0"/>
        <w:spacing w:before="120" w:after="283"/>
        <w:jc w:val="left"/>
        <w:rPr>
          <w:rFonts w:ascii="Arial" w:hAnsi="Arial"/>
          <w:color w:val="000000"/>
          <w:sz w:val="19"/>
        </w:rPr>
      </w:pPr>
      <w:r>
        <w:rPr>
          <w:rFonts w:ascii="Arial" w:hAnsi="Arial"/>
          <w:color w:val="000000"/>
          <w:sz w:val="19"/>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For example, regulatory authorities may question the clinical relevance of data derived from our clinical trials because of evolving standards of care and contemporary disease management guidelines. It is possible that aglatimagene, linoserpaturev and future product candidates will never obtain the appropriate regulatory approvals necessary for us to commence product sales.</w:t>
      </w:r>
    </w:p>
    <w:p>
      <w:pPr>
        <w:pStyle w:val="TextBody"/>
        <w:bidi w:val="0"/>
        <w:spacing w:before="120" w:after="283"/>
        <w:jc w:val="left"/>
        <w:rPr>
          <w:rFonts w:ascii="Arial" w:hAnsi="Arial"/>
          <w:color w:val="000000"/>
          <w:sz w:val="19"/>
        </w:rPr>
      </w:pPr>
      <w:r>
        <w:rPr>
          <w:rFonts w:ascii="Arial" w:hAnsi="Arial"/>
          <w:color w:val="000000"/>
          <w:sz w:val="19"/>
        </w:rPr>
        <w:t>If we experience delays in obtaining approval, if we fail to obtain regulatory approval of aglatimagene, linoserpaturev or any future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pStyle w:val="TextBody"/>
        <w:bidi w:val="0"/>
        <w:spacing w:before="120" w:after="283"/>
        <w:jc w:val="left"/>
        <w:rPr>
          <w:rFonts w:ascii="Arial" w:hAnsi="Arial"/>
          <w:color w:val="000000"/>
          <w:sz w:val="19"/>
        </w:rPr>
      </w:pPr>
      <w:r>
        <w:rPr>
          <w:rFonts w:ascii="Arial" w:hAnsi="Arial"/>
          <w:color w:val="000000"/>
          <w:sz w:val="19"/>
        </w:rPr>
        <w:t>Aglatimagene, linoserpaturev or future product candidates may cause undesirable side effects or have other properties that could delay or prevent their regulatory approval, limit the commercial profile of an approved label, or result in significant negative consequences following marketing approval, if any. Serious adverse events or undesirable side effects caused by aglatimagene, linoserpaturev and future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or if the FDA has a different interpretation of the safety data from our clinical trials than we do,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For example, patients enrolled in our ongoing clinical trials of aglatimagene and linoserpaturev have experienced mild to moderate adverse events, consisting mainly of flu-like symptoms and injection site reactions. In response to these adverse events, we have implemented prophylactic measures, including intravenous fluids, antiemetics and antipyretics. The FDA’s or a comparable foreign regulatory authority’s requests for additional data or information could also result in substantial delays in the approval of aglatimagene, linoserpaturev and future product candidates.</w:t>
      </w:r>
    </w:p>
    <w:p>
      <w:pPr>
        <w:pStyle w:val="TextBody"/>
        <w:bidi w:val="0"/>
        <w:spacing w:before="120" w:after="283"/>
        <w:jc w:val="left"/>
        <w:rPr>
          <w:rFonts w:ascii="Arial" w:hAnsi="Arial"/>
          <w:color w:val="000000"/>
          <w:sz w:val="19"/>
        </w:rPr>
      </w:pPr>
      <w:r>
        <w:rPr>
          <w:rFonts w:ascii="Arial" w:hAnsi="Arial"/>
          <w:color w:val="000000"/>
          <w:sz w:val="19"/>
        </w:rPr>
        <w:t>Further, clinical trials by their nature utilize a sample of the potential patient population. With a limited number of patients and limited duration of exposure, rare and severe side effects of a product candidate may only be uncovered when a significantly larger number of patients are exposed to the product candidate or when patients are exposed for a longer period of time.</w:t>
      </w:r>
    </w:p>
    <w:p>
      <w:pPr>
        <w:pStyle w:val="TextBody"/>
        <w:bidi w:val="0"/>
        <w:jc w:val="left"/>
        <w:rPr>
          <w:rFonts w:ascii="Arial" w:hAnsi="Arial"/>
          <w:color w:val="000000"/>
          <w:sz w:val="19"/>
        </w:rPr>
      </w:pPr>
      <w:r>
        <w:rPr>
          <w:rFonts w:ascii="Arial" w:hAnsi="Arial"/>
          <w:color w:val="000000"/>
          <w:sz w:val="19"/>
        </w:rPr>
        <w:t>Undesirable side effects caused by aglatimagene, linoserpaturev or any future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the submission of a Risk Evaluation and Mitigation Strategy (REMS) to monitor the safety or efficacy of the products, and in turn prevent us from commercializing and generating revenues from the sale of aglatimagene, linoserpaturev and future product candidates. Any such limitations or restrictions could similarly impact any supplemental marketing approvals we may obtain for aglatimagene and linoserpaturev. Undesirable side effects may limit the potential market for any approved products or could result in restrictions on manufacturing processes, the discontinuation of the sales and marketing of the product, or withdrawal of product approvals. We could also be sued and held liable for harm caused to patients, or become subject to fines, injunctions or the imposition of civil or criminal penalties.</w:t>
      </w:r>
    </w:p>
    <w:p>
      <w:pPr>
        <w:pStyle w:val="TextBody"/>
        <w:bidi w:val="0"/>
        <w:spacing w:before="120" w:after="283"/>
        <w:jc w:val="left"/>
        <w:rPr>
          <w:rFonts w:ascii="Times New Roman" w:hAnsi="Times New Roman"/>
          <w:sz w:val="20"/>
        </w:rPr>
      </w:pPr>
      <w:r>
        <w:rPr>
          <w:rFonts w:ascii="Arial" w:hAnsi="Arial"/>
          <w:color w:val="000000"/>
          <w:sz w:val="19"/>
        </w:rPr>
        <w:t>If aglatimagene, linoserpaturev and future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pStyle w:val="TextBody"/>
        <w:bidi w:val="0"/>
        <w:spacing w:before="120" w:after="283"/>
        <w:jc w:val="left"/>
        <w:rPr>
          <w:rFonts w:ascii="Arial" w:hAnsi="Arial"/>
          <w:b/>
          <w:i/>
          <w:color w:val="000000"/>
          <w:sz w:val="19"/>
        </w:rPr>
      </w:pPr>
      <w:r>
        <w:rPr>
          <w:rFonts w:ascii="Arial" w:hAnsi="Arial"/>
          <w:b/>
          <w:i/>
          <w:color w:val="000000"/>
          <w:sz w:val="19"/>
        </w:rPr>
        <w:t>The FDA’s agreement to a Special Protocol Assessment with respect to the study design of our pivotal phase 3 clinical trial of aglatimagene in newly diagnosed localized prostate cancer in intermediate- and high-risk patients does not guarantee any particular outcome from regulatory review, including ultimate approval, and may not lead to a successful review or approval process.</w:t>
      </w:r>
    </w:p>
    <w:p>
      <w:pPr>
        <w:pStyle w:val="TextBody"/>
        <w:bidi w:val="0"/>
        <w:spacing w:before="120" w:after="283"/>
        <w:jc w:val="left"/>
        <w:rPr>
          <w:rFonts w:ascii="Arial" w:hAnsi="Arial"/>
          <w:color w:val="000000"/>
          <w:sz w:val="19"/>
        </w:rPr>
      </w:pPr>
      <w:r>
        <w:rPr>
          <w:rFonts w:ascii="Arial" w:hAnsi="Arial"/>
          <w:color w:val="000000"/>
          <w:sz w:val="19"/>
        </w:rPr>
        <w:t>We have obtained agreement from the FDA on the design and size of our pivotal phase 3 clinical trial of aglatimagene in newly diagnosed localized prostate cancer in intermediate- and high-risk patients in combination with the SoC through a SPA.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 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pStyle w:val="TextBody"/>
        <w:bidi w:val="0"/>
        <w:spacing w:before="120" w:after="283"/>
        <w:jc w:val="left"/>
        <w:rPr>
          <w:rFonts w:ascii="Arial" w:hAnsi="Arial"/>
          <w:color w:val="000000"/>
          <w:sz w:val="19"/>
        </w:rPr>
      </w:pPr>
      <w:r>
        <w:rPr>
          <w:rFonts w:ascii="Arial" w:hAnsi="Arial"/>
          <w:color w:val="000000"/>
          <w:sz w:val="19"/>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 While we have obtained an SPA agreement for our phase 3 clinical trial, we subsequently made minor changes to the protocol to include the use of moderate hypofractionated radiotherapy. This change in the protocol was not considered an amendment to the SPA by the FDA.</w:t>
      </w:r>
    </w:p>
    <w:p>
      <w:pPr>
        <w:pStyle w:val="TextBody"/>
        <w:bidi w:val="0"/>
        <w:spacing w:before="120" w:after="283"/>
        <w:jc w:val="left"/>
        <w:rPr>
          <w:rFonts w:ascii="Arial" w:hAnsi="Arial"/>
          <w:color w:val="000000"/>
          <w:sz w:val="19"/>
        </w:rPr>
      </w:pPr>
      <w:r>
        <w:rPr>
          <w:rFonts w:ascii="Arial" w:hAnsi="Arial"/>
          <w:color w:val="000000"/>
          <w:sz w:val="19"/>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 For example, the FDA may change its views on a SPA agreement based on factors such as data that would call into question the clinical relevance of previously agreed-upon efficacy endpoints, identification of safety concerns related to a product or its pharmacologic class, or paradigm shifts in disease diagnosis or management.</w:t>
      </w:r>
    </w:p>
    <w:p>
      <w:pPr>
        <w:pStyle w:val="TextBody"/>
        <w:bidi w:val="0"/>
        <w:spacing w:before="120" w:after="283"/>
        <w:jc w:val="left"/>
        <w:rPr>
          <w:rFonts w:ascii="Arial" w:hAnsi="Arial"/>
          <w:color w:val="000000"/>
          <w:sz w:val="19"/>
        </w:rPr>
      </w:pPr>
      <w:r>
        <w:rPr>
          <w:rFonts w:ascii="Arial" w:hAnsi="Arial"/>
          <w:color w:val="000000"/>
          <w:sz w:val="19"/>
        </w:rPr>
        <w:t>Moreover, if the FDA revokes or alters its agreement under the SPA, or interprets the data collected from the clinical trial differently than we do, the FDA may not deem the data sufficient to support an application for regulatory approval of aglatimagene in prostate cancer.</w:t>
      </w:r>
    </w:p>
    <w:p>
      <w:pPr>
        <w:pStyle w:val="TextBody"/>
        <w:bidi w:val="0"/>
        <w:spacing w:before="120" w:after="283"/>
        <w:jc w:val="left"/>
        <w:rPr>
          <w:rFonts w:ascii="Arial" w:hAnsi="Arial"/>
          <w:b/>
          <w:i/>
          <w:color w:val="000000"/>
          <w:sz w:val="19"/>
        </w:rPr>
      </w:pPr>
      <w:r>
        <w:rPr>
          <w:rFonts w:ascii="Arial" w:hAnsi="Arial"/>
          <w:b/>
          <w:i/>
          <w:color w:val="000000"/>
          <w:sz w:val="19"/>
        </w:rPr>
        <w:t>A Fast Track Designation by the FDA, even though granted for some indications for aglatimagene and linoserpaturev, or if received for any other future product candidates, may not lead to a faster development or regulatory review or approval process, and does not increase the likelihood that our product candidates will receive marketing approval for the designated indications.</w:t>
      </w:r>
    </w:p>
    <w:p>
      <w:pPr>
        <w:pStyle w:val="TextBody"/>
        <w:bidi w:val="0"/>
        <w:spacing w:before="120" w:after="283"/>
        <w:jc w:val="left"/>
        <w:rPr>
          <w:rFonts w:ascii="Times New Roman" w:hAnsi="Times New Roman"/>
          <w:sz w:val="20"/>
        </w:rPr>
      </w:pPr>
      <w:r>
        <w:rPr>
          <w:rFonts w:ascii="Arial" w:hAnsi="Arial"/>
          <w:color w:val="000000"/>
          <w:sz w:val="19"/>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have been granted Fast Track Designation for the use of aglatimagene for: (1) the treatment of localized, primary prostate cancer in combination with radiation therapy to improve the local control rate; (2) with valacyclovir in combination with pembrolizumab in order to improve survival or delay progression in patients with stage III/IV NSCLC who are resistant to first line PD-(L)1 inhibitor therapy and who do not have activating molecular driver mutations; and (3) with valacyclovir for the treatment of patients with pancreatic ductal adenocarcinoma (PDAC) to improve overall survival. Linoserpaturev was also granted Fast Track Designation for the treatment of patients with recurrent HGG to improve overall survival. We may also seek Fast Track Designation for certain of our future product candidates in specific indications, as appropriate. However, there is no assurance that the FDA will grant this status to our proposed product candidates. Marketing applications filed by sponsors of products with Fast Track Designation are eligible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though we have received Fast Track Designation for aglatimagene and linoserpaturev or even if we receive Fast Track Designation for our future additional indications for aglatimagene and linoserpaturev, we may not experience a faster development process, review or approval compared to conventional FDA procedures, and receiving a Fast Track Designation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does not provide assurance of ultimate FDA approval. In addition, the FDA may withdraw Fast Track Designation at any time if it believes that the designation is no longer supported by data from our clinical development program. Drugs and biologics for indications designated as Fast Track therapies by the FDA may also be eligible for other expedited programs, including accelerated approval.</w:t>
      </w:r>
    </w:p>
    <w:p>
      <w:pPr>
        <w:pStyle w:val="TextBody"/>
        <w:bidi w:val="0"/>
        <w:spacing w:before="120" w:after="283"/>
        <w:jc w:val="left"/>
        <w:rPr>
          <w:rFonts w:ascii="Arial" w:hAnsi="Arial"/>
          <w:b/>
          <w:i/>
          <w:color w:val="000000"/>
          <w:sz w:val="19"/>
        </w:rPr>
      </w:pPr>
      <w:r>
        <w:rPr>
          <w:rFonts w:ascii="Arial" w:hAnsi="Arial"/>
          <w:b/>
          <w:i/>
          <w:color w:val="000000"/>
          <w:sz w:val="19"/>
        </w:rPr>
        <w:t>A Breakthrough Therapy Designation by the FDA, even if granted for some indications of our product candidates, may not lead to a faster development or regulatory review or approval process and it does not increase the likelihood that our product candidates will receive marketing approval for the designated indications.</w:t>
      </w:r>
    </w:p>
    <w:p>
      <w:pPr>
        <w:pStyle w:val="TextBody"/>
        <w:bidi w:val="0"/>
        <w:spacing w:before="120" w:after="283"/>
        <w:jc w:val="left"/>
        <w:rPr>
          <w:rFonts w:ascii="Arial" w:hAnsi="Arial"/>
          <w:color w:val="000000"/>
          <w:sz w:val="19"/>
        </w:rPr>
      </w:pPr>
      <w:r>
        <w:rPr>
          <w:rFonts w:ascii="Arial" w:hAnsi="Arial"/>
          <w:color w:val="000000"/>
          <w:sz w:val="19"/>
        </w:rPr>
        <w:t>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for indications designated as Breakthrough Therapies by the FDA may also be eligible for other expedited approval programs, including accelerated approval.</w:t>
      </w:r>
    </w:p>
    <w:p>
      <w:pPr>
        <w:pStyle w:val="TextBody"/>
        <w:bidi w:val="0"/>
        <w:spacing w:before="120" w:after="283"/>
        <w:jc w:val="left"/>
        <w:rPr>
          <w:rFonts w:ascii="Arial" w:hAnsi="Arial"/>
          <w:color w:val="000000"/>
          <w:sz w:val="19"/>
        </w:rPr>
      </w:pPr>
      <w:r>
        <w:rPr>
          <w:rFonts w:ascii="Arial" w:hAnsi="Arial"/>
          <w:color w:val="000000"/>
          <w:sz w:val="19"/>
        </w:rPr>
        <w:t>Designation as a Breakthrough Therapy is within the discretion of the FDA, and the FDA has not granted Breakthrough Therapy Designation to any of our product candidates. In any event, the receipt of a Breakthrough Therapy Designation for a product candidate may not result in a faster development process, review or approval compared to product candidates developed and considered for approval that have not received Breakthrough Therapy Designation and does not assure ultimate approval by the FDA. In addition, the FDA may withdraw Breakthrough Designation at any time if it believes that the designation is no longer supported by data from our clinical development program. In addition, even if one or more of our product candidate indications qualify as Breakthrough Therapies, the FDA may later decide that the product no longer meets the conditions for qualification.</w:t>
      </w:r>
    </w:p>
    <w:p>
      <w:pPr>
        <w:pStyle w:val="TextBody"/>
        <w:bidi w:val="0"/>
        <w:spacing w:before="120" w:after="283"/>
        <w:jc w:val="left"/>
        <w:rPr>
          <w:rFonts w:ascii="Times New Roman" w:hAnsi="Times New Roman"/>
          <w:sz w:val="20"/>
        </w:rPr>
      </w:pPr>
      <w:r>
        <w:rPr>
          <w:rFonts w:ascii="Arial" w:hAnsi="Arial"/>
          <w:b/>
          <w:i/>
          <w:color w:val="000000"/>
          <w:sz w:val="19"/>
        </w:rPr>
        <w:t>We have received Orphan Drug Designation from the FDA and the EMA for aglatimagene for the treatment of pancreatic cancer and for linoserpaturev for the treatment of recurrent HGG. We may seek Orphan Drug Designation from regulatory authorities in other jurisdictions for aglatimagene and linoserpaturev, and we may seek Orphan Drug Designation for our other product candidates. In any of these instances, we may not receive the requested designation or we may be unable to realize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We have received Orphan Drug Designation from the FDA and the EMA for aglatimagene for the treatment of pancreatic cancer and for linoserpaturev for the treatment of recurrent HGG. Even if aglatimagene or linoserpaturev were to obtain orphan drug exclusivity for this use upon marketing approval by the FDA, the benefit of that exclusivity may be revoked if the approval is in an indication that is broader than the orphan-designated indication, or exclusivity could be revoked under certain circumstances, for example if the FDA later determines that the request for designation was materially defective or if the sponsor is unable to assure sufficient quantities of the product to meet the needs of patients with the rare disease or condition. Further, orphan drug exclusivity may not effectively protect the product from competition during the exclusivity period because different drugs with different active moieties can be approved for the same approved use or indication, and the same product can be approved for different uses. Also, the FDA may grant approval to the same drug for the same orphan indication if the second applicant can establish in its application that its product is safer, more effective or otherwise clinically superior to the previously approved product, or if the application holder of the previously approved product consents.</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19"/>
        </w:rPr>
      </w:pPr>
      <w:r>
        <w:rPr>
          <w:rFonts w:ascii="Arial" w:hAnsi="Arial"/>
          <w:b/>
          <w:i/>
          <w:color w:val="000000"/>
          <w:sz w:val="19"/>
        </w:rPr>
        <w:t>We have received Regenerative Medicine Advanced Therapy Designation from the FDA for aglatimagene for the treatment of newly diagnosed localized prostate cancer in patients with intermediate- to high-risk disease. This may not lead to a faster development or regulatory review or approval process, and does not increase the likelihood that aglatimagene, or any other product candidates that receive such designation, will receive marketing approval for the designated indications.</w:t>
      </w:r>
    </w:p>
    <w:p>
      <w:pPr>
        <w:pStyle w:val="TextBody"/>
        <w:bidi w:val="0"/>
        <w:spacing w:before="120" w:after="283"/>
        <w:jc w:val="left"/>
        <w:rPr>
          <w:rFonts w:ascii="Arial" w:hAnsi="Arial"/>
          <w:color w:val="000000"/>
          <w:sz w:val="19"/>
        </w:rPr>
      </w:pPr>
      <w:r>
        <w:rPr>
          <w:rFonts w:ascii="Arial" w:hAnsi="Arial"/>
          <w:color w:val="000000"/>
          <w:sz w:val="19"/>
        </w:rPr>
        <w:t>We have received Regenerative Medicine Advanced Therapy (RMAT) Designation for aglatimagene for the treatment of newly diagnosed localized prostate cancer in patients with intermediate- to high-risk disease. We may also seek RMAT Designation for certain of our future product candidates in specific indications, as appropriate. However, there is no assurance that the FDA will grant this status to our proposed product candidates. The features of RMAT Designation include all of the features of Breakthrough Therapy Designation, including early interactions to discuss potential surrogate or intermediate endpoints. Marketing applications filed by sponsors of products with RMAT Designation may be eligible for accelerated approval, but RMAT Designation does not assure eligibility for accelerated approval, nor does it assure a faster development process or ultimate marketing approval by the FDA. The FDA has broad discretion whether or not to grant RMAT Designation, so even if we believe a particular product candidate is eligible for this designation, there can be no assurance that the FDA would decide to grant it. In addition, the FDA may withdraw RMAT Designation at any time if it believes the designation is no longer supported.</w:t>
      </w:r>
    </w:p>
    <w:p>
      <w:pPr>
        <w:pStyle w:val="TextBody"/>
        <w:bidi w:val="0"/>
        <w:spacing w:before="120" w:after="283"/>
        <w:jc w:val="left"/>
        <w:rPr>
          <w:rFonts w:ascii="Arial" w:hAnsi="Arial"/>
          <w:b/>
          <w:i/>
          <w:color w:val="000000"/>
          <w:sz w:val="19"/>
        </w:rPr>
      </w:pPr>
      <w:r>
        <w:rPr>
          <w:rFonts w:ascii="Arial" w:hAnsi="Arial"/>
          <w:b/>
          <w:i/>
          <w:color w:val="000000"/>
          <w:sz w:val="19"/>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by the sponsor and, under the Food and Drug Omnibus Reform Act of 2022 (FDORA), the FDA is permitted to require that such trials be underway prior to approval or within a specified time period after the date accelerated approval is granted. FDORA also requires sponsors to send updates to the FDA every 180 days on the status of such confirmatory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that the product's accelerated approval will eventually be converted to a traditional FDA approval.</w:t>
      </w:r>
    </w:p>
    <w:p>
      <w:pPr>
        <w:pStyle w:val="TextBody"/>
        <w:bidi w:val="0"/>
        <w:spacing w:before="120" w:after="283"/>
        <w:jc w:val="left"/>
        <w:rPr>
          <w:rFonts w:ascii="Arial" w:hAnsi="Arial"/>
          <w:b/>
          <w:i/>
          <w:color w:val="000000"/>
          <w:sz w:val="19"/>
        </w:rPr>
      </w:pPr>
      <w:r>
        <w:rPr>
          <w:rFonts w:ascii="Arial" w:hAnsi="Arial"/>
          <w:b/>
          <w:i/>
          <w:color w:val="000000"/>
          <w:sz w:val="19"/>
        </w:rPr>
        <w:t>Even if our development efforts are successful, we may not obtain regulatory approval of aglatimagene, linoserpaturev or any future product candidates in the United States or other jurisdictions, which would prevent us from commercializing aglatimagene, linoserpaturev and future product candidates. Even if we obtain regulatory approval for aglatimagene, linoserpaturev and future product candidates, any such approval may be subject to limitations, including with respect to the approved indications or patient populations, which could impair our ability to successfully commercialize aglatimagene, linoserpaturev or any future product candidates.</w:t>
      </w:r>
    </w:p>
    <w:p>
      <w:pPr>
        <w:pStyle w:val="TextBody"/>
        <w:bidi w:val="0"/>
        <w:spacing w:before="120" w:after="283"/>
        <w:jc w:val="left"/>
        <w:rPr>
          <w:rFonts w:ascii="Arial" w:hAnsi="Arial"/>
          <w:color w:val="000000"/>
          <w:sz w:val="19"/>
        </w:rPr>
      </w:pPr>
      <w:r>
        <w:rPr>
          <w:rFonts w:ascii="Arial" w:hAnsi="Arial"/>
          <w:color w:val="000000"/>
          <w:sz w:val="19"/>
        </w:rPr>
        <w:t>We are not permitted to market or promote or sell aglatimagene, linoserpaturev or any future product candidates before we receive regulatory approval from the FDA or comparable foreign regulatory authorities, and we may never receive such regulatory approval.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aglatimagene, linoserpaturev and future product candidates, or if our ongoing or future interactions with the FDA or other regulatory authorities do not result in such agency’s agreement with our approach to seek approval for aglatimagene, linoserpaturev and future product candidates, we will not be able to commercialize such product candidates in the United States or in other jurisdictions. If significant delays in obtaining approval for and commercializing such product candidates occur in any jurisdictions, our business, financial condition, results of operations, stock price and prospects will be materially harmed. Even if aglatimagene, linoserpaturev and future product candidates are approved, they may: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be subject to limitations on the indicated uses or patient populations for which they may be marketed, distribution restrictions, or other conditions of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not be approved with label statements necessary or desirable for successful commercialization;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contain requirements for costly post-market testing and surveillance, or other requirements, including the submission of a REMS, to monitor the safety or efficacy of the products.</w:t>
      </w:r>
    </w:p>
    <w:p>
      <w:pPr>
        <w:pStyle w:val="TextBody"/>
        <w:bidi w:val="0"/>
        <w:spacing w:before="120" w:after="283"/>
        <w:jc w:val="left"/>
        <w:rPr>
          <w:rFonts w:ascii="Arial" w:hAnsi="Arial"/>
          <w:color w:val="000000"/>
          <w:sz w:val="19"/>
        </w:rPr>
      </w:pPr>
      <w:r>
        <w:rPr>
          <w:rFonts w:ascii="Arial" w:hAnsi="Arial"/>
          <w:color w:val="000000"/>
          <w:sz w:val="19"/>
        </w:rPr>
        <w:t>We have not previously submitted a Biologics License Application (BLA), to the FDA, or a similar marketing application to comparable foreign regulatory authorities, for aglatimagene, linoserpaturev or any product candidate, and we can provide no assurance that we will ultimately be successful in obtaining regulatory approval for claims that are necessary or desirable for successful marketing, if at all.</w:t>
      </w:r>
    </w:p>
    <w:p>
      <w:pPr>
        <w:pStyle w:val="TextBody"/>
        <w:bidi w:val="0"/>
        <w:spacing w:before="120" w:after="283"/>
        <w:jc w:val="left"/>
        <w:rPr>
          <w:rFonts w:ascii="Arial" w:hAnsi="Arial"/>
          <w:b/>
          <w:i/>
          <w:color w:val="000000"/>
          <w:sz w:val="19"/>
        </w:rPr>
      </w:pPr>
      <w:r>
        <w:rPr>
          <w:rFonts w:ascii="Arial" w:hAnsi="Arial"/>
          <w:b/>
          <w:i/>
          <w:color w:val="000000"/>
          <w:sz w:val="19"/>
        </w:rPr>
        <w:t>Changes in product candidate manufacturing or formulation may result in additional costs or delay.</w:t>
      </w:r>
    </w:p>
    <w:p>
      <w:pPr>
        <w:pStyle w:val="TextBody"/>
        <w:bidi w:val="0"/>
        <w:spacing w:before="120" w:after="283"/>
        <w:jc w:val="left"/>
        <w:rPr>
          <w:rFonts w:ascii="Times New Roman" w:hAnsi="Times New Roman"/>
          <w:sz w:val="20"/>
        </w:rPr>
      </w:pPr>
      <w:r>
        <w:rPr>
          <w:rFonts w:ascii="Arial" w:hAnsi="Arial"/>
          <w:color w:val="000000"/>
          <w:sz w:val="19"/>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aglatimagene, linoserpaturev or any future product candidates to perform differently and affect the results of planned clinical trials or other future clinical trials conducted with the altered materials. Changes in third-party manufacturers and manufacturing processes may also require additional testing, or notification to, or approval by the FDA or a comparable foreign regulatory authority. Such changes could be further delayed due to development of clinical-scale manufacturing and commercial-scale manufacturing operations. This could delay completion of clinical trials, require the conduct of bridging clinical trials or studies,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require the repetition of one or more clinical trials, increase clinical trial costs, delay approval of aglatimagene, linoserpaturev and future product candidates and jeopardize our ability to commence product sales and generate revenue.</w:t>
      </w:r>
    </w:p>
    <w:p>
      <w:pPr>
        <w:pStyle w:val="TextBody"/>
        <w:bidi w:val="0"/>
        <w:spacing w:before="120" w:after="283"/>
        <w:jc w:val="left"/>
        <w:rPr>
          <w:rFonts w:ascii="Arial" w:hAnsi="Arial"/>
          <w:b/>
          <w:i/>
          <w:color w:val="000000"/>
          <w:sz w:val="19"/>
        </w:rPr>
      </w:pPr>
      <w:r>
        <w:rPr>
          <w:rFonts w:ascii="Arial" w:hAnsi="Arial"/>
          <w:b/>
          <w:i/>
          <w:color w:val="000000"/>
          <w:sz w:val="19"/>
        </w:rPr>
        <w:t>Inadequate funding for the FDA, the SEC, patent offices and other government agencies could hinder their ability to hire and retain key personnel, and substantial changes in leadership, personnel, and policy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Arial" w:hAnsi="Arial"/>
          <w:color w:val="000000"/>
          <w:sz w:val="19"/>
        </w:rPr>
      </w:pPr>
      <w:r>
        <w:rPr>
          <w:rFonts w:ascii="Arial" w:hAnsi="Arial"/>
          <w:color w:val="000000"/>
          <w:sz w:val="19"/>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120" w:after="283"/>
        <w:jc w:val="left"/>
        <w:rPr>
          <w:rFonts w:ascii="Arial" w:hAnsi="Arial"/>
          <w:color w:val="000000"/>
          <w:sz w:val="19"/>
        </w:rPr>
      </w:pPr>
      <w:r>
        <w:rPr>
          <w:rFonts w:ascii="Arial" w:hAnsi="Arial"/>
          <w:color w:val="000000"/>
          <w:sz w:val="19"/>
        </w:rPr>
        <w:t>Disruptions at the FDA, patent offices and other agencies, including substantial leadership, personnel, and policy changes, may also slow the time necessary for new product candidates to be reviewed and/or approved by necessary government agencies, or commercialized, which would adversely affect our business. For example, the U.S. federal government has shut down several times and certain regulatory agencies, such as the FDA and the SEC, have had to furlough critical FDA, SEC and other government employees and stop critical activities. If a prolonged government shutdown or substantial leadership, personnel, and policy changes occur, it could significantly impact the ability of the FDA to timely review and process our regulatory submissions, which could have a material adverse effect on our business. A potential U.S. federal government shutdown may also increase uncertainty and volatility in the global economy and financial markets, which could negatively impact our business. Further, future government shutdowns could impact our ability to access the public markets and obtain necessary capital in order to properly capitalize and continue our operations. Such changes could significantly impact the ability of the FDA to timely review and take action on our regulatory submissions, which could have a material adverse effect on our business. Further, in our operations as a public company, future government shutdowns or substantial leadership, personnel, and policy changes could impact our ability to access the public markets and obtain necessary capital in order to properly capitalize and continue our operations.</w:t>
      </w:r>
    </w:p>
    <w:p>
      <w:pPr>
        <w:pStyle w:val="TextBody"/>
        <w:bidi w:val="0"/>
        <w:spacing w:before="120" w:after="283"/>
        <w:jc w:val="left"/>
        <w:rPr>
          <w:rFonts w:ascii="Arial" w:hAnsi="Arial"/>
          <w:color w:val="000000"/>
          <w:sz w:val="19"/>
        </w:rPr>
      </w:pPr>
      <w:r>
        <w:rPr>
          <w:rFonts w:ascii="Arial" w:hAnsi="Arial"/>
          <w:color w:val="000000"/>
          <w:sz w:val="19"/>
        </w:rPr>
        <w:t>Without appropriate funding to federal agencies, our business operations related to our product development for the U.S. market could be impacted. Inadequate funding for the FDA, the SEC and other government agencies, including from government shutdowns, or other disruptions to these agencies’ operations, could hinder their ability to hire and retain key leadership and other personnel and otherwise prevent those agencies from performing normal business functions on which the operation of our business may rely, which could negatively impact our business. The Trump administration has issued executive orders and taken other measures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the SEC and other agencies.</w:t>
      </w:r>
    </w:p>
    <w:p>
      <w:pPr>
        <w:pStyle w:val="TextBody"/>
        <w:bidi w:val="0"/>
        <w:spacing w:before="120" w:after="283"/>
        <w:jc w:val="left"/>
        <w:rPr>
          <w:rFonts w:ascii="Arial" w:hAnsi="Arial"/>
          <w:color w:val="000000"/>
          <w:sz w:val="19"/>
        </w:rPr>
      </w:pPr>
      <w:r>
        <w:rPr>
          <w:rFonts w:ascii="Arial" w:hAnsi="Arial"/>
          <w:color w:val="000000"/>
          <w:sz w:val="19"/>
        </w:rPr>
        <w:t>The Trump administration also has sought to modify or revise the requirements and policies of the FDA and other regulatory agencies with jurisdiction over our product candidates, and these changes introduce uncertainty, which could present new challenges and/or opportunities as we navigate development of our product candidates. Any delay in obtaining, or our inability to obtain, applicable regulatory approvals would delay or prevent development and commercialization of our product candidates and could materially adversely impact our business and prospects.</w:t>
      </w:r>
    </w:p>
    <w:p>
      <w:pPr>
        <w:pStyle w:val="TextBody"/>
        <w:bidi w:val="0"/>
        <w:spacing w:before="120" w:after="283"/>
        <w:jc w:val="left"/>
        <w:rPr>
          <w:rFonts w:ascii="Arial" w:hAnsi="Arial"/>
          <w:b/>
          <w:i/>
          <w:color w:val="000000"/>
          <w:sz w:val="19"/>
        </w:rPr>
      </w:pPr>
      <w:r>
        <w:rPr>
          <w:rFonts w:ascii="Arial" w:hAnsi="Arial"/>
          <w:b/>
          <w:i/>
          <w:color w:val="000000"/>
          <w:sz w:val="19"/>
        </w:rPr>
        <w:t>Even if aglatimagene, linoserpaturev or any future product candidates receive regulatory approval, we will be subject to ongoing obligations and continued regulatory review, which may result in significant additional expense and limit how we manufacture and market our products.</w:t>
      </w:r>
    </w:p>
    <w:p>
      <w:pPr>
        <w:pStyle w:val="TextBody"/>
        <w:bidi w:val="0"/>
        <w:spacing w:before="120" w:after="283"/>
        <w:jc w:val="left"/>
        <w:rPr>
          <w:rFonts w:ascii="Arial" w:hAnsi="Arial"/>
          <w:color w:val="000000"/>
          <w:sz w:val="19"/>
        </w:rPr>
      </w:pPr>
      <w:r>
        <w:rPr>
          <w:rFonts w:ascii="Arial" w:hAnsi="Arial"/>
          <w:color w:val="000000"/>
          <w:sz w:val="19"/>
        </w:rPr>
        <w:t>Any product candidate for which we may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(cGMP), requirements relating to manufacturing, quality control, quality assurance, and corresponding maintenance of records and documents, and good clinical practices (GCPs), for any clinical trials that we conduct post-approval. For certain commercial prescription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pStyle w:val="TextBody"/>
        <w:bidi w:val="0"/>
        <w:spacing w:before="120" w:after="283"/>
        <w:jc w:val="left"/>
        <w:rPr>
          <w:rFonts w:ascii="Times New Roman" w:hAnsi="Times New Roman"/>
          <w:sz w:val="20"/>
        </w:rPr>
      </w:pPr>
      <w:r>
        <w:rPr>
          <w:rFonts w:ascii="Arial" w:hAnsi="Arial"/>
          <w:color w:val="000000"/>
          <w:sz w:val="19"/>
        </w:rPr>
        <w:t>The FDA and comparable foreign regulatory authorities will continue to closely monitor the safety profile of any product even after approval. If the FDA or comparable foreign regulatory authorities become aware of new safety information after approval of any of aglatimagene, linoserpaturev and future product candidates, they may withdraw approval, issue public safety alerts,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pStyle w:val="TextBody"/>
        <w:bidi w:val="0"/>
        <w:spacing w:before="120" w:after="283"/>
        <w:jc w:val="left"/>
        <w:rPr>
          <w:rFonts w:ascii="Arial" w:hAnsi="Arial"/>
          <w:color w:val="000000"/>
          <w:sz w:val="19"/>
        </w:rPr>
      </w:pPr>
      <w:r>
        <w:rPr>
          <w:rFonts w:ascii="Arial" w:hAnsi="Arial"/>
          <w:color w:val="000000"/>
          <w:sz w:val="19"/>
        </w:rPr>
        <w:t>We and any of our suppliers or collaborators, including our CDMOs, could be subject to periodic unannounced inspections by the FDA to monitor and ensure compliance with cGMPs and other FDA regulatory requirements.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Application holders must further notify the FDA, and depending on the nature of the change, obtain FDA pre-approval for product and manufacturing changes.</w:t>
      </w:r>
    </w:p>
    <w:p>
      <w:pPr>
        <w:pStyle w:val="TextBody"/>
        <w:bidi w:val="0"/>
        <w:spacing w:before="120" w:after="283"/>
        <w:jc w:val="left"/>
        <w:rPr>
          <w:rFonts w:ascii="Arial" w:hAnsi="Arial"/>
          <w:color w:val="000000"/>
          <w:sz w:val="19"/>
        </w:rPr>
      </w:pPr>
      <w:r>
        <w:rPr>
          <w:rFonts w:ascii="Arial" w:hAnsi="Arial"/>
          <w:color w:val="000000"/>
          <w:sz w:val="19"/>
        </w:rPr>
        <w:t>In addition, later discovery of previously unknown adverse events or that the product is less effective than previously thought or other problems with any products, manufacturers or manufacturing processes, or failure to comply with regulatory requirements both before and after approval, may yield various negative results,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restrictions on manufacturing, distribution, or marketing of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restrictions on the labeling, including required additional warnings, such as boxed warnings, contraindications, precautions, and restrictions on the approved indication or use;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manufacturing delays and supply disruptions due to global events, or where regulatory inspections identify observations of noncompliance requiring remediation;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modifications to promotional pieces;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issuance of corrective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requirements to conduct post-marketing studies or other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clinical holds or 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requirements to establish or modify a REMS or similar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changes to the way the product is administered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liability for harm caused to patients or subjects;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reputational harm;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product becoming less competitive;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FDA Form 483s warning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suspension of marketing or withdrawal of the products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regulatory authority issuance of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refusal to approve pending applications or supplements to approved applications that we submit;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recalls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fines, restitution or disgorgement of profits or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suspension or withdrawal of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refusal to permit the import or export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product seizure or detention;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FDA debarment, suspension and debarment from government contracts, and refusal of orders under existing government contracts, exclusion from federal healthcare programs, consent decrees, or corporate integrity agreements;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injunctions or the imposition of civil, criminal or administrative penalties, including imprisonment.</w:t>
      </w:r>
    </w:p>
    <w:p>
      <w:pPr>
        <w:pStyle w:val="TextBody"/>
        <w:bidi w:val="0"/>
        <w:spacing w:before="120" w:after="283"/>
        <w:jc w:val="left"/>
        <w:rPr>
          <w:rFonts w:ascii="Arial" w:hAnsi="Arial"/>
          <w:color w:val="000000"/>
          <w:sz w:val="19"/>
        </w:rPr>
      </w:pPr>
      <w:r>
        <w:rPr>
          <w:rFonts w:ascii="Arial" w:hAnsi="Arial"/>
          <w:color w:val="000000"/>
          <w:sz w:val="19"/>
        </w:rPr>
        <w:t>Any of these events could prevent us from achieving or maintaining market acceptance of any particular product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Further, the FDA’s policies or those of comparable foreign regulatory authorities may change and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 which would adversely affect our business, prospects and ability to achieve or sustain profitability.</w:t>
      </w:r>
    </w:p>
    <w:p>
      <w:pPr>
        <w:pStyle w:val="TextBody"/>
        <w:bidi w:val="0"/>
        <w:spacing w:before="120" w:after="283"/>
        <w:jc w:val="left"/>
        <w:rPr>
          <w:rFonts w:ascii="Arial" w:hAnsi="Arial"/>
          <w:b/>
          <w:i/>
          <w:color w:val="000000"/>
          <w:sz w:val="19"/>
        </w:rPr>
      </w:pPr>
      <w:r>
        <w:rPr>
          <w:rFonts w:ascii="Arial" w:hAnsi="Arial"/>
          <w:b/>
          <w:i/>
          <w:color w:val="000000"/>
          <w:sz w:val="19"/>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pStyle w:val="TextBody"/>
        <w:bidi w:val="0"/>
        <w:spacing w:before="120" w:after="283"/>
        <w:jc w:val="left"/>
        <w:rPr>
          <w:rFonts w:ascii="Arial" w:hAnsi="Arial"/>
          <w:color w:val="000000"/>
          <w:sz w:val="19"/>
        </w:rPr>
      </w:pPr>
      <w:r>
        <w:rPr>
          <w:rFonts w:ascii="Arial" w:hAnsi="Arial"/>
          <w:color w:val="000000"/>
          <w:sz w:val="19"/>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the Office of Inspector General for the Department of Health and Human Services (HHS),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aglatimagene, linoserpaturev and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pStyle w:val="TextBody"/>
        <w:bidi w:val="0"/>
        <w:spacing w:before="120" w:after="283"/>
        <w:jc w:val="left"/>
        <w:rPr>
          <w:rFonts w:ascii="Arial" w:hAnsi="Arial"/>
          <w:color w:val="000000"/>
          <w:sz w:val="19"/>
        </w:rPr>
      </w:pPr>
      <w:r>
        <w:rPr>
          <w:rFonts w:ascii="Arial" w:hAnsi="Arial"/>
          <w:color w:val="000000"/>
          <w:sz w:val="19"/>
        </w:rPr>
        <w:t>Physicians may choose to prescribe products for uses that are not described in the product’s labeling and for uses that differ from those tested in clinical trials and approved by the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pStyle w:val="TextBody"/>
        <w:bidi w:val="0"/>
        <w:spacing w:before="120" w:after="283"/>
        <w:jc w:val="left"/>
        <w:rPr>
          <w:rFonts w:ascii="Arial" w:hAnsi="Arial"/>
          <w:color w:val="000000"/>
          <w:sz w:val="19"/>
        </w:rPr>
      </w:pPr>
      <w:r>
        <w:rPr>
          <w:rFonts w:ascii="Arial" w:hAnsi="Arial"/>
          <w:color w:val="000000"/>
          <w:sz w:val="19"/>
        </w:rPr>
        <w:t>If we are found to have impermissibly promoted any of aglatimagene, linoserpaturev and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In the United States, engaging in the impermissible promotion of any products,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pStyle w:val="TextBody"/>
        <w:bidi w:val="0"/>
        <w:spacing w:before="120" w:after="283"/>
        <w:jc w:val="left"/>
        <w:rPr>
          <w:rFonts w:ascii="Arial" w:hAnsi="Arial"/>
          <w:color w:val="000000"/>
          <w:sz w:val="19"/>
        </w:rPr>
      </w:pPr>
      <w:r>
        <w:rPr>
          <w:rFonts w:ascii="Arial" w:hAnsi="Arial"/>
          <w:color w:val="000000"/>
          <w:sz w:val="19"/>
        </w:rPr>
        <w:t>In the United States, the promotion of biopharmaceutical products is subject to additional FDA requirements and restrictions on promotional statements. If, after aglatimagene, linoserpaturev or any future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pStyle w:val="TextBody"/>
        <w:bidi w:val="0"/>
        <w:spacing w:before="120" w:after="283"/>
        <w:jc w:val="left"/>
        <w:rPr>
          <w:rFonts w:ascii="Arial" w:hAnsi="Arial"/>
          <w:b/>
          <w:i/>
          <w:color w:val="000000"/>
          <w:sz w:val="19"/>
        </w:rPr>
      </w:pPr>
      <w:r>
        <w:rPr>
          <w:rFonts w:ascii="Arial" w:hAnsi="Arial"/>
          <w:b/>
          <w:i/>
          <w:color w:val="000000"/>
          <w:sz w:val="19"/>
        </w:rPr>
        <w:t>We may not be able to file INDs or IND amendments to commence additional clinical trials on the timelines we expect, and even if we are able to, the FDA or a comparable foreign regulatory authority may not permit us to proceed.</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The FDA or comparable foreign regulatory authorities may require us to file separate INDs for additional clinical trials we plan to conduct with our current most advanced product candidates, aglatimagene and linoserpaturev. We may not be able to file any additional INDs required for our current product candidates and any future product candidates on the timelines we expect. For example, we may experience delays if we are unable to access earlier data from inactive or withdrawn INDs. Moreover, we cannot be sure that submission of an IND will result in the FDA or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expected timelines to obtain regulatory approvals for our trials may prevent us from completing our clinical trials or commercializing our products on a timely basis, if at all. There are similar risks related to the review and authorization of our protocols and amendments by comparable foreign regulatory authorities.</w:t>
      </w:r>
    </w:p>
    <w:p>
      <w:pPr>
        <w:pStyle w:val="TextBody"/>
        <w:bidi w:val="0"/>
        <w:spacing w:before="120" w:after="283"/>
        <w:jc w:val="left"/>
        <w:rPr>
          <w:rFonts w:ascii="Arial" w:hAnsi="Arial"/>
          <w:b/>
          <w:i/>
          <w:color w:val="000000"/>
          <w:sz w:val="19"/>
        </w:rPr>
      </w:pPr>
      <w:r>
        <w:rPr>
          <w:rFonts w:ascii="Arial" w:hAnsi="Arial"/>
          <w:b/>
          <w:i/>
          <w:color w:val="000000"/>
          <w:sz w:val="19"/>
        </w:rPr>
        <w:t>If approved, our investigational products regulated as biologics may face competition from biosimilars approved through an abbreviated regulatory pathway.</w:t>
      </w:r>
    </w:p>
    <w:p>
      <w:pPr>
        <w:pStyle w:val="TextBody"/>
        <w:bidi w:val="0"/>
        <w:spacing w:before="120" w:after="283"/>
        <w:jc w:val="left"/>
        <w:rPr>
          <w:rFonts w:ascii="Arial" w:hAnsi="Arial"/>
          <w:color w:val="000000"/>
          <w:sz w:val="19"/>
        </w:rPr>
      </w:pPr>
      <w:r>
        <w:rPr>
          <w:rFonts w:ascii="Arial" w:hAnsi="Arial"/>
          <w:color w:val="000000"/>
          <w:sz w:val="19"/>
        </w:rPr>
        <w:t>The Biologics Price Competition and Innovation Act of 2009 (BPCIA)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pStyle w:val="TextBody"/>
        <w:bidi w:val="0"/>
        <w:spacing w:before="120" w:after="283"/>
        <w:jc w:val="left"/>
        <w:rPr>
          <w:rFonts w:ascii="Arial" w:hAnsi="Arial"/>
          <w:color w:val="000000"/>
          <w:sz w:val="19"/>
        </w:rPr>
      </w:pPr>
      <w:r>
        <w:rPr>
          <w:rFonts w:ascii="Arial" w:hAnsi="Arial"/>
          <w:color w:val="000000"/>
          <w:sz w:val="19"/>
        </w:rPr>
        <w:t>We believe that any of our product candidates approved as a biologic product under a BLA should qualify for the 12-year period of exclusivity. However, there is a risk that this exclusivity could be shortened or unavailable due to congressional action, a determination that approval of one of our candidates does not constitute “first licensure” or otherwise, or that the FDA will not consider our investigational medicines to be reference products for competing products, potentially creating the opportunity for generic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pStyle w:val="TextBody"/>
        <w:bidi w:val="0"/>
        <w:spacing w:before="120" w:after="283"/>
        <w:jc w:val="left"/>
        <w:rPr>
          <w:rFonts w:ascii="Arial" w:hAnsi="Arial"/>
          <w:color w:val="000000"/>
          <w:sz w:val="19"/>
        </w:rPr>
      </w:pPr>
      <w:r>
        <w:rPr>
          <w:rFonts w:ascii="Arial" w:hAnsi="Arial"/>
          <w:color w:val="000000"/>
          <w:sz w:val="19"/>
        </w:rPr>
        <w:t>If competitors are able to obtain marketing approval for biosimilars referencing our products, our products may become subject to competition from such biosimilars, with the attendant competitive pressure and consequences.</w:t>
      </w:r>
    </w:p>
    <w:p>
      <w:pPr>
        <w:pStyle w:val="TextBody"/>
        <w:bidi w:val="0"/>
        <w:spacing w:before="120" w:after="283"/>
        <w:jc w:val="left"/>
        <w:rPr>
          <w:rFonts w:ascii="Arial" w:hAnsi="Arial"/>
          <w:b/>
          <w:i/>
          <w:color w:val="000000"/>
          <w:sz w:val="19"/>
        </w:rPr>
      </w:pPr>
      <w:r>
        <w:rPr>
          <w:rFonts w:ascii="Arial" w:hAnsi="Arial"/>
          <w:b/>
          <w:i/>
          <w:color w:val="000000"/>
          <w:sz w:val="19"/>
        </w:rPr>
        <w:t>The size of the potential market for our product candidates is difficult to estimate and, if any of our assumptions are inaccurate, the actual markets for our product candidates may be smaller than our estimates.</w:t>
      </w:r>
    </w:p>
    <w:p>
      <w:pPr>
        <w:pStyle w:val="TextBody"/>
        <w:bidi w:val="0"/>
        <w:spacing w:before="120" w:after="283"/>
        <w:jc w:val="left"/>
        <w:rPr>
          <w:rFonts w:ascii="Arial" w:hAnsi="Arial"/>
          <w:color w:val="000000"/>
          <w:sz w:val="19"/>
        </w:rPr>
      </w:pPr>
      <w:r>
        <w:rPr>
          <w:rFonts w:ascii="Arial" w:hAnsi="Arial"/>
          <w:color w:val="000000"/>
          <w:sz w:val="19"/>
        </w:rPr>
        <w:t>Our current and future target patient populations are based on our beliefs and estimates regarding the incidence or prevalence of certain types of the indications that may be addressable by our product candidates, which is derived from a variety of sources, including scientific literature and surveys of clinics. Our projections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Further, the market opportunity for viral immunotherapies is hard to estimate given that it is an emerging field with few globally or FDA-approved therapies, none of which have yet to enjoy broad market acceptance. Even if we obtain significant market share for our product candidates, because the potential target populations could be small, we may never achieve profitability without obtaining regulatory approval for additional indications.</w:t>
      </w:r>
    </w:p>
    <w:p>
      <w:pPr>
        <w:pStyle w:val="TextBody"/>
        <w:bidi w:val="0"/>
        <w:spacing w:before="120" w:after="283"/>
        <w:jc w:val="left"/>
        <w:rPr>
          <w:rFonts w:ascii="Arial" w:hAnsi="Arial"/>
          <w:b/>
          <w:i/>
          <w:color w:val="000000"/>
          <w:sz w:val="19"/>
        </w:rPr>
      </w:pPr>
      <w:r>
        <w:rPr>
          <w:rFonts w:ascii="Arial" w:hAnsi="Arial"/>
          <w:b/>
          <w:i/>
          <w:color w:val="000000"/>
          <w:sz w:val="19"/>
        </w:rPr>
        <w:t>Healthcare reform measures may have a material adverse effect on our business and results of operations.</w:t>
      </w:r>
    </w:p>
    <w:p>
      <w:pPr>
        <w:pStyle w:val="TextBody"/>
        <w:bidi w:val="0"/>
        <w:spacing w:before="120" w:after="283"/>
        <w:jc w:val="left"/>
        <w:rPr>
          <w:rFonts w:ascii="Times New Roman" w:hAnsi="Times New Roman"/>
          <w:sz w:val="20"/>
        </w:rPr>
      </w:pPr>
      <w:r>
        <w:rPr>
          <w:rFonts w:ascii="Arial" w:hAnsi="Arial"/>
          <w:color w:val="000000"/>
          <w:sz w:val="19"/>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Among policy-makers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For more information on healthcare laws and regulations that may impact our company, see Part I, Item 1 “</w:t>
      </w:r>
      <w:r>
        <w:rPr>
          <w:rFonts w:ascii="Arial" w:hAnsi="Arial"/>
          <w:i/>
          <w:color w:val="000000"/>
          <w:sz w:val="19"/>
        </w:rPr>
        <w:t>Business – Health Reform</w:t>
      </w:r>
      <w:r>
        <w:rPr>
          <w:rFonts w:ascii="Times New Roman" w:hAnsi="Times New Roman"/>
          <w:color w:val="000000"/>
          <w:sz w:val="20"/>
        </w:rPr>
        <w:t xml:space="preserve">” </w:t>
      </w:r>
      <w:r>
        <w:rPr>
          <w:rFonts w:ascii="Arial" w:hAnsi="Arial"/>
          <w:color w:val="000000"/>
          <w:sz w:val="19"/>
        </w:rPr>
        <w:t>included in our Annual Report on Form 10-K for the year ended December 31, 2025.</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The continuing efforts of the government, insurance companies, managed care organizations and other payers of healthcare services to contain or reduce costs of healthcare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demand for any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ability to set a price that we believe is fair for any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ability to generate revenues and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level of taxes that we are required to pay;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availability of capital.</w:t>
      </w:r>
    </w:p>
    <w:p>
      <w:pPr>
        <w:pStyle w:val="TextBody"/>
        <w:bidi w:val="0"/>
        <w:spacing w:before="120" w:after="283"/>
        <w:jc w:val="left"/>
        <w:rPr>
          <w:rFonts w:ascii="Arial" w:hAnsi="Arial"/>
          <w:color w:val="000000"/>
          <w:sz w:val="19"/>
        </w:rPr>
      </w:pPr>
      <w:r>
        <w:rPr>
          <w:rFonts w:ascii="Arial" w:hAnsi="Arial"/>
          <w:color w:val="000000"/>
          <w:sz w:val="19"/>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For example, recent CMS proposals, including the Global Benchmark for Efficient Drug Pricing, the Guarding U.S. Medicare Against Rising Drug Costs, and the GENErating cost Reductions fOr U.S. Medicaid models, which seek to incorporate most-favored-nation (MFN) drug pricing into Medicare and Medicaid, could materially impact the Company’s revenue.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120" w:after="283"/>
        <w:jc w:val="left"/>
        <w:rPr>
          <w:rFonts w:ascii="Times New Roman" w:hAnsi="Times New Roman"/>
          <w:sz w:val="20"/>
        </w:rPr>
      </w:pPr>
      <w:r>
        <w:rPr>
          <w:rFonts w:ascii="Arial" w:hAnsi="Arial"/>
          <w:color w:val="000000"/>
          <w:sz w:val="19"/>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pStyle w:val="TextBody"/>
        <w:bidi w:val="0"/>
        <w:spacing w:before="120" w:after="283"/>
        <w:jc w:val="left"/>
        <w:rPr>
          <w:rFonts w:ascii="Arial" w:hAnsi="Arial"/>
          <w:b/>
          <w:i/>
          <w:color w:val="000000"/>
          <w:sz w:val="19"/>
        </w:rPr>
      </w:pPr>
      <w:r>
        <w:rPr>
          <w:rFonts w:ascii="Arial" w:hAnsi="Arial"/>
          <w:b/>
          <w:i/>
          <w:color w:val="000000"/>
          <w:sz w:val="19"/>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pStyle w:val="TextBody"/>
        <w:bidi w:val="0"/>
        <w:spacing w:before="120" w:after="283"/>
        <w:jc w:val="left"/>
        <w:rPr>
          <w:rFonts w:ascii="Arial" w:hAnsi="Arial"/>
          <w:color w:val="000000"/>
          <w:sz w:val="19"/>
        </w:rPr>
      </w:pPr>
      <w:r>
        <w:rPr>
          <w:rFonts w:ascii="Arial" w:hAnsi="Arial"/>
          <w:color w:val="000000"/>
          <w:sz w:val="19"/>
        </w:rPr>
        <w:t>We do not currently have a sales or marketing infrastructure and have limited experience in the sales, marketing, patient support or distribution of products.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pStyle w:val="TextBody"/>
        <w:bidi w:val="0"/>
        <w:spacing w:before="120" w:after="283"/>
        <w:jc w:val="left"/>
        <w:rPr>
          <w:rFonts w:ascii="Arial" w:hAnsi="Arial"/>
          <w:color w:val="000000"/>
          <w:sz w:val="19"/>
        </w:rPr>
      </w:pPr>
      <w:r>
        <w:rPr>
          <w:rFonts w:ascii="Arial" w:hAnsi="Arial"/>
          <w:color w:val="000000"/>
          <w:sz w:val="19"/>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before="120" w:after="283"/>
        <w:jc w:val="left"/>
        <w:rPr>
          <w:rFonts w:ascii="Arial" w:hAnsi="Arial"/>
          <w:color w:val="000000"/>
          <w:sz w:val="19"/>
        </w:rPr>
      </w:pPr>
      <w:r>
        <w:rPr>
          <w:rFonts w:ascii="Arial" w:hAnsi="Arial"/>
          <w:color w:val="000000"/>
          <w:sz w:val="19"/>
        </w:rPr>
        <w:t>Factors that may inhibit our efforts to commercialize our current or future product candidates on our own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inability to recruit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inability of sales personnel to obtain access to physicians or persuade adequate numbers of physicians to use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lack of complementary products to be offered by sales personnel, which may put us at a competitive disadvantage relative to companies with more extensive product lines;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unforeseen costs and expenses associated with creating an independent sales and marketing organization.</w:t>
      </w:r>
    </w:p>
    <w:p>
      <w:pPr>
        <w:pStyle w:val="TextBody"/>
        <w:bidi w:val="0"/>
        <w:spacing w:before="120" w:after="283"/>
        <w:jc w:val="left"/>
        <w:rPr>
          <w:rFonts w:ascii="Times New Roman" w:hAnsi="Times New Roman"/>
          <w:sz w:val="20"/>
        </w:rPr>
      </w:pPr>
      <w:r>
        <w:rPr>
          <w:rFonts w:ascii="Arial" w:hAnsi="Arial"/>
          <w:color w:val="000000"/>
          <w:sz w:val="19"/>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pStyle w:val="TextBody"/>
        <w:bidi w:val="0"/>
        <w:spacing w:before="120" w:after="283"/>
        <w:jc w:val="left"/>
        <w:rPr>
          <w:rFonts w:ascii="Arial" w:hAnsi="Arial"/>
          <w:b/>
          <w:i/>
          <w:color w:val="000000"/>
          <w:sz w:val="19"/>
        </w:rPr>
      </w:pPr>
      <w:r>
        <w:rPr>
          <w:rFonts w:ascii="Arial" w:hAnsi="Arial"/>
          <w:b/>
          <w:i/>
          <w:color w:val="000000"/>
          <w:sz w:val="19"/>
        </w:rPr>
        <w:t>If any product candidate for which we receive regulatory approval does not achieve broad market acceptance among physicians, patients, healthcare payors, and the medical community, the revenues that we generate from its sales will be limited.</w:t>
      </w:r>
    </w:p>
    <w:p>
      <w:pPr>
        <w:pStyle w:val="TextBody"/>
        <w:bidi w:val="0"/>
        <w:spacing w:before="120" w:after="283"/>
        <w:jc w:val="left"/>
        <w:rPr>
          <w:rFonts w:ascii="Arial" w:hAnsi="Arial"/>
          <w:color w:val="000000"/>
          <w:sz w:val="19"/>
        </w:rPr>
      </w:pPr>
      <w:r>
        <w:rPr>
          <w:rFonts w:ascii="Arial" w:hAnsi="Arial"/>
          <w:color w:val="000000"/>
          <w:sz w:val="19"/>
        </w:rPr>
        <w:t>Even if our product candidates receive regulatory approval, they may not gain market acceptance among physicians, patients, healthcare payors, and others in the medical community. Commercial success also will depend, in large part, on the coverage and reimbursement of our product candidates by third-party payors, including private insurance providers and government payors. For more information on healthcare laws and regulations that may impact our company, see the section titled Part I, Item 1, “Business — Coverage and Reimbursement” included in our Annual Report on Form 10-K for the year ended December 31, 2025.</w:t>
      </w:r>
    </w:p>
    <w:p>
      <w:pPr>
        <w:pStyle w:val="TextBody"/>
        <w:bidi w:val="0"/>
        <w:spacing w:before="120" w:after="283"/>
        <w:jc w:val="left"/>
        <w:rPr>
          <w:rFonts w:ascii="Arial" w:hAnsi="Arial"/>
          <w:color w:val="000000"/>
          <w:sz w:val="19"/>
        </w:rPr>
      </w:pPr>
      <w:r>
        <w:rPr>
          <w:rFonts w:ascii="Arial" w:hAnsi="Arial"/>
          <w:color w:val="000000"/>
          <w:sz w:val="19"/>
        </w:rPr>
        <w:t>The degree of market acceptance of any approved product would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efficacy, safety and tolerability as demonstrated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timing of market introduction of such product candidate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clinical indications for which the product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acceptance by physicians, major operators of cancer or neurology clinics and patients of the product as a safe, tolerable and effective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potential and perceived advantages of the product candidate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safety and tolerability of the product candidate in a broader patient group;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availability of adequate reimbursement by third party payors and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changes in regulatory requirements by government authorities for the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prevalence and severity of side effects and adverse events;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effectiveness of our sales and marketing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favorable or unfavorable publicity relating to the product or relating to the Company.</w:t>
      </w:r>
    </w:p>
    <w:p>
      <w:pPr>
        <w:pStyle w:val="TextBody"/>
        <w:bidi w:val="0"/>
        <w:spacing w:before="80" w:after="283"/>
        <w:jc w:val="left"/>
        <w:rPr>
          <w:rFonts w:ascii="Arial" w:hAnsi="Arial"/>
          <w:color w:val="000000"/>
          <w:sz w:val="19"/>
        </w:rPr>
      </w:pPr>
      <w:r>
        <w:rPr>
          <w:rFonts w:ascii="Arial" w:hAnsi="Arial"/>
          <w:color w:val="000000"/>
          <w:sz w:val="19"/>
        </w:rPr>
        <w:t>If any product candidate is approved but does not achieve an adequate level of acceptance by physicians, hospitals, healthcare payors and patients, we may not generate sufficient revenue from these products and we may not become profitable, which would have a material adverse effect on our business.</w:t>
      </w:r>
    </w:p>
    <w:p>
      <w:pPr>
        <w:pStyle w:val="TextBody"/>
        <w:bidi w:val="0"/>
        <w:spacing w:before="60" w:after="283"/>
        <w:jc w:val="left"/>
        <w:rPr>
          <w:rFonts w:ascii="Arial" w:hAnsi="Arial"/>
          <w:b/>
          <w:i/>
          <w:color w:val="000000"/>
          <w:sz w:val="19"/>
        </w:rPr>
      </w:pPr>
      <w:r>
        <w:rPr>
          <w:rFonts w:ascii="Arial" w:hAnsi="Arial"/>
          <w:b/>
          <w:i/>
          <w:color w:val="000000"/>
          <w:sz w:val="19"/>
        </w:rPr>
        <w:t>If we fail to develop additional product candidates, our commercial opportunity could be limited.</w:t>
      </w:r>
    </w:p>
    <w:p>
      <w:pPr>
        <w:pStyle w:val="TextBody"/>
        <w:bidi w:val="0"/>
        <w:spacing w:before="120" w:after="283"/>
        <w:jc w:val="left"/>
        <w:rPr>
          <w:rFonts w:ascii="Arial" w:hAnsi="Arial"/>
          <w:color w:val="000000"/>
          <w:sz w:val="19"/>
        </w:rPr>
      </w:pPr>
      <w:r>
        <w:rPr>
          <w:rFonts w:ascii="Arial" w:hAnsi="Arial"/>
          <w:color w:val="000000"/>
          <w:sz w:val="19"/>
        </w:rPr>
        <w:t>We expect initially to develop our most advanced product candidates, aglatimagene and linoserpaturev. A key part of our strategy, however, is to pursue clinical development of additional product candidates. Developing, obtaining marketing approval for, and 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pStyle w:val="TextBody"/>
        <w:bidi w:val="0"/>
        <w:spacing w:before="120" w:after="283"/>
        <w:jc w:val="left"/>
        <w:rPr>
          <w:rFonts w:ascii="Arial" w:hAnsi="Arial"/>
          <w:color w:val="000000"/>
          <w:sz w:val="19"/>
        </w:rPr>
      </w:pPr>
      <w:r>
        <w:rPr>
          <w:rFonts w:ascii="Arial" w:hAnsi="Arial"/>
          <w:color w:val="000000"/>
          <w:sz w:val="19"/>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pStyle w:val="TextBody"/>
        <w:bidi w:val="0"/>
        <w:spacing w:before="120" w:after="283"/>
        <w:jc w:val="left"/>
        <w:rPr>
          <w:rFonts w:ascii="Arial" w:hAnsi="Arial"/>
          <w:b/>
          <w:i/>
          <w:color w:val="000000"/>
          <w:sz w:val="19"/>
        </w:rPr>
      </w:pPr>
      <w:r>
        <w:rPr>
          <w:rFonts w:ascii="Arial" w:hAnsi="Arial"/>
          <w:b/>
          <w:i/>
          <w:color w:val="000000"/>
          <w:sz w:val="19"/>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pStyle w:val="TextBody"/>
        <w:bidi w:val="0"/>
        <w:spacing w:before="120" w:after="283"/>
        <w:jc w:val="left"/>
        <w:rPr>
          <w:rFonts w:ascii="Times New Roman" w:hAnsi="Times New Roman"/>
          <w:sz w:val="20"/>
        </w:rPr>
      </w:pPr>
      <w:r>
        <w:rPr>
          <w:rFonts w:ascii="Arial" w:hAnsi="Arial"/>
          <w:color w:val="000000"/>
          <w:sz w:val="19"/>
        </w:rPr>
        <w:t>Although we do not currently have any drugs on the market, if we begin commercializing our current or future product candidates, we will be subject to additional healthcare statutory and regulatory requirements and enforcement by the federal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government and the states and foreign governments in which we conduct our business. Healthcare providers, physicians and third-party payors play a primary role in the recommendation and prescription of any current or future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current or future product candidates for which we obtain marketing approval. For more information on healthcare laws and regulations that may impact our company, see the section titled Part I, Item 1, “Business — Other Healthcare Laws and Compliance Requirements” included in our Annual Report on Form 10-K for the year ended December 31, 2025.</w:t>
      </w:r>
    </w:p>
    <w:p>
      <w:pPr>
        <w:pStyle w:val="TextBody"/>
        <w:bidi w:val="0"/>
        <w:spacing w:before="120" w:after="283"/>
        <w:jc w:val="left"/>
        <w:rPr>
          <w:rFonts w:ascii="Arial" w:hAnsi="Arial"/>
          <w:color w:val="000000"/>
          <w:sz w:val="19"/>
        </w:rPr>
      </w:pPr>
      <w:r>
        <w:rPr>
          <w:rFonts w:ascii="Arial" w:hAnsi="Arial"/>
          <w:color w:val="000000"/>
          <w:sz w:val="19"/>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pStyle w:val="TextBody"/>
        <w:bidi w:val="0"/>
        <w:spacing w:before="120" w:after="283"/>
        <w:jc w:val="left"/>
        <w:rPr>
          <w:rFonts w:ascii="Arial" w:hAnsi="Arial"/>
          <w:b/>
          <w:i/>
          <w:color w:val="000000"/>
          <w:sz w:val="19"/>
        </w:rPr>
      </w:pPr>
      <w:r>
        <w:rPr>
          <w:rFonts w:ascii="Arial" w:hAnsi="Arial"/>
          <w:b/>
          <w:i/>
          <w:color w:val="000000"/>
          <w:sz w:val="19"/>
        </w:rPr>
        <w:t>We may face potential liability if we obtain identifiable patient health information from clinical trials sponsored by us.</w:t>
      </w:r>
    </w:p>
    <w:p>
      <w:pPr>
        <w:pStyle w:val="TextBody"/>
        <w:bidi w:val="0"/>
        <w:spacing w:before="120" w:after="283"/>
        <w:jc w:val="left"/>
        <w:rPr>
          <w:rFonts w:ascii="Arial" w:hAnsi="Arial"/>
          <w:color w:val="000000"/>
          <w:sz w:val="19"/>
        </w:rPr>
      </w:pPr>
      <w:r>
        <w:rPr>
          <w:rFonts w:ascii="Arial" w:hAnsi="Arial"/>
          <w:color w:val="000000"/>
          <w:sz w:val="19"/>
        </w:rPr>
        <w:t>Most healthcare providers, including certain research institutions from which we may obtain patient health information, are subject to privacy and security regulations promulgated under the Health Insurance Portability and Accountability Act (HIPAA), as amended by the Health Information Technology for Economic and Clinical Health Act.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pStyle w:val="TextBody"/>
        <w:bidi w:val="0"/>
        <w:spacing w:before="120" w:after="283"/>
        <w:jc w:val="left"/>
        <w:rPr>
          <w:rFonts w:ascii="Arial" w:hAnsi="Arial"/>
          <w:color w:val="000000"/>
          <w:sz w:val="19"/>
        </w:rPr>
      </w:pPr>
      <w:r>
        <w:rPr>
          <w:rFonts w:ascii="Arial" w:hAnsi="Arial"/>
          <w:color w:val="000000"/>
          <w:sz w:val="19"/>
        </w:rPr>
        <w:t>Foreign data protection laws, including the European Union’s General Data Protection Regulation (the EU GDPR), and the United Kingdom (or UK) equivalent of the same (the UK GDPR, together with the EU GDPR, the GDPR) may also apply to our processing of health-related and other personal data.</w:t>
      </w:r>
    </w:p>
    <w:p>
      <w:pPr>
        <w:pStyle w:val="TextBody"/>
        <w:bidi w:val="0"/>
        <w:spacing w:before="120" w:after="283"/>
        <w:jc w:val="left"/>
        <w:rPr>
          <w:rFonts w:ascii="Arial" w:hAnsi="Arial"/>
          <w:color w:val="000000"/>
          <w:sz w:val="19"/>
        </w:rPr>
      </w:pPr>
      <w:r>
        <w:rPr>
          <w:rFonts w:ascii="Arial" w:hAnsi="Arial"/>
          <w:color w:val="000000"/>
          <w:sz w:val="19"/>
        </w:rPr>
        <w:t>The GDPR imposes stringent requirements for controllers and processors of personal data of individuals within the European Economic Area (the EEA) or the UK. The GDPR applies to any company established in the EEA or UK as well as to those outside the EEA or UK if they collect and use personal data in connection with the offering of goods or services to individuals in the EEA or UK or the monitoring of their behavior. The GDPR, together with national legislation, regulations and guidelines of the EEA Member States and the UK governing the processing of personal data, impose strict obligations and restrictions on the ability to collect, analyze and transfer personal data, including health data from clinical trials and adverse event reporting. In particular, these obligations and restrictions concern relying on a legal basis or condition for the processing of personal data, where required obtaining the consent of the individuals to whom the personal data relates, the information provided to the individuals, the transfer of personal data out of the EEA or the UK,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pStyle w:val="TextBody"/>
        <w:bidi w:val="0"/>
        <w:spacing w:before="120" w:after="283"/>
        <w:jc w:val="left"/>
        <w:rPr>
          <w:rFonts w:ascii="Times New Roman" w:hAnsi="Times New Roman"/>
          <w:sz w:val="20"/>
        </w:rPr>
      </w:pPr>
      <w:r>
        <w:rPr>
          <w:rFonts w:ascii="Arial" w:hAnsi="Arial"/>
          <w:color w:val="000000"/>
          <w:sz w:val="19"/>
        </w:rPr>
        <w:t>The GDPR also imposes restrictions in relation to the international transfer of personal data from the EEA and UK and other countries in respect of which the European Commission or the UK government has not issued a so-called “adequacy decision” or “adequacy regulation” (known as “third countries”), unless the parties to the transfer have implemented specific safeguards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Arial" w:hAnsi="Arial"/>
          <w:color w:val="000000"/>
          <w:sz w:val="19"/>
        </w:rPr>
        <w:t>protect the transferred personal data. This includes putting in place the European Commission’s Standard Contractual Clauses for transfers outside of the EEA and a similar transfer mechanism for transfers of personal data outside of the UK, the International Data Transfer Agreement or Addendum (IDTA). Under both the EU GDPR and the UK GDPR, exporters are also required to assess the risk of the data transfer on a case-by-case basis, including an analysis of the laws in the destination country.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In July 2023, the European Commission adopted its adequacy decision for the EU-U.S. Data Privacy Framework (Framework), the successor of the EU-U.S. Privacy Shield framework, which the Court of Justice of the European Union invalidated in 2020. On the basis of the new adequacy decision, personal data can flow safely from the EU to U.S. companies participating in the Framework, without having to put in place additional data protection safeguards. However, the Framework has already been challenged in European courts, which may lead to its invalidation.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9"/>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19"/>
        </w:rPr>
        <w:t>In addition, in the United States, federal and state governments are increasingly passing stringent privacy laws. At the federal level, failing to take appropriate steps to keep consumers’ personal information secure may constitute unfair acts or practices in or affecting commerce in violation of Section 5(a) of the Federal Trade Commission (FTC)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Regulators and legislators in the United States are also increasingly scrutinizing and restricting certain personal information transfers and transactions involving foreign countries. For example, the Department of Justice’s January 8, 2025 rule on “Preventing Access to Americans’ Bulk Sensitive Personal Data and United States Government-Related Data by Countries of Concern”, prohibits data brokerage transactions involving certain sensitive personal information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r>
        <w:rPr>
          <w:rFonts w:ascii="Times New Roman" w:hAnsi="Times New Roman"/>
          <w:color w:val="000000"/>
          <w:sz w:val="20"/>
        </w:rPr>
        <w:t xml:space="preserve"> </w:t>
      </w:r>
    </w:p>
    <w:p>
      <w:pPr>
        <w:pStyle w:val="TextBody"/>
        <w:bidi w:val="0"/>
        <w:spacing w:before="0" w:after="120"/>
        <w:jc w:val="left"/>
        <w:rPr>
          <w:rFonts w:ascii="Arial" w:hAnsi="Arial"/>
          <w:color w:val="000000"/>
          <w:sz w:val="19"/>
        </w:rPr>
      </w:pPr>
      <w:r>
        <w:rPr>
          <w:rFonts w:ascii="Arial" w:hAnsi="Arial"/>
          <w:color w:val="000000"/>
          <w:sz w:val="19"/>
        </w:rPr>
        <w:t>In addition, numerous state laws govern privacy and security of personal information. For example, in California, the California Consumer Privacy Act (CCPA), as amended by the California Privacy Rights Act (CPRA) on January 1, 2023, established a comprehensive privacy framework for covered businesses by creating an expanded definition of personal information, established new individual privacy rights for California consumers (as defined in the law) and placed increased privacy and security obligations on entities handling personal data of consumers or households, including by creating a new and potentially severe statutory damages framework for violations of the CCPA and for businesses that fail to implement reasonable security procedures and practices to prevent data breaches. The CCPA requires covered companies to provide certain disclosures to consumers about its data collection, use and sharing practices, and to provide affected California residents with ways to opt-out of certain sales or transfers of personal information. While clinical trial data and information governed by HIPAA are currently exempt from the CCPA, other personal information we process may be subject to the law and possible changes to the CCPA may broaden its scope. Additionally, the amendments to the CCPA introduced by the CPRA have imposed additional obligations on companies covered by the legislation, including by expanding consumers’ rights with respect to certain sensitive personal information. In addition, CPRA also created a new state agency that is vested with authority to implement and enforce the CCPA. The effects of the CCPA may require us to modify our data collection or processing practices and policies and to incur substantial costs and expenses in an effort to comply with the legislation and decrease our potential exposure to regulatory enforcement and/or litigation.</w:t>
      </w:r>
    </w:p>
    <w:p>
      <w:pPr>
        <w:pStyle w:val="TextBody"/>
        <w:bidi w:val="0"/>
        <w:spacing w:before="0" w:after="120"/>
        <w:jc w:val="left"/>
        <w:rPr>
          <w:rFonts w:ascii="Times New Roman" w:hAnsi="Times New Roman"/>
          <w:sz w:val="20"/>
        </w:rPr>
      </w:pPr>
      <w:r>
        <w:rPr>
          <w:rFonts w:ascii="Arial" w:hAnsi="Arial"/>
          <w:color w:val="000000"/>
          <w:sz w:val="19"/>
        </w:rPr>
        <w:t>Similar laws have been passed and proposed in numerous other states.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 State laws are changing rapidly and there are discussions in the U.S. Congress of new comprehensive federal data privacy laws to which we could become subject to, if enacted.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The increasing number and complexity of regional, country and U.S. state data protection laws, and other changes in laws or regulations across the globe, especially those associated with the enhanced protection of certain types of sensitive data, such as healthcare data or other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Arial" w:hAnsi="Arial"/>
          <w:color w:val="000000"/>
          <w:sz w:val="19"/>
        </w:rPr>
        <w:t>personal information from our clinical trials, could lead to government enforcement actions and significant penalties against us and could have a material adverse effect on our business, financial condition or results of operations.</w:t>
      </w:r>
      <w:r>
        <w:rPr>
          <w:rFonts w:ascii="Times New Roman" w:hAnsi="Times New Roman"/>
          <w:color w:val="000000"/>
          <w:sz w:val="20"/>
        </w:rPr>
        <w:t xml:space="preserve"> </w:t>
      </w:r>
    </w:p>
    <w:p>
      <w:pPr>
        <w:pStyle w:val="TextBody"/>
        <w:bidi w:val="0"/>
        <w:spacing w:before="0" w:after="120"/>
        <w:jc w:val="left"/>
        <w:rPr>
          <w:rFonts w:ascii="Arial" w:hAnsi="Arial"/>
          <w:color w:val="000000"/>
          <w:sz w:val="19"/>
        </w:rPr>
      </w:pPr>
      <w:r>
        <w:rPr>
          <w:rFonts w:ascii="Arial" w:hAnsi="Arial"/>
          <w:color w:val="000000"/>
          <w:sz w:val="19"/>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For example, Washington’s My Health My Data Act, which became effective on March 31, 2024, regulates the collection, processing and sale of consumer health information and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pStyle w:val="TextBody"/>
        <w:bidi w:val="0"/>
        <w:spacing w:before="0" w:after="120"/>
        <w:jc w:val="left"/>
        <w:rPr>
          <w:rFonts w:ascii="Arial" w:hAnsi="Arial"/>
          <w:color w:val="000000"/>
          <w:sz w:val="19"/>
        </w:rPr>
      </w:pPr>
      <w:r>
        <w:rPr>
          <w:rFonts w:ascii="Arial" w:hAnsi="Arial"/>
          <w:color w:val="000000"/>
          <w:sz w:val="19"/>
        </w:rPr>
        <w:t>If we or third-party contract research organizations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w:t>
      </w:r>
    </w:p>
    <w:p>
      <w:pPr>
        <w:pStyle w:val="TextBody"/>
        <w:bidi w:val="0"/>
        <w:spacing w:before="0" w:after="120"/>
        <w:jc w:val="left"/>
        <w:rPr>
          <w:rFonts w:ascii="Arial" w:hAnsi="Arial"/>
          <w:color w:val="000000"/>
          <w:sz w:val="19"/>
        </w:rPr>
      </w:pPr>
      <w:r>
        <w:rPr>
          <w:rFonts w:ascii="Arial" w:hAnsi="Arial"/>
          <w:color w:val="000000"/>
          <w:sz w:val="19"/>
        </w:rPr>
        <w:t>Additionally, we are subject to other state and foreign equivalents of each of the healthcare laws described above, among others, some of which may be broader in scope and may apply regardless of the payor.</w:t>
      </w:r>
    </w:p>
    <w:p>
      <w:pPr>
        <w:pStyle w:val="TextBody"/>
        <w:bidi w:val="0"/>
        <w:jc w:val="left"/>
        <w:rPr>
          <w:rFonts w:ascii="Arial" w:hAnsi="Arial"/>
          <w:b/>
          <w:i/>
          <w:color w:val="000000"/>
          <w:sz w:val="19"/>
        </w:rPr>
      </w:pPr>
      <w:r>
        <w:rPr>
          <w:rFonts w:ascii="Arial" w:hAnsi="Arial"/>
          <w:b/>
          <w:i/>
          <w:color w:val="000000"/>
          <w:sz w:val="19"/>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pStyle w:val="TextBody"/>
        <w:bidi w:val="0"/>
        <w:spacing w:before="120" w:after="283"/>
        <w:jc w:val="left"/>
        <w:rPr>
          <w:rFonts w:ascii="Times New Roman" w:hAnsi="Times New Roman"/>
          <w:sz w:val="20"/>
        </w:rPr>
      </w:pPr>
      <w:r>
        <w:rPr>
          <w:rFonts w:ascii="Arial" w:hAnsi="Arial"/>
          <w:color w:val="000000"/>
          <w:sz w:val="19"/>
        </w:rPr>
        <w:t>We may use and integrate artificial intelligence (AI) into our business processes. Use of this technology presents risks and challenges that could affect our business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its adoption, and therefore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If we enable or use solutions that draw controversy due to perceived or actual negative societal impact, we may experience brand or reputational harm, competitive harm or legal liability. The use of certain artificial intelligence technology can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artificial intelligence tools.</w:t>
      </w:r>
    </w:p>
    <w:p>
      <w:pPr>
        <w:pStyle w:val="TextBody"/>
        <w:bidi w:val="0"/>
        <w:spacing w:before="120" w:after="283"/>
        <w:jc w:val="left"/>
        <w:rPr>
          <w:rFonts w:ascii="Times New Roman" w:hAnsi="Times New Roman"/>
          <w:sz w:val="20"/>
        </w:rPr>
      </w:pPr>
      <w:r>
        <w:rPr>
          <w:rFonts w:ascii="Arial" w:hAnsi="Arial"/>
          <w:color w:val="000000"/>
          <w:sz w:val="19"/>
        </w:rPr>
        <w:t>Additionally, we expect to see increasing government and supranational regulation related to artificial intelligence use and ethics, which may also significantly increase the burden and cost of research, development and compliance in this area. 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This legislation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 Likewise, 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Intelligence.” So far, these efforts have not been successful at curtailing state action on AI regulation, contributing to a complicated legislative patchwork, which may be litigated in state and federal courts. If we develop or use AI systems that are governed by these laws or regulations, we will need to meet higher standards of data quality, transparency, and human oversight, and we would need to adhere to specific and potentially burdensome and costly ethical, accountability, and administrative requirements. We may also be subject to significant enforcement or litigation in the event of any perceived non-compliance.</w:t>
      </w:r>
    </w:p>
    <w:p>
      <w:pPr>
        <w:pStyle w:val="TextBody"/>
        <w:bidi w:val="0"/>
        <w:spacing w:before="120" w:after="283"/>
        <w:jc w:val="left"/>
        <w:rPr>
          <w:rFonts w:ascii="Arial" w:hAnsi="Arial"/>
          <w:color w:val="000000"/>
          <w:sz w:val="19"/>
        </w:rPr>
      </w:pPr>
      <w:r>
        <w:rPr>
          <w:rFonts w:ascii="Arial" w:hAnsi="Arial"/>
          <w:color w:val="000000"/>
          <w:sz w:val="19"/>
        </w:rPr>
        <w:t>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pStyle w:val="TextBody"/>
        <w:bidi w:val="0"/>
        <w:spacing w:before="120" w:after="283"/>
        <w:jc w:val="left"/>
        <w:rPr>
          <w:rFonts w:ascii="Arial" w:hAnsi="Arial"/>
          <w:b/>
          <w:i/>
          <w:color w:val="000000"/>
          <w:sz w:val="19"/>
        </w:rPr>
      </w:pPr>
      <w:r>
        <w:rPr>
          <w:rFonts w:ascii="Arial" w:hAnsi="Arial"/>
          <w:b/>
          <w:i/>
          <w:color w:val="000000"/>
          <w:sz w:val="19"/>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Arial" w:hAnsi="Arial"/>
          <w:color w:val="000000"/>
          <w:sz w:val="19"/>
        </w:rPr>
      </w:pPr>
      <w:r>
        <w:rPr>
          <w:rFonts w:ascii="Arial" w:hAnsi="Arial"/>
          <w:color w:val="000000"/>
          <w:sz w:val="19"/>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120" w:after="283"/>
        <w:jc w:val="left"/>
        <w:rPr>
          <w:rFonts w:ascii="Arial" w:hAnsi="Arial"/>
          <w:color w:val="000000"/>
          <w:sz w:val="19"/>
        </w:rPr>
      </w:pPr>
      <w:r>
        <w:rPr>
          <w:rFonts w:ascii="Arial" w:hAnsi="Arial"/>
          <w:color w:val="000000"/>
          <w:sz w:val="19"/>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160" w:after="283"/>
        <w:jc w:val="left"/>
        <w:rPr>
          <w:rFonts w:ascii="Arial" w:hAnsi="Arial"/>
          <w:b/>
          <w:color w:val="000000"/>
          <w:sz w:val="19"/>
        </w:rPr>
      </w:pPr>
      <w:r>
        <w:rPr>
          <w:rFonts w:ascii="Arial" w:hAnsi="Arial"/>
          <w:b/>
          <w:color w:val="000000"/>
          <w:sz w:val="19"/>
        </w:rPr>
        <w:t>Risks Related to Employee Matters, Managing Growth and General Business Operations</w:t>
      </w:r>
    </w:p>
    <w:p>
      <w:pPr>
        <w:pStyle w:val="TextBody"/>
        <w:bidi w:val="0"/>
        <w:spacing w:before="120" w:after="283"/>
        <w:jc w:val="left"/>
        <w:rPr>
          <w:rFonts w:ascii="Arial" w:hAnsi="Arial"/>
          <w:b/>
          <w:i/>
          <w:color w:val="000000"/>
          <w:sz w:val="19"/>
        </w:rPr>
      </w:pPr>
      <w:r>
        <w:rPr>
          <w:rFonts w:ascii="Arial" w:hAnsi="Arial"/>
          <w:b/>
          <w:i/>
          <w:color w:val="000000"/>
          <w:sz w:val="19"/>
        </w:rPr>
        <w:t>Any future public health crisis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any future public health crisis may cause substantial disruption in the financial markets and may adversely impact economies worldwide, both of which could result in adverse effects on our business, operations and ability to raise capital.</w:t>
      </w:r>
    </w:p>
    <w:p>
      <w:pPr>
        <w:pStyle w:val="TextBody"/>
        <w:bidi w:val="0"/>
        <w:spacing w:before="120" w:after="283"/>
        <w:jc w:val="left"/>
        <w:rPr>
          <w:rFonts w:ascii="Arial" w:hAnsi="Arial"/>
          <w:color w:val="000000"/>
          <w:sz w:val="19"/>
        </w:rPr>
      </w:pPr>
      <w:r>
        <w:rPr>
          <w:rFonts w:ascii="Arial" w:hAnsi="Arial"/>
          <w:color w:val="000000"/>
          <w:sz w:val="19"/>
        </w:rPr>
        <w:t>Any future public health crisis may cause governments to implement measures to slow the spread of the public health crisis through quarantines, travel restrictions, heightened border scrutiny and other measures. Government measures taken in response to any future public health crisis may also have a significant impact, both directly and indirectly, on businesses and commerce, as worker shortages may occur; supply chains may be disrupted; facilities and production may be suspended; and demand for certain goods and services, such as medical services and supplies, may spike, while demand for other goods and services, such as travel may fall. The extent to which any future public health crisis may in the future have an impact on our operations or those of the third parties on which we rely depends on many factors, which are highly uncertain and cannot be predicted with confidence. Additionally, the conduct of our clinical trials, preclinical studies and manufacturing activities is dependent upon the availability of clinical trial sites, CROs, CDMOs, researchers and investigators, regulatory agency personnel and logistics providers, all of which may in the future be adversely affected by any future public health crisis.</w:t>
      </w:r>
    </w:p>
    <w:p>
      <w:pPr>
        <w:pStyle w:val="TextBody"/>
        <w:bidi w:val="0"/>
        <w:spacing w:before="120" w:after="283"/>
        <w:jc w:val="left"/>
        <w:rPr>
          <w:rFonts w:ascii="Arial" w:hAnsi="Arial"/>
          <w:color w:val="000000"/>
          <w:sz w:val="19"/>
        </w:rPr>
      </w:pPr>
      <w:r>
        <w:rPr>
          <w:rFonts w:ascii="Arial" w:hAnsi="Arial"/>
          <w:color w:val="000000"/>
          <w:sz w:val="19"/>
        </w:rPr>
        <w:t>Any negative impact that any future public health crisis may have on enrolling or retaining patients in our clinical trials, the ability of our suppliers to provide materials for our product candidates, or the regulatory review process could cause delays with respect to product development activities, which could materially and adversely affect our ability to obtain marketing approval for and to commercialize our product candidates, increase our operating expenses, affect our ability to raise additional capital, and have a material adverse effect on our financial results.</w:t>
      </w:r>
    </w:p>
    <w:p>
      <w:pPr>
        <w:pStyle w:val="TextBody"/>
        <w:bidi w:val="0"/>
        <w:spacing w:before="120" w:after="283"/>
        <w:jc w:val="left"/>
        <w:rPr>
          <w:rFonts w:ascii="Arial" w:hAnsi="Arial"/>
          <w:color w:val="000000"/>
          <w:sz w:val="19"/>
        </w:rPr>
      </w:pPr>
      <w:r>
        <w:rPr>
          <w:rFonts w:ascii="Arial" w:hAnsi="Arial"/>
          <w:color w:val="000000"/>
          <w:sz w:val="19"/>
        </w:rPr>
        <w:t>Any future public health crisis may cause disruptions in the future, which could adversely impact our ability to raise additional funds through public offerings or private placements and may also impact the volatility of our stock price and trading in our stock. Moreover, it is possible that any future public health crisis could impact economies worldwide, which could result in adverse effects on our business and operations.</w:t>
      </w:r>
    </w:p>
    <w:p>
      <w:pPr>
        <w:pStyle w:val="TextBody"/>
        <w:bidi w:val="0"/>
        <w:spacing w:before="120" w:after="283"/>
        <w:jc w:val="left"/>
        <w:rPr>
          <w:rFonts w:ascii="Arial" w:hAnsi="Arial"/>
          <w:b/>
          <w:i/>
          <w:color w:val="000000"/>
          <w:sz w:val="19"/>
        </w:rPr>
      </w:pPr>
      <w:r>
        <w:rPr>
          <w:rFonts w:ascii="Arial" w:hAnsi="Arial"/>
          <w:b/>
          <w:i/>
          <w:color w:val="000000"/>
          <w:sz w:val="19"/>
        </w:rPr>
        <w:t>Our future success depends on our ability to retain key executives and to attract, retain and motivate qualified personnel.</w:t>
      </w:r>
    </w:p>
    <w:p>
      <w:pPr>
        <w:pStyle w:val="TextBody"/>
        <w:bidi w:val="0"/>
        <w:spacing w:before="120" w:after="283"/>
        <w:jc w:val="left"/>
        <w:rPr>
          <w:rFonts w:ascii="Times New Roman" w:hAnsi="Times New Roman"/>
          <w:sz w:val="20"/>
        </w:rPr>
      </w:pPr>
      <w:r>
        <w:rPr>
          <w:rFonts w:ascii="Arial" w:hAnsi="Arial"/>
          <w:color w:val="000000"/>
          <w:sz w:val="19"/>
        </w:rPr>
        <w:t>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certain of our executive officers, each of them may terminate their employment with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us at any time. We do not maintain “key person” insurance for any of our executives or other employees. Recruiting and retaining qualified scientific, clinical, manufacturing, accounting, legal and sales and marketing personnel will also be critical to our success.</w:t>
      </w:r>
    </w:p>
    <w:p>
      <w:pPr>
        <w:pStyle w:val="TextBody"/>
        <w:bidi w:val="0"/>
        <w:spacing w:before="120" w:after="283"/>
        <w:jc w:val="left"/>
        <w:rPr>
          <w:rFonts w:ascii="Arial" w:hAnsi="Arial"/>
          <w:color w:val="000000"/>
          <w:sz w:val="19"/>
        </w:rPr>
      </w:pPr>
      <w:r>
        <w:rPr>
          <w:rFonts w:ascii="Arial" w:hAnsi="Arial"/>
          <w:color w:val="000000"/>
          <w:sz w:val="19"/>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continuing to implement and maintain internal controls and the accuracy and timeliness of our financial reporting. If we are unable to continue to attract and retain high quality personnel, our ability to pursue our growth strategy will be limited.</w:t>
      </w:r>
    </w:p>
    <w:p>
      <w:pPr>
        <w:pStyle w:val="TextBody"/>
        <w:bidi w:val="0"/>
        <w:spacing w:before="120" w:after="283"/>
        <w:jc w:val="left"/>
        <w:rPr>
          <w:rFonts w:ascii="Arial" w:hAnsi="Arial"/>
          <w:b/>
          <w:i/>
          <w:color w:val="000000"/>
          <w:sz w:val="19"/>
        </w:rPr>
      </w:pPr>
      <w:r>
        <w:rPr>
          <w:rFonts w:ascii="Arial" w:hAnsi="Arial"/>
          <w:b/>
          <w:i/>
          <w:color w:val="000000"/>
          <w:sz w:val="19"/>
        </w:rPr>
        <w:t>We expect to expand our development, manufacturing and regulatory capabilities and potentially implement sales, marketing and distribution capabilities, and as a result, we may encounter difficulties in managing our growth, which could disrupt our operations.</w:t>
      </w:r>
    </w:p>
    <w:p>
      <w:pPr>
        <w:pStyle w:val="TextBody"/>
        <w:bidi w:val="0"/>
        <w:spacing w:before="120" w:after="283"/>
        <w:jc w:val="left"/>
        <w:rPr>
          <w:rFonts w:ascii="Arial" w:hAnsi="Arial"/>
          <w:color w:val="000000"/>
          <w:sz w:val="19"/>
        </w:rPr>
      </w:pPr>
      <w:r>
        <w:rPr>
          <w:rFonts w:ascii="Arial" w:hAnsi="Arial"/>
          <w:color w:val="000000"/>
          <w:sz w:val="19"/>
        </w:rPr>
        <w:t>As we seek to advance our product candidates through clinical trials and commercialization, we will need to expand our development, regulatory, manufacturing, marketing and sales capabilities or contract with third parties to provide these capabilities. We expect the number of our employees and the scope of our operations to grow, particularly in the areas of drug development, clinical, regulatory affairs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120" w:after="283"/>
        <w:jc w:val="left"/>
        <w:rPr>
          <w:rFonts w:ascii="Arial" w:hAnsi="Arial"/>
          <w:b/>
          <w:i/>
          <w:color w:val="000000"/>
          <w:sz w:val="19"/>
        </w:rPr>
      </w:pPr>
      <w:r>
        <w:rPr>
          <w:rFonts w:ascii="Arial" w:hAnsi="Arial"/>
          <w:b/>
          <w:i/>
          <w:color w:val="000000"/>
          <w:sz w:val="19"/>
        </w:rPr>
        <w:t>The increasing use of social media platforms presents new risks and challenges.</w:t>
      </w:r>
    </w:p>
    <w:p>
      <w:pPr>
        <w:pStyle w:val="TextBody"/>
        <w:bidi w:val="0"/>
        <w:spacing w:before="120" w:after="283"/>
        <w:jc w:val="left"/>
        <w:rPr>
          <w:rFonts w:ascii="Arial" w:hAnsi="Arial"/>
          <w:color w:val="000000"/>
          <w:sz w:val="19"/>
        </w:rPr>
      </w:pPr>
      <w:r>
        <w:rPr>
          <w:rFonts w:ascii="Arial" w:hAnsi="Arial"/>
          <w:color w:val="000000"/>
          <w:sz w:val="19"/>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candidates or products. If any of these events were to occur or we otherwise fail to comply with applicable regulations, we could incur liability, face regulatory actions or incur other harm to our business.</w:t>
      </w:r>
    </w:p>
    <w:p>
      <w:pPr>
        <w:pStyle w:val="TextBody"/>
        <w:bidi w:val="0"/>
        <w:spacing w:before="120" w:after="283"/>
        <w:jc w:val="left"/>
        <w:rPr>
          <w:rFonts w:ascii="Arial" w:hAnsi="Arial"/>
          <w:b/>
          <w:i/>
          <w:color w:val="000000"/>
          <w:sz w:val="19"/>
        </w:rPr>
      </w:pPr>
      <w:r>
        <w:rPr>
          <w:rFonts w:ascii="Arial" w:hAnsi="Arial"/>
          <w:b/>
          <w:i/>
          <w:color w:val="000000"/>
          <w:sz w:val="19"/>
        </w:rPr>
        <w:t>Our internal computer systems, or those of our third-party CROs that we may use in the future, or other contractors or consultants, may fail or suffer cybersecurity incidents or data breaches, which could result in a material disruption of our product candidates’ development programs.</w:t>
      </w:r>
    </w:p>
    <w:p>
      <w:pPr>
        <w:pStyle w:val="TextBody"/>
        <w:bidi w:val="0"/>
        <w:spacing w:before="120" w:after="120"/>
        <w:jc w:val="left"/>
        <w:rPr>
          <w:rFonts w:ascii="Times New Roman" w:hAnsi="Times New Roman"/>
          <w:sz w:val="20"/>
        </w:rPr>
      </w:pPr>
      <w:r>
        <w:rPr>
          <w:rFonts w:ascii="Arial" w:hAnsi="Arial"/>
          <w:color w:val="000000"/>
          <w:sz w:val="19"/>
        </w:rPr>
        <w:t>Despite our implementation of security measures, our internal computer systems, and those of our CROs that we may use in the future, information technology suppliers and other contractors and consultants are vulnerable to damage from computer viruses, cyberattacks and other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data breach or cybersecurity incident were to result in a loss of or damage to our data or applications, or inappropriate disclosure of personal, confidential or proprietary information, we could incur liability and the further development of any of our product candidates could be delayed. Our contracts may not contain limitations of liability,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Arial" w:hAnsi="Arial"/>
          <w:color w:val="000000"/>
          <w:sz w:val="19"/>
        </w:rPr>
      </w:pPr>
      <w:r>
        <w:rPr>
          <w:rFonts w:ascii="Arial" w:hAnsi="Arial"/>
          <w:color w:val="000000"/>
          <w:sz w:val="19"/>
        </w:rPr>
        <w:t>even where they do, there can be no assurance that limitations of liability in our contracts are sufficient to protect us from liabilities, damages, or claims related to our privacy and data security obligations. In addition, our liability and cyber insurance may not be sufficient in type or amount to cover us against claims related to cybersecurity incidents, cyber-attacks or other related liabilities, including data breaches.</w:t>
      </w:r>
    </w:p>
    <w:p>
      <w:pPr>
        <w:pStyle w:val="TextBody"/>
        <w:bidi w:val="0"/>
        <w:jc w:val="left"/>
        <w:rPr>
          <w:rFonts w:ascii="Arial" w:hAnsi="Arial"/>
          <w:color w:val="000000"/>
          <w:sz w:val="19"/>
        </w:rPr>
      </w:pPr>
      <w:r>
        <w:rPr>
          <w:rFonts w:ascii="Arial" w:hAnsi="Arial"/>
          <w:color w:val="000000"/>
          <w:sz w:val="19"/>
        </w:rPr>
        <w:t>Cyberattacks are increasing in their frequency, sophistication, and intensity, and are becoming increasingly difficult to detect. They are often carried out by well-resourced and skilled parties, including nation states, organized crime groups, “hacktivists” and may also be carried out by employees or contractors unwittingly or acting with malicious intent. Cyber-attacks include the theft, fraud, and subsequent misuse of employee credentials, wrongful conduct by insider employees or vendors, deployment of harmful malware and key loggers, ransomware, denial-of-service attacks, malicious websites, business email compromises, computer malware, malicious codes, viruses, breakdown, wrongful intrusions, data breaches, the use of social engineering (including phishing attacks),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breach or cybersecurity incident. Attempts to disrupt or gain unauthorized access to our and our third-party service providers’ information systems from malicious third parties or insider threats may incorporate widely varying and frequently changing tactics, which may be enhanced or facilitated by AI. Our business partners face similar risks, and any cybersecurity incident or data breach related to their systems could adversely affect our security or the security of our systems or data.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a cyber attack is increased with employees working remotely. Remote work increases the risk we may be vulnerable to cybersecurity-related events such as phishing attacks and other security threats.</w:t>
      </w:r>
    </w:p>
    <w:p>
      <w:pPr>
        <w:pStyle w:val="TextBody"/>
        <w:bidi w:val="0"/>
        <w:spacing w:before="120" w:after="283"/>
        <w:jc w:val="left"/>
        <w:rPr>
          <w:rFonts w:ascii="Times New Roman" w:hAnsi="Times New Roman"/>
          <w:sz w:val="20"/>
        </w:rPr>
      </w:pPr>
      <w:r>
        <w:rPr>
          <w:rFonts w:ascii="Arial" w:hAnsi="Arial"/>
          <w:color w:val="000000"/>
          <w:sz w:val="19"/>
        </w:rPr>
        <w:t>Like other companies in our industry, we, and our third party vendors, have experienced threats and cybersecurity incidents relating to our information technology systems and infrastructure. Although we develop and maintain systems and controls designed to prevent these events from occurring,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cybersecurity incident, data breach, industrial espionage attacks or insider threat attacks which could result in financial, legal, business or reputational harm.</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If a cybersecurity incident or data breach related to our information technology systems or those of our vendors occurs, the market perception of the effectiveness of our cybersecurity measures could be harmed and our reputation and credibility could be damaged. We could be required to expend significant amounts of money and other resources to repair or replace information systems or networks, including costs to deploy additional personnel and protection technologies, train employees, and engage third-party experts and consultants, which could materially and adversely affect our business, financial condition and results of operations. In addition, we could be required to notify relevant stakeholders (including affected individuals, investors and regulators). We could also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w:t>
      </w:r>
    </w:p>
    <w:p>
      <w:pPr>
        <w:pStyle w:val="TextBody"/>
        <w:bidi w:val="0"/>
        <w:spacing w:before="120" w:after="283"/>
        <w:jc w:val="left"/>
        <w:rPr>
          <w:rFonts w:ascii="Arial" w:hAnsi="Arial"/>
          <w:b/>
          <w:i/>
          <w:color w:val="000000"/>
          <w:sz w:val="19"/>
        </w:rPr>
      </w:pPr>
      <w:r>
        <w:rPr>
          <w:rFonts w:ascii="Arial" w:hAnsi="Arial"/>
          <w:b/>
          <w:i/>
          <w:color w:val="000000"/>
          <w:sz w:val="19"/>
        </w:rPr>
        <w:t>Our operations or those of the third parties upon whom we depend might be affected by the occurrence of a natural disaster, pandemic, war or other catastrophic event.</w:t>
      </w:r>
    </w:p>
    <w:p>
      <w:pPr>
        <w:pStyle w:val="TextBody"/>
        <w:bidi w:val="0"/>
        <w:spacing w:before="120" w:after="283"/>
        <w:jc w:val="left"/>
        <w:rPr>
          <w:rFonts w:ascii="Arial" w:hAnsi="Arial"/>
          <w:color w:val="000000"/>
          <w:sz w:val="19"/>
        </w:rPr>
      </w:pPr>
      <w:r>
        <w:rPr>
          <w:rFonts w:ascii="Arial" w:hAnsi="Arial"/>
          <w:color w:val="000000"/>
          <w:sz w:val="19"/>
        </w:rPr>
        <w:t>We depend on our employees and consultants, CDMOs and CROs that we may use in the future,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attacks, pandemics, wars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geopolitical events (such as the recent U.S. and Israeli military action in Iran and effects thereof, the Russia-Ukraine conflict, the Israel-Hamas conflict, as well as the implementation of, or changes to or further expansions of, trade sanctions, export restrictions, tariffs, and embargoes), the escalation of hostilities and acts of terrorism or other “acts of God,” particularly involving cities in which we have offices, manufacturing or clinical trial sites, could adversely affect our businesses. The effects of disruptive events could affect the global economy and financial and commodities markets in ways that cannot necessarily be foreseen at the present time.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CDMOs or CROs, regulatory agencies or other parties with which we are engaged could have a significant negative impact on our operations and financial performance.</w:t>
      </w:r>
    </w:p>
    <w:p>
      <w:pPr>
        <w:pStyle w:val="TextBody"/>
        <w:bidi w:val="0"/>
        <w:spacing w:before="120" w:after="283"/>
        <w:jc w:val="left"/>
        <w:rPr>
          <w:rFonts w:ascii="Arial" w:hAnsi="Arial"/>
          <w:b/>
          <w:i/>
          <w:color w:val="000000"/>
          <w:sz w:val="19"/>
        </w:rPr>
      </w:pPr>
      <w:r>
        <w:rPr>
          <w:rFonts w:ascii="Arial" w:hAnsi="Arial"/>
          <w:b/>
          <w:i/>
          <w:color w:val="000000"/>
          <w:sz w:val="19"/>
        </w:rPr>
        <w:t>Our disclosure controls and procedures may not prevent or detect all errors or acts of fraud.</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120" w:after="283"/>
        <w:jc w:val="left"/>
        <w:rPr>
          <w:rFonts w:ascii="Arial" w:hAnsi="Arial"/>
          <w:b/>
          <w:i/>
          <w:color w:val="000000"/>
          <w:sz w:val="19"/>
        </w:rPr>
      </w:pPr>
      <w:r>
        <w:rPr>
          <w:rFonts w:ascii="Arial" w:hAnsi="Arial"/>
          <w:b/>
          <w:i/>
          <w:color w:val="000000"/>
          <w:sz w:val="19"/>
        </w:rPr>
        <w:t>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 and the market price of our common stock.</w:t>
      </w:r>
    </w:p>
    <w:p>
      <w:pPr>
        <w:pStyle w:val="TextBody"/>
        <w:bidi w:val="0"/>
        <w:spacing w:before="120" w:after="283"/>
        <w:jc w:val="left"/>
        <w:rPr>
          <w:rFonts w:ascii="Times New Roman" w:hAnsi="Times New Roman"/>
          <w:sz w:val="20"/>
        </w:rPr>
      </w:pPr>
      <w:r>
        <w:rPr>
          <w:rFonts w:ascii="Arial" w:hAnsi="Arial"/>
          <w:color w:val="000000"/>
          <w:sz w:val="19"/>
        </w:rPr>
        <w:t>We are subject to the requirements of the Sarbanes-Oxley Act and the applicable SEC rules and regulations that require an annual management report on our internal control over financial reporting.</w:t>
      </w:r>
      <w:r>
        <w:rPr>
          <w:rFonts w:ascii="Times New Roman" w:hAnsi="Times New Roman"/>
          <w:color w:val="000000"/>
          <w:sz w:val="20"/>
        </w:rPr>
        <w:t xml:space="preserve"> </w:t>
      </w:r>
      <w:r>
        <w:rPr>
          <w:rFonts w:ascii="Arial" w:hAnsi="Arial"/>
          <w:color w:val="000000"/>
          <w:sz w:val="19"/>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120" w:after="283"/>
        <w:jc w:val="left"/>
        <w:rPr>
          <w:rFonts w:ascii="Arial" w:hAnsi="Arial"/>
          <w:color w:val="000000"/>
          <w:sz w:val="19"/>
        </w:rPr>
      </w:pPr>
      <w:r>
        <w:rPr>
          <w:rFonts w:ascii="Arial" w:hAnsi="Arial"/>
          <w:color w:val="000000"/>
          <w:sz w:val="19"/>
        </w:rPr>
        <w:t>We cannot assure you that we will not identify material weaknesses in our internal control over financial reporting. In addition, our independent registered public accounting firm has not performed an evaluation of our internal control over financial reporting in accordance with the provisions of the SOX Act because no such evaluation has been required. Had our independent registered public accounting firm performed an evaluation of our internal control over financial reporting in accordance with the provisions of the SOX Act, one or more material weaknesses may have been identified. If future material weaknesses are identified in our internal control over financial reporting, or if we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pStyle w:val="TextBody"/>
        <w:bidi w:val="0"/>
        <w:spacing w:before="120" w:after="283"/>
        <w:jc w:val="left"/>
        <w:rPr>
          <w:rFonts w:ascii="Arial" w:hAnsi="Arial"/>
          <w:b/>
          <w:i/>
          <w:color w:val="000000"/>
          <w:sz w:val="19"/>
        </w:rPr>
      </w:pPr>
      <w:r>
        <w:rPr>
          <w:rFonts w:ascii="Arial" w:hAnsi="Arial"/>
          <w:b/>
          <w:i/>
          <w:color w:val="000000"/>
          <w:sz w:val="19"/>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120" w:after="283"/>
        <w:jc w:val="left"/>
        <w:rPr>
          <w:rFonts w:ascii="Arial" w:hAnsi="Arial"/>
          <w:color w:val="000000"/>
          <w:sz w:val="19"/>
        </w:rPr>
      </w:pPr>
      <w:r>
        <w:rPr>
          <w:rFonts w:ascii="Arial" w:hAnsi="Arial"/>
          <w:color w:val="000000"/>
          <w:sz w:val="19"/>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pStyle w:val="TextBody"/>
        <w:bidi w:val="0"/>
        <w:spacing w:before="120" w:after="283"/>
        <w:jc w:val="left"/>
        <w:rPr>
          <w:rFonts w:ascii="Arial" w:hAnsi="Arial"/>
          <w:color w:val="000000"/>
          <w:sz w:val="19"/>
        </w:rPr>
      </w:pPr>
      <w:r>
        <w:rPr>
          <w:rFonts w:ascii="Arial" w:hAnsi="Arial"/>
          <w:color w:val="000000"/>
          <w:sz w:val="19"/>
        </w:rPr>
        <w:t>We are required to disclose changes made in our internal controls and procedures on a quarterly basis and our management are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Our assessment of internal controls and procedures may not detect material weaknesses in our internal control over financial reporting. Material weaknesses in our internal control over financial reporting may go undetected and could lead to financial statement restatements and require us to incur the expense of remediation, which could have a negative effect on the trading price of our stock.</w:t>
      </w:r>
    </w:p>
    <w:p>
      <w:pPr>
        <w:pStyle w:val="TextBody"/>
        <w:bidi w:val="0"/>
        <w:spacing w:before="160" w:after="283"/>
        <w:jc w:val="left"/>
        <w:rPr>
          <w:rFonts w:ascii="Arial" w:hAnsi="Arial"/>
          <w:b/>
          <w:color w:val="000000"/>
          <w:sz w:val="19"/>
        </w:rPr>
      </w:pPr>
      <w:r>
        <w:rPr>
          <w:rFonts w:ascii="Arial" w:hAnsi="Arial"/>
          <w:b/>
          <w:color w:val="000000"/>
          <w:sz w:val="19"/>
        </w:rPr>
        <w:t>Risks Related to Legal and Compliance Matters</w:t>
      </w:r>
    </w:p>
    <w:p>
      <w:pPr>
        <w:pStyle w:val="TextBody"/>
        <w:bidi w:val="0"/>
        <w:spacing w:before="120" w:after="283"/>
        <w:jc w:val="left"/>
        <w:rPr>
          <w:rFonts w:ascii="Arial" w:hAnsi="Arial"/>
          <w:b/>
          <w:i/>
          <w:color w:val="000000"/>
          <w:sz w:val="19"/>
        </w:rPr>
      </w:pPr>
      <w:r>
        <w:rPr>
          <w:rFonts w:ascii="Arial" w:hAnsi="Arial"/>
          <w:b/>
          <w:i/>
          <w:color w:val="000000"/>
          <w:sz w:val="19"/>
        </w:rPr>
        <w:t>We face potential product liability exposure, and if successful claims are brought against us, we may incur substantial liability and have to limit the commercialization of any approved products and/or our product candidates.</w:t>
      </w:r>
    </w:p>
    <w:p>
      <w:pPr>
        <w:pStyle w:val="TextBody"/>
        <w:bidi w:val="0"/>
        <w:spacing w:before="120" w:after="283"/>
        <w:jc w:val="left"/>
        <w:rPr>
          <w:rFonts w:ascii="Times New Roman" w:hAnsi="Times New Roman"/>
          <w:sz w:val="20"/>
        </w:rPr>
      </w:pPr>
      <w:r>
        <w:rPr>
          <w:rFonts w:ascii="Arial" w:hAnsi="Arial"/>
          <w:color w:val="000000"/>
          <w:sz w:val="19"/>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loss of revenue from decreased demand for our products and/or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impairment of our business reputation or financial stability;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costs of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substantial monetary awards to patients or other claimants;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diversion of management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withdrawal of clinical trial participants and potential termination of clinical trial sites or entire clinical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inability to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decreases in our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initiation of investigations and enforcement actions by regulators;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product recalls, withdrawals or labeling, marketing or promotional restrictions, including withdrawal of marketing approval.</w:t>
      </w:r>
    </w:p>
    <w:p>
      <w:pPr>
        <w:pStyle w:val="TextBody"/>
        <w:bidi w:val="0"/>
        <w:spacing w:before="120" w:after="283"/>
        <w:jc w:val="left"/>
        <w:rPr>
          <w:rFonts w:ascii="Arial" w:hAnsi="Arial"/>
          <w:color w:val="000000"/>
          <w:sz w:val="19"/>
        </w:rPr>
      </w:pPr>
      <w:r>
        <w:rPr>
          <w:rFonts w:ascii="Arial" w:hAnsi="Arial"/>
          <w:color w:val="000000"/>
          <w:sz w:val="19"/>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pStyle w:val="TextBody"/>
        <w:bidi w:val="0"/>
        <w:spacing w:before="120" w:after="283"/>
        <w:jc w:val="left"/>
        <w:rPr>
          <w:rFonts w:ascii="Arial" w:hAnsi="Arial"/>
          <w:b/>
          <w:i/>
          <w:color w:val="000000"/>
          <w:sz w:val="19"/>
        </w:rPr>
      </w:pPr>
      <w:r>
        <w:rPr>
          <w:rFonts w:ascii="Arial" w:hAnsi="Arial"/>
          <w:b/>
          <w:i/>
          <w:color w:val="000000"/>
          <w:sz w:val="19"/>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pStyle w:val="TextBody"/>
        <w:bidi w:val="0"/>
        <w:spacing w:before="120" w:after="283"/>
        <w:jc w:val="left"/>
        <w:rPr>
          <w:rFonts w:ascii="Arial" w:hAnsi="Arial"/>
          <w:color w:val="000000"/>
          <w:sz w:val="19"/>
        </w:rPr>
      </w:pPr>
      <w:r>
        <w:rPr>
          <w:rFonts w:ascii="Arial" w:hAnsi="Arial"/>
          <w:color w:val="000000"/>
          <w:sz w:val="19"/>
        </w:rPr>
        <w:t>Our operations are subject to anti-corruption laws, including the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pStyle w:val="TextBody"/>
        <w:bidi w:val="0"/>
        <w:spacing w:before="120" w:after="283"/>
        <w:jc w:val="left"/>
        <w:rPr>
          <w:rFonts w:ascii="Arial" w:hAnsi="Arial"/>
          <w:color w:val="000000"/>
          <w:sz w:val="19"/>
        </w:rPr>
      </w:pPr>
      <w:r>
        <w:rPr>
          <w:rFonts w:ascii="Arial" w:hAnsi="Arial"/>
          <w:color w:val="000000"/>
          <w:sz w:val="19"/>
        </w:rPr>
        <w:t>We are also subject to other laws and regulations governing our international operations, including regulations administered by the government of the United States, including applicable import and export control regulations, economic sanctions on countries and persons, anti-money laundering laws, customs requirements and currency exchange regulations, collectively referred to as the trade control laws.</w:t>
      </w:r>
    </w:p>
    <w:p>
      <w:pPr>
        <w:pStyle w:val="TextBody"/>
        <w:bidi w:val="0"/>
        <w:spacing w:before="120" w:after="283"/>
        <w:jc w:val="left"/>
        <w:rPr>
          <w:rFonts w:ascii="Arial" w:hAnsi="Arial"/>
          <w:color w:val="000000"/>
          <w:sz w:val="19"/>
        </w:rPr>
      </w:pPr>
      <w:r>
        <w:rPr>
          <w:rFonts w:ascii="Arial" w:hAnsi="Arial"/>
          <w:color w:val="000000"/>
          <w:sz w:val="19"/>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United States or other authorities could also have an adverse impact on our reputation, our business, financial condition, results of operations, stock price and prospects.</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b/>
          <w:i/>
          <w:color w:val="000000"/>
          <w:sz w:val="19"/>
        </w:rPr>
      </w:pPr>
      <w:r>
        <w:rPr>
          <w:rFonts w:ascii="Arial" w:hAnsi="Arial"/>
          <w:b/>
          <w:i/>
          <w:color w:val="000000"/>
          <w:sz w:val="19"/>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pStyle w:val="TextBody"/>
        <w:bidi w:val="0"/>
        <w:spacing w:before="120" w:after="283"/>
        <w:jc w:val="left"/>
        <w:rPr>
          <w:rFonts w:ascii="Arial" w:hAnsi="Arial"/>
          <w:color w:val="000000"/>
          <w:sz w:val="19"/>
        </w:rPr>
      </w:pPr>
      <w:r>
        <w:rPr>
          <w:rFonts w:ascii="Arial" w:hAnsi="Arial"/>
          <w:color w:val="000000"/>
          <w:sz w:val="19"/>
        </w:rPr>
        <w:t>We are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(VHCA),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 For more information, see Part I, Item 1 “Business – Other Healthcare Laws and Compliance Requirements” in our Annual Report on Form 10-K for the year ended December 31, 2025.</w:t>
      </w:r>
    </w:p>
    <w:p>
      <w:pPr>
        <w:pStyle w:val="TextBody"/>
        <w:bidi w:val="0"/>
        <w:spacing w:before="120" w:after="283"/>
        <w:jc w:val="left"/>
        <w:rPr>
          <w:rFonts w:ascii="Arial" w:hAnsi="Arial"/>
          <w:color w:val="000000"/>
          <w:sz w:val="19"/>
        </w:rPr>
      </w:pPr>
      <w:r>
        <w:rPr>
          <w:rFonts w:ascii="Arial" w:hAnsi="Arial"/>
          <w:color w:val="000000"/>
          <w:sz w:val="19"/>
        </w:rPr>
        <w:t>If we or our operations, including our arrangements with physicians and other healthcare providers, some of whom receive share options or other financial interest in the business as compensation for services provided,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or they may be subject to criminal, civil or administrative sanctions, including but not limited to, exclusions from participation in government healthcare programs, which could also materially affect our business.</w:t>
      </w:r>
    </w:p>
    <w:p>
      <w:pPr>
        <w:pStyle w:val="TextBody"/>
        <w:bidi w:val="0"/>
        <w:spacing w:before="120" w:after="283"/>
        <w:jc w:val="left"/>
        <w:rPr>
          <w:rFonts w:ascii="Arial" w:hAnsi="Arial"/>
          <w:color w:val="000000"/>
          <w:sz w:val="19"/>
        </w:rPr>
      </w:pPr>
      <w:r>
        <w:rPr>
          <w:rFonts w:ascii="Arial" w:hAnsi="Arial"/>
          <w:color w:val="000000"/>
          <w:sz w:val="19"/>
        </w:rPr>
        <w:t>Although an effective compliance program can mitigate the risk of investigation and prosecution for violations of these laws, the risks cannot be entirely eliminated. Moreover, achieving and sustaining compliance with applicable federal, 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120" w:after="283"/>
        <w:jc w:val="left"/>
        <w:rPr>
          <w:rFonts w:ascii="Arial" w:hAnsi="Arial"/>
          <w:color w:val="000000"/>
          <w:sz w:val="19"/>
        </w:rPr>
      </w:pPr>
      <w:r>
        <w:rPr>
          <w:rFonts w:ascii="Arial" w:hAnsi="Arial"/>
          <w:color w:val="000000"/>
          <w:sz w:val="19"/>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pStyle w:val="TextBody"/>
        <w:bidi w:val="0"/>
        <w:spacing w:before="120" w:after="283"/>
        <w:jc w:val="left"/>
        <w:rPr>
          <w:rFonts w:ascii="Arial" w:hAnsi="Arial"/>
          <w:b/>
          <w:i/>
          <w:color w:val="000000"/>
          <w:sz w:val="19"/>
        </w:rPr>
      </w:pPr>
      <w:r>
        <w:rPr>
          <w:rFonts w:ascii="Arial" w:hAnsi="Arial"/>
          <w:b/>
          <w:i/>
          <w:color w:val="000000"/>
          <w:sz w:val="19"/>
        </w:rPr>
        <w:t>Changes in tax laws or in their implementation or interpretation may adversely affect our business and financial condition.</w:t>
      </w:r>
    </w:p>
    <w:p>
      <w:pPr>
        <w:pStyle w:val="TextBody"/>
        <w:bidi w:val="0"/>
        <w:spacing w:before="120" w:after="283"/>
        <w:jc w:val="left"/>
        <w:rPr>
          <w:rFonts w:ascii="Times New Roman" w:hAnsi="Times New Roman"/>
          <w:sz w:val="20"/>
        </w:rPr>
      </w:pPr>
      <w:r>
        <w:rPr>
          <w:rFonts w:ascii="Arial" w:hAnsi="Arial"/>
          <w:color w:val="000000"/>
          <w:sz w:val="19"/>
        </w:rPr>
        <w:t>The rules dealing with U.S. federal, state and local income taxation are constantly under review by persons involved in the legislative process and by the Internal Revenue Service (the IRS) and the U.S. Treasury Department. For example, the OBBBA was signed into law on July 4, 2025 and made significant changes to U.S. federal tax law. Changes in tax law (which changes may have retroactive application) could adversely affect our business or financial condition. Any new taxes could adversely affect our business and financial performance. For example,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Further, existing tax laws, statutes, rules, regulations or ordinances could be interpreted, changed, modified or applied adversely to us. In addition, it is uncertain if and to what extent various states will conform to changes to U.S. federal income tax law. We urge prospective investors in our common stock to consult with their legal and tax advisors with respect to any recently enacted tax legislation, or proposed changes in law, and the potential tax consequences of investing in or holding our common stock.</w:t>
      </w:r>
    </w:p>
    <w:p>
      <w:pPr>
        <w:pStyle w:val="TextBody"/>
        <w:bidi w:val="0"/>
        <w:spacing w:before="120" w:after="283"/>
        <w:jc w:val="left"/>
        <w:rPr>
          <w:rFonts w:ascii="Arial" w:hAnsi="Arial"/>
          <w:b/>
          <w:i/>
          <w:color w:val="000000"/>
          <w:sz w:val="19"/>
        </w:rPr>
      </w:pPr>
      <w:r>
        <w:rPr>
          <w:rFonts w:ascii="Arial" w:hAnsi="Arial"/>
          <w:b/>
          <w:i/>
          <w:color w:val="000000"/>
          <w:sz w:val="19"/>
        </w:rPr>
        <w:t>Our ability to utilize our net operating loss carryforwards and certain other tax attributes may be limited.</w:t>
      </w:r>
    </w:p>
    <w:p>
      <w:pPr>
        <w:pStyle w:val="TextBody"/>
        <w:bidi w:val="0"/>
        <w:spacing w:before="120" w:after="120"/>
        <w:jc w:val="left"/>
        <w:rPr>
          <w:rFonts w:ascii="Arial" w:hAnsi="Arial"/>
          <w:color w:val="000000"/>
          <w:sz w:val="19"/>
        </w:rPr>
      </w:pPr>
      <w:r>
        <w:rPr>
          <w:rFonts w:ascii="Arial" w:hAnsi="Arial"/>
          <w:color w:val="000000"/>
          <w:sz w:val="19"/>
        </w:rPr>
        <w:t>Under Sections 382 and 383 of the Code,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the 2026 Follow-On Offering, Registered Direct Offering, 2024 Follow-On Offering, our initial public offering (IPO), and other transactions that have occurred over the past three years, we may have experienced, an “ownership change.” We may also experience ownership changes in the future as a result of subsequent shifts in our stock ownership. As of December 31, 2025, we had U.S. federal and state net operating loss carryforwards of $141.1 million and $131.2 million, which begin to expire in 2027 and 2032, respectively, and which could be limited if we experience an “ownership change.” Under current federal tax law, federal net operating losses generated after December 31, 2017 will not be subject to expiration but will not be permitted to be carried back. In addition, under current U.S. federal tax law, the amount of net operating losses generated after December 31, 2017 that we are permitted to deduct in any taxable year is limited to 80% of our taxable income in such year, where taxable income is determined without regard to the net operating loss deduction itself. Additionally, as of December 31, 2025, we had a U.S. federal net operating loss carryforward of $132.3 million which do not expire but is limited to an annual deduction equal to 80% of annual taxable income.</w:t>
      </w:r>
    </w:p>
    <w:p>
      <w:pPr>
        <w:pStyle w:val="TextBody"/>
        <w:bidi w:val="0"/>
        <w:jc w:val="left"/>
        <w:rPr>
          <w:rFonts w:ascii="Arial" w:hAnsi="Arial"/>
          <w:b/>
          <w:i/>
          <w:color w:val="000000"/>
          <w:sz w:val="19"/>
        </w:rPr>
      </w:pPr>
      <w:r>
        <w:rPr>
          <w:rFonts w:ascii="Arial" w:hAnsi="Arial"/>
          <w:b/>
          <w:i/>
          <w:color w:val="000000"/>
          <w:sz w:val="19"/>
        </w:rPr>
        <w:t>If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pStyle w:val="TextBody"/>
        <w:bidi w:val="0"/>
        <w:spacing w:before="120" w:after="283"/>
        <w:jc w:val="left"/>
        <w:rPr>
          <w:rFonts w:ascii="Times New Roman" w:hAnsi="Times New Roman"/>
          <w:sz w:val="20"/>
        </w:rPr>
      </w:pPr>
      <w:r>
        <w:rPr>
          <w:rFonts w:ascii="Arial" w:hAnsi="Arial"/>
          <w:color w:val="000000"/>
          <w:sz w:val="19"/>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 a market share sufficient to realize a sufficient return on our or their investments. Alternatively, securing favorable reimbursement terms may require us to compromise pricing and prevent us from realizing an adequate margin over cost. For more information, see Part I, Item 1 “Business –- Coverage and Reimbursement” in our Annual Report on Form 10-K for the year ended December 31, 2025.</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pStyle w:val="TextBody"/>
        <w:bidi w:val="0"/>
        <w:spacing w:before="120" w:after="283"/>
        <w:jc w:val="left"/>
        <w:rPr>
          <w:rFonts w:ascii="Times New Roman" w:hAnsi="Times New Roman"/>
          <w:sz w:val="20"/>
        </w:rPr>
      </w:pPr>
      <w:r>
        <w:rPr>
          <w:rFonts w:ascii="Arial" w:hAnsi="Arial"/>
          <w:color w:val="000000"/>
          <w:sz w:val="19"/>
        </w:rPr>
        <w:t>Assuming coverage is approved, the resulting reimbursement payment rates might not be adequate. If payors subject our product candidates to maximum payment amounts, or impose limitations that make it difficult to obtain reimbursement, providers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pStyle w:val="TextBody"/>
        <w:bidi w:val="0"/>
        <w:spacing w:before="120" w:after="283"/>
        <w:jc w:val="left"/>
        <w:rPr>
          <w:rFonts w:ascii="Arial" w:hAnsi="Arial"/>
          <w:color w:val="000000"/>
          <w:sz w:val="19"/>
        </w:rPr>
      </w:pPr>
      <w:r>
        <w:rPr>
          <w:rFonts w:ascii="Arial" w:hAnsi="Arial"/>
          <w:color w:val="000000"/>
          <w:sz w:val="19"/>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pStyle w:val="TextBody"/>
        <w:bidi w:val="0"/>
        <w:spacing w:before="120" w:after="283"/>
        <w:jc w:val="left"/>
        <w:rPr>
          <w:rFonts w:ascii="Arial" w:hAnsi="Arial"/>
          <w:color w:val="000000"/>
          <w:sz w:val="19"/>
        </w:rPr>
      </w:pPr>
      <w:r>
        <w:rPr>
          <w:rFonts w:ascii="Arial" w:hAnsi="Arial"/>
          <w:color w:val="000000"/>
          <w:sz w:val="19"/>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pStyle w:val="TextBody"/>
        <w:bidi w:val="0"/>
        <w:spacing w:before="120" w:after="283"/>
        <w:jc w:val="left"/>
        <w:rPr>
          <w:rFonts w:ascii="Arial" w:hAnsi="Arial"/>
          <w:b/>
          <w:i/>
          <w:color w:val="000000"/>
          <w:sz w:val="19"/>
        </w:rPr>
      </w:pPr>
      <w:r>
        <w:rPr>
          <w:rFonts w:ascii="Arial" w:hAnsi="Arial"/>
          <w:b/>
          <w:i/>
          <w:color w:val="000000"/>
          <w:sz w:val="19"/>
        </w:rPr>
        <w:t>Our employees, independent contractors, consultants, commercial partners, principal investigators, CROs or CDMOs may engage in misconduct or other improper activities, including noncompliance with regulatory standards and requirements and insider trading, which could have a material adverse effect on our business.</w:t>
      </w:r>
    </w:p>
    <w:p>
      <w:pPr>
        <w:pStyle w:val="TextBody"/>
        <w:bidi w:val="0"/>
        <w:spacing w:before="120" w:after="283"/>
        <w:jc w:val="left"/>
        <w:rPr>
          <w:rFonts w:ascii="Arial" w:hAnsi="Arial"/>
          <w:color w:val="000000"/>
          <w:sz w:val="19"/>
        </w:rPr>
      </w:pPr>
      <w:r>
        <w:rPr>
          <w:rFonts w:ascii="Arial" w:hAnsi="Arial"/>
          <w:color w:val="000000"/>
          <w:sz w:val="19"/>
        </w:rPr>
        <w:t>We are exposed to the risk of employee fraud or other misconduct. Misconduct by employees, independent contractors, consultants, commercial partners, principal investigators, CDMOs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pStyle w:val="TextBody"/>
        <w:bidi w:val="0"/>
        <w:spacing w:before="120" w:after="120"/>
        <w:jc w:val="left"/>
        <w:rPr>
          <w:rFonts w:ascii="Times New Roman" w:hAnsi="Times New Roman"/>
          <w:sz w:val="20"/>
        </w:rPr>
      </w:pPr>
      <w:r>
        <w:rPr>
          <w:rFonts w:ascii="Arial" w:hAnsi="Arial"/>
          <w:color w:val="000000"/>
          <w:sz w:val="19"/>
        </w:rPr>
        <w:t>On March 15, 2024, we notified Dr. Aguilar-Cordova that we had uncovered that, during his tenure as Chief Executive Officer and possibly his tenure as Chief Scientific Officer, he allegedly (i) instructed company personnel to falsify sterility testing results that were submitted to the FDA for aglatimagene and (ii) failed to implement an appropriate and compliant stability testing program for that same program. Upon identifying these deficiencies, we promptly updated our stability testing program to fully bring it into compliance and submitted additional information and data to the FDA regarding both the updated program and our prior testing results. Following an internal review and analysis, we also determined that trial participants who were dosed with aglatimagene were not placed at risk, and that there was and is no risk to the integrity of our resulting clinical data related to the identified deficiencies. In the March 15, 2024 letter, we also requested that Dr. Aguilar-Cordova resign from the board of directors with immediate effect. On March 26, 2024, Dr. Aguilar-Cordova denied these allegations in response. Dr. Aguilar-Cordova’s term as a director of the Company expired at our 2024 annual meeting of stockholders held on June 26, 2024.</w:t>
      </w:r>
      <w:r>
        <w:rPr>
          <w:rFonts w:ascii="Times New Roman" w:hAnsi="Times New Roman"/>
          <w:color w:val="000000"/>
          <w:sz w:val="20"/>
        </w:rPr>
        <w:t xml:space="preserve"> </w:t>
      </w:r>
    </w:p>
    <w:p>
      <w:pPr>
        <w:pStyle w:val="TextBody"/>
        <w:bidi w:val="0"/>
        <w:jc w:val="left"/>
        <w:rPr>
          <w:rFonts w:ascii="Arial" w:hAnsi="Arial"/>
          <w:b/>
          <w:i/>
          <w:color w:val="000000"/>
          <w:sz w:val="19"/>
        </w:rPr>
      </w:pPr>
      <w:r>
        <w:rPr>
          <w:rFonts w:ascii="Arial" w:hAnsi="Arial"/>
          <w:b/>
          <w:i/>
          <w:color w:val="000000"/>
          <w:sz w:val="19"/>
        </w:rPr>
        <w:t>Violations of, or liabilities under, environmental, health and safety laws and regulations could subject us to fines, penalties or other costs that could have a material adverse effect on the success of our business.</w:t>
      </w:r>
    </w:p>
    <w:p>
      <w:pPr>
        <w:pStyle w:val="TextBody"/>
        <w:bidi w:val="0"/>
        <w:spacing w:before="120" w:after="283"/>
        <w:jc w:val="left"/>
        <w:rPr>
          <w:rFonts w:ascii="Times New Roman" w:hAnsi="Times New Roman"/>
          <w:sz w:val="20"/>
        </w:rPr>
      </w:pPr>
      <w:r>
        <w:rPr>
          <w:rFonts w:ascii="Arial" w:hAnsi="Arial"/>
          <w:color w:val="000000"/>
          <w:sz w:val="19"/>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120" w:after="283"/>
        <w:jc w:val="left"/>
        <w:rPr>
          <w:rFonts w:ascii="Arial" w:hAnsi="Arial"/>
          <w:color w:val="000000"/>
          <w:sz w:val="19"/>
        </w:rPr>
      </w:pPr>
      <w:r>
        <w:rPr>
          <w:rFonts w:ascii="Arial" w:hAnsi="Arial"/>
          <w:color w:val="000000"/>
          <w:sz w:val="19"/>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160" w:after="283"/>
        <w:jc w:val="left"/>
        <w:rPr>
          <w:rFonts w:ascii="Arial" w:hAnsi="Arial"/>
          <w:b/>
          <w:color w:val="000000"/>
          <w:sz w:val="19"/>
        </w:rPr>
      </w:pPr>
      <w:r>
        <w:rPr>
          <w:rFonts w:ascii="Arial" w:hAnsi="Arial"/>
          <w:b/>
          <w:color w:val="000000"/>
          <w:sz w:val="19"/>
        </w:rPr>
        <w:t>Risks Related to Our Reliance on Third Parties</w:t>
      </w:r>
    </w:p>
    <w:p>
      <w:pPr>
        <w:pStyle w:val="TextBody"/>
        <w:bidi w:val="0"/>
        <w:spacing w:before="120" w:after="283"/>
        <w:jc w:val="left"/>
        <w:rPr>
          <w:rFonts w:ascii="Times New Roman" w:hAnsi="Times New Roman"/>
          <w:sz w:val="20"/>
        </w:rPr>
      </w:pPr>
      <w:r>
        <w:rPr>
          <w:rFonts w:ascii="Arial" w:hAnsi="Arial"/>
          <w:b/>
          <w:i/>
          <w:color w:val="000000"/>
          <w:sz w:val="19"/>
        </w:rPr>
        <w:t>For certain product candidates</w:t>
      </w:r>
      <w:r>
        <w:rPr>
          <w:rFonts w:ascii="Arial" w:hAnsi="Arial"/>
          <w:i/>
          <w:color w:val="000000"/>
          <w:sz w:val="19"/>
        </w:rPr>
        <w:t xml:space="preserve">, </w:t>
      </w:r>
      <w:r>
        <w:rPr>
          <w:rFonts w:ascii="Arial" w:hAnsi="Arial"/>
          <w:b/>
          <w:i/>
          <w:color w:val="000000"/>
          <w:sz w:val="19"/>
        </w:rPr>
        <w:t>we depend</w:t>
      </w:r>
      <w:r>
        <w:rPr>
          <w:rFonts w:ascii="Arial" w:hAnsi="Arial"/>
          <w:i/>
          <w:color w:val="000000"/>
          <w:sz w:val="19"/>
        </w:rPr>
        <w:t xml:space="preserve">, </w:t>
      </w:r>
      <w:r>
        <w:rPr>
          <w:rFonts w:ascii="Arial" w:hAnsi="Arial"/>
          <w:b/>
          <w:i/>
          <w:color w:val="000000"/>
          <w:sz w:val="19"/>
        </w:rPr>
        <w:t>or will depend</w:t>
      </w:r>
      <w:r>
        <w:rPr>
          <w:rFonts w:ascii="Arial" w:hAnsi="Arial"/>
          <w:i/>
          <w:color w:val="000000"/>
          <w:sz w:val="19"/>
        </w:rPr>
        <w:t xml:space="preserve">, </w:t>
      </w:r>
      <w:r>
        <w:rPr>
          <w:rFonts w:ascii="Arial" w:hAnsi="Arial"/>
          <w:b/>
          <w:i/>
          <w:color w:val="000000"/>
          <w:sz w:val="19"/>
        </w:rPr>
        <w:t>on development and commercialization collaborators to develop and conduct clinical trials with</w:t>
      </w:r>
      <w:r>
        <w:rPr>
          <w:rFonts w:ascii="Arial" w:hAnsi="Arial"/>
          <w:i/>
          <w:color w:val="000000"/>
          <w:sz w:val="19"/>
        </w:rPr>
        <w:t xml:space="preserve">, </w:t>
      </w:r>
      <w:r>
        <w:rPr>
          <w:rFonts w:ascii="Arial" w:hAnsi="Arial"/>
          <w:b/>
          <w:i/>
          <w:color w:val="000000"/>
          <w:sz w:val="19"/>
        </w:rPr>
        <w:t>obtain regulatory approvals for</w:t>
      </w:r>
      <w:r>
        <w:rPr>
          <w:rFonts w:ascii="Arial" w:hAnsi="Arial"/>
          <w:i/>
          <w:color w:val="000000"/>
          <w:sz w:val="19"/>
        </w:rPr>
        <w:t xml:space="preserve">, </w:t>
      </w:r>
      <w:r>
        <w:rPr>
          <w:rFonts w:ascii="Arial" w:hAnsi="Arial"/>
          <w:b/>
          <w:i/>
          <w:color w:val="000000"/>
          <w:sz w:val="19"/>
        </w:rPr>
        <w:t>and if approved</w:t>
      </w:r>
      <w:r>
        <w:rPr>
          <w:rFonts w:ascii="Arial" w:hAnsi="Arial"/>
          <w:i/>
          <w:color w:val="000000"/>
          <w:sz w:val="19"/>
        </w:rPr>
        <w:t xml:space="preserve">, </w:t>
      </w:r>
      <w:r>
        <w:rPr>
          <w:rFonts w:ascii="Arial" w:hAnsi="Arial"/>
          <w:b/>
          <w:i/>
          <w:color w:val="000000"/>
          <w:sz w:val="19"/>
        </w:rPr>
        <w:t>market and sell product candidates</w:t>
      </w:r>
      <w:r>
        <w:rPr>
          <w:rFonts w:ascii="Arial" w:hAnsi="Arial"/>
          <w:i/>
          <w:color w:val="000000"/>
          <w:sz w:val="19"/>
        </w:rPr>
        <w:t xml:space="preserve">. </w:t>
      </w:r>
      <w:r>
        <w:rPr>
          <w:rFonts w:ascii="Arial" w:hAnsi="Arial"/>
          <w:b/>
          <w:i/>
          <w:color w:val="000000"/>
          <w:sz w:val="19"/>
        </w:rPr>
        <w:t>If such collaborators fail to perform as expected</w:t>
      </w:r>
      <w:r>
        <w:rPr>
          <w:rFonts w:ascii="Arial" w:hAnsi="Arial"/>
          <w:i/>
          <w:color w:val="000000"/>
          <w:sz w:val="19"/>
        </w:rPr>
        <w:t xml:space="preserve">, </w:t>
      </w:r>
      <w:r>
        <w:rPr>
          <w:rFonts w:ascii="Arial" w:hAnsi="Arial"/>
          <w:b/>
          <w:i/>
          <w:color w:val="000000"/>
          <w:sz w:val="19"/>
        </w:rPr>
        <w:t>the potential for us to generate future revenue from such product candidates would be significantly reduced and our business would be harmed</w:t>
      </w:r>
      <w:r>
        <w:rPr>
          <w:rFonts w:ascii="Arial" w:hAnsi="Arial"/>
          <w:i/>
          <w:color w:val="000000"/>
          <w:sz w:val="19"/>
        </w:rPr>
        <w:t>.</w:t>
      </w:r>
    </w:p>
    <w:p>
      <w:pPr>
        <w:pStyle w:val="TextBody"/>
        <w:bidi w:val="0"/>
        <w:spacing w:before="120" w:after="283"/>
        <w:jc w:val="left"/>
        <w:rPr>
          <w:rFonts w:ascii="Arial" w:hAnsi="Arial"/>
          <w:color w:val="000000"/>
          <w:sz w:val="19"/>
        </w:rPr>
      </w:pPr>
      <w:r>
        <w:rPr>
          <w:rFonts w:ascii="Arial" w:hAnsi="Arial"/>
          <w:color w:val="000000"/>
          <w:sz w:val="19"/>
        </w:rPr>
        <w:t>For certain product candidates, we depend, or will depend, on our development and commercial collaborators to develop, conduct clinical trials of, and, if approved, commercialize product candidates. We cannot provide assurance that our collaborators will be successful in or that they will devote sufficient resources to these collaborations.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 Moreover, our ability to generate revenues from these collaborations and product candidates will depend on such collaborators’ abilities to perform in the manner we expect or fulfill their responsibilities in a timely manner, and delays by collaborators, or caused by other collaboration contract obligations, may result in a delay of our ability to disclose data.</w:t>
      </w:r>
    </w:p>
    <w:p>
      <w:pPr>
        <w:pStyle w:val="TextBody"/>
        <w:bidi w:val="0"/>
        <w:spacing w:before="120" w:after="283"/>
        <w:jc w:val="left"/>
        <w:rPr>
          <w:rFonts w:ascii="Arial" w:hAnsi="Arial"/>
          <w:color w:val="000000"/>
          <w:sz w:val="19"/>
        </w:rPr>
      </w:pPr>
      <w:r>
        <w:rPr>
          <w:rFonts w:ascii="Arial" w:hAnsi="Arial"/>
          <w:color w:val="000000"/>
          <w:sz w:val="19"/>
        </w:rPr>
        <w:t>Our current collaborations and any future collaborations that we enter into are subject to numerous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collaborators have significant discretion in determining the efforts and resources that they will apply to the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collaborators may not perform their obligations as expected or fail to fulfill their responsibilities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collaborators could fail to make timely regulatory submissions for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collaborations may not result in product candidates to develop and/or preclinical studies or clinical trials conducted as part of the collaborations may not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product candidates developed with collaborators may be viewed by our collaborators as competitive with their own product candidates or products, which may cause collaborators to stop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a collaborator with marketing and distribution rights to one or more of our product candidates that achieve regulatory approval may not commit sufficient resources to the marketing and distribution of any such product candidate; and</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before="120" w:after="283"/>
        <w:jc w:val="left"/>
        <w:rPr>
          <w:rFonts w:ascii="Arial" w:hAnsi="Arial"/>
          <w:color w:val="000000"/>
          <w:sz w:val="19"/>
        </w:rPr>
      </w:pPr>
      <w:r>
        <w:rPr>
          <w:rFonts w:ascii="Arial" w:hAnsi="Arial"/>
          <w:color w:val="000000"/>
          <w:sz w:val="19"/>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For example, our license agreement with MGB may be terminated by MGB for our failure to pay, our failure to maintain proper insurance in accordance with the agreement, if we file for bankruptcy or if we remain in default for non-financial reasons following a specified cure period to remedy the breach. In the event of the termination of any collaboration or commercialization agreement,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pStyle w:val="TextBody"/>
        <w:bidi w:val="0"/>
        <w:spacing w:before="120" w:after="283"/>
        <w:jc w:val="left"/>
        <w:rPr>
          <w:rFonts w:ascii="Arial" w:hAnsi="Arial"/>
          <w:color w:val="000000"/>
          <w:sz w:val="19"/>
        </w:rPr>
      </w:pPr>
      <w:r>
        <w:rPr>
          <w:rFonts w:ascii="Arial" w:hAnsi="Arial"/>
          <w:color w:val="000000"/>
          <w:sz w:val="19"/>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If one of our collaborators terminates its agreement with us, we may find it more difficult to attract new collaborators and our reputation in the business and financial communities could be adversely affected. Any failure to successfully develop or commercialize our product candidates pursuant to our current or any future collaboration agreements could have a material and adverse effect on our business, financial condition, results of operations and prospects.</w:t>
      </w:r>
    </w:p>
    <w:p>
      <w:pPr>
        <w:pStyle w:val="TextBody"/>
        <w:bidi w:val="0"/>
        <w:spacing w:before="120" w:after="283"/>
        <w:jc w:val="left"/>
        <w:rPr>
          <w:rFonts w:ascii="Times New Roman" w:hAnsi="Times New Roman"/>
          <w:sz w:val="20"/>
        </w:rPr>
      </w:pPr>
      <w:r>
        <w:rPr>
          <w:rFonts w:ascii="Arial" w:hAnsi="Arial"/>
          <w:b/>
          <w:i/>
          <w:color w:val="000000"/>
          <w:sz w:val="19"/>
        </w:rPr>
        <w:t>If conflicts arise with our development and commercialization collaborators or licensors, they may act in their own self-interest, which may be adverse to the interests of our company</w:t>
      </w:r>
      <w:r>
        <w:rPr>
          <w:rFonts w:ascii="Arial" w:hAnsi="Arial"/>
          <w:i/>
          <w:color w:val="000000"/>
          <w:sz w:val="19"/>
        </w:rPr>
        <w:t>.</w:t>
      </w:r>
    </w:p>
    <w:p>
      <w:pPr>
        <w:pStyle w:val="TextBody"/>
        <w:bidi w:val="0"/>
        <w:spacing w:before="120" w:after="283"/>
        <w:jc w:val="left"/>
        <w:rPr>
          <w:rFonts w:ascii="Arial" w:hAnsi="Arial"/>
          <w:color w:val="000000"/>
          <w:sz w:val="19"/>
        </w:rPr>
      </w:pPr>
      <w:r>
        <w:rPr>
          <w:rFonts w:ascii="Arial" w:hAnsi="Arial"/>
          <w:color w:val="000000"/>
          <w:sz w:val="19"/>
        </w:rPr>
        <w:t>We may in the future experience disagreements with our development and commercialization collaborators or licensors. Conflicts may arise in our collaboration and license arrangements with third parties due to one or more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disputes with respect to milestone, royalty and other payments that are believed due under the applicable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disagreements with respect to the ownership of intellectual property rights or scope of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disagreements with respect to the scope of any reporting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disagreements with respect to contract interpretation or the preferred course of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unwillingness on the part of a collaborator to keep us informed regarding the progress of its development and commercialization activities, or to permit public disclosure of these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disputes with respect to a collaborator’s or our development or commercialization efforts with respect to our products and product candidates.</w:t>
      </w:r>
    </w:p>
    <w:p>
      <w:pPr>
        <w:pStyle w:val="TextBody"/>
        <w:bidi w:val="0"/>
        <w:spacing w:before="120" w:after="283"/>
        <w:jc w:val="left"/>
        <w:rPr>
          <w:rFonts w:ascii="Arial" w:hAnsi="Arial"/>
          <w:color w:val="000000"/>
          <w:sz w:val="19"/>
        </w:rPr>
      </w:pPr>
      <w:r>
        <w:rPr>
          <w:rFonts w:ascii="Arial" w:hAnsi="Arial"/>
          <w:color w:val="000000"/>
          <w:sz w:val="19"/>
        </w:rPr>
        <w:t>Conflicts with our development and commercialization collaborators or licensors could materially adversely affect our business, financial condition or results of operations and future growth prospects.</w:t>
      </w:r>
    </w:p>
    <w:p>
      <w:pPr>
        <w:pStyle w:val="TextBody"/>
        <w:bidi w:val="0"/>
        <w:spacing w:before="120" w:after="283"/>
        <w:jc w:val="left"/>
        <w:rPr>
          <w:rFonts w:ascii="Times New Roman" w:hAnsi="Times New Roman"/>
          <w:sz w:val="20"/>
        </w:rPr>
      </w:pPr>
      <w:r>
        <w:rPr>
          <w:rFonts w:ascii="Arial" w:hAnsi="Arial"/>
          <w:b/>
          <w:i/>
          <w:color w:val="000000"/>
          <w:sz w:val="19"/>
        </w:rPr>
        <w:t>We rely on third parties, including independent clinical investigators and CROs to conduct and sponsor some of the clinical trials of our product candidates</w:t>
      </w:r>
      <w:r>
        <w:rPr>
          <w:rFonts w:ascii="Arial" w:hAnsi="Arial"/>
          <w:i/>
          <w:color w:val="000000"/>
          <w:sz w:val="19"/>
        </w:rPr>
        <w:t xml:space="preserve">. </w:t>
      </w:r>
      <w:r>
        <w:rPr>
          <w:rFonts w:ascii="Arial" w:hAnsi="Arial"/>
          <w:b/>
          <w:i/>
          <w:color w:val="000000"/>
          <w:sz w:val="19"/>
        </w:rPr>
        <w:t>Any failure by a third party to meet its obligations with respect to the clinical development of our product candidates may delay or impair our ability to obtain regulatory approval for our product candidates</w:t>
      </w:r>
      <w:r>
        <w:rPr>
          <w:rFonts w:ascii="Arial" w:hAnsi="Arial"/>
          <w:i/>
          <w:color w:val="000000"/>
          <w:sz w:val="19"/>
        </w:rPr>
        <w:t>.</w:t>
      </w:r>
    </w:p>
    <w:p>
      <w:pPr>
        <w:pStyle w:val="TextBody"/>
        <w:bidi w:val="0"/>
        <w:spacing w:before="120" w:after="283"/>
        <w:jc w:val="left"/>
        <w:rPr>
          <w:rFonts w:ascii="Arial" w:hAnsi="Arial"/>
          <w:color w:val="000000"/>
          <w:sz w:val="19"/>
        </w:rPr>
      </w:pPr>
      <w:r>
        <w:rPr>
          <w:rFonts w:ascii="Arial" w:hAnsi="Arial"/>
          <w:color w:val="000000"/>
          <w:sz w:val="19"/>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pStyle w:val="TextBody"/>
        <w:bidi w:val="0"/>
        <w:spacing w:before="120" w:after="283"/>
        <w:jc w:val="left"/>
        <w:rPr>
          <w:rFonts w:ascii="Arial" w:hAnsi="Arial"/>
          <w:color w:val="000000"/>
          <w:sz w:val="19"/>
        </w:rPr>
      </w:pPr>
      <w:r>
        <w:rPr>
          <w:rFonts w:ascii="Arial" w:hAnsi="Arial"/>
          <w:color w:val="000000"/>
          <w:sz w:val="19"/>
        </w:rPr>
        <w:t>Any of these third parties may terminate their engagements with us under certain circumstances. We may not be able to enter into alternative arrangements or do so on commercially reasonable terms. In addition, there is a natural transition period when a new CRO begins work. As a result, delays would likely occur, which could negatively impact our ability to meet our expected clinical development timelines and harm our business, financial condition and prospects.</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Arial" w:hAnsi="Arial"/>
          <w:color w:val="000000"/>
          <w:sz w:val="19"/>
        </w:rPr>
      </w:pPr>
      <w:r>
        <w:rPr>
          <w:rFonts w:ascii="Arial" w:hAnsi="Arial"/>
          <w:color w:val="000000"/>
          <w:sz w:val="19"/>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countries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pStyle w:val="TextBody"/>
        <w:bidi w:val="0"/>
        <w:jc w:val="left"/>
        <w:rPr>
          <w:rFonts w:ascii="Arial" w:hAnsi="Arial"/>
          <w:color w:val="000000"/>
          <w:sz w:val="19"/>
        </w:rPr>
      </w:pPr>
      <w:r>
        <w:rPr>
          <w:rFonts w:ascii="Arial" w:hAnsi="Arial"/>
          <w:color w:val="000000"/>
          <w:sz w:val="19"/>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pStyle w:val="TextBody"/>
        <w:bidi w:val="0"/>
        <w:spacing w:before="120" w:after="283"/>
        <w:jc w:val="left"/>
        <w:rPr>
          <w:rFonts w:ascii="Arial" w:hAnsi="Arial"/>
          <w:color w:val="000000"/>
          <w:sz w:val="19"/>
        </w:rPr>
      </w:pPr>
      <w:r>
        <w:rPr>
          <w:rFonts w:ascii="Arial" w:hAnsi="Arial"/>
          <w:color w:val="000000"/>
          <w:sz w:val="19"/>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pStyle w:val="TextBody"/>
        <w:bidi w:val="0"/>
        <w:spacing w:before="120" w:after="283"/>
        <w:jc w:val="left"/>
        <w:rPr>
          <w:rFonts w:ascii="Arial" w:hAnsi="Arial"/>
          <w:b/>
          <w:i/>
          <w:color w:val="000000"/>
          <w:sz w:val="19"/>
        </w:rPr>
      </w:pPr>
      <w:r>
        <w:rPr>
          <w:rFonts w:ascii="Arial" w:hAnsi="Arial"/>
          <w:b/>
          <w:i/>
          <w:color w:val="000000"/>
          <w:sz w:val="19"/>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pStyle w:val="TextBody"/>
        <w:bidi w:val="0"/>
        <w:spacing w:before="120" w:after="283"/>
        <w:jc w:val="left"/>
        <w:rPr>
          <w:rFonts w:ascii="Arial" w:hAnsi="Arial"/>
          <w:color w:val="000000"/>
          <w:sz w:val="19"/>
        </w:rPr>
      </w:pPr>
      <w:r>
        <w:rPr>
          <w:rFonts w:ascii="Arial" w:hAnsi="Arial"/>
          <w:color w:val="000000"/>
          <w:sz w:val="19"/>
        </w:rPr>
        <w:t>We also expect to develop commercial-scale manufacturing at third-party manufacturers for our product candidate aglatimagene. We may develop clinical manufacturing capabilities for linoserpaturev at third-party manufacturers. There can be no assurance that our supply of clinical product will not be limited, interrupted, or of satisfactory quality or continue to be available at acceptable prices. In particular, any replacement of our CDMOs could require significant effort and expertise because there may be a limited number of qualified replacements. Any delays in obtaining adequate supplies of our product candidates that meet the necessary quality standards, including delays caused by any future public health crisis, may delay our development or commercialization.</w:t>
      </w:r>
    </w:p>
    <w:p>
      <w:pPr>
        <w:pStyle w:val="TextBody"/>
        <w:bidi w:val="0"/>
        <w:spacing w:before="120" w:after="283"/>
        <w:jc w:val="left"/>
        <w:rPr>
          <w:rFonts w:ascii="Times New Roman" w:hAnsi="Times New Roman"/>
          <w:sz w:val="20"/>
        </w:rPr>
      </w:pPr>
      <w:r>
        <w:rPr>
          <w:rFonts w:ascii="Arial" w:hAnsi="Arial"/>
          <w:color w:val="000000"/>
          <w:sz w:val="19"/>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 clinical trials while we identify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pStyle w:val="TextBody"/>
        <w:bidi w:val="0"/>
        <w:spacing w:before="120" w:after="283"/>
        <w:jc w:val="left"/>
        <w:rPr>
          <w:rFonts w:ascii="Arial" w:hAnsi="Arial"/>
          <w:color w:val="000000"/>
          <w:sz w:val="19"/>
        </w:rPr>
      </w:pPr>
      <w:r>
        <w:rPr>
          <w:rFonts w:ascii="Arial" w:hAnsi="Arial"/>
          <w:color w:val="000000"/>
          <w:sz w:val="19"/>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pStyle w:val="TextBody"/>
        <w:bidi w:val="0"/>
        <w:spacing w:before="120" w:after="283"/>
        <w:jc w:val="left"/>
        <w:rPr>
          <w:rFonts w:ascii="Arial" w:hAnsi="Arial"/>
          <w:color w:val="000000"/>
          <w:sz w:val="19"/>
        </w:rPr>
      </w:pPr>
      <w:r>
        <w:rPr>
          <w:rFonts w:ascii="Arial" w:hAnsi="Arial"/>
          <w:color w:val="000000"/>
          <w:sz w:val="19"/>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CDMOs may not perform as agreed. If our manufacturers were to encounter these or other difficulties, our ability to provide product candidates to patients in our clinical trials could be jeopardized.</w:t>
      </w:r>
    </w:p>
    <w:p>
      <w:pPr>
        <w:pStyle w:val="TextBody"/>
        <w:bidi w:val="0"/>
        <w:spacing w:before="120" w:after="283"/>
        <w:jc w:val="left"/>
        <w:rPr>
          <w:rFonts w:ascii="Arial" w:hAnsi="Arial"/>
          <w:color w:val="000000"/>
          <w:sz w:val="19"/>
        </w:rPr>
      </w:pPr>
      <w:r>
        <w:rPr>
          <w:rFonts w:ascii="Arial" w:hAnsi="Arial"/>
          <w:color w:val="000000"/>
          <w:sz w:val="19"/>
        </w:rPr>
        <w:t>CDMOs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CDMOs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pStyle w:val="TextBody"/>
        <w:bidi w:val="0"/>
        <w:spacing w:before="120" w:after="283"/>
        <w:jc w:val="left"/>
        <w:rPr>
          <w:rFonts w:ascii="Arial" w:hAnsi="Arial"/>
          <w:color w:val="000000"/>
          <w:sz w:val="19"/>
        </w:rPr>
      </w:pPr>
      <w:r>
        <w:rPr>
          <w:rFonts w:ascii="Arial" w:hAnsi="Arial"/>
          <w:color w:val="000000"/>
          <w:sz w:val="19"/>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approval from the FDA and applicable comparable foreign regulatory authorities for the use of any new manufacturers for commercial supply. The regulatory authorities may also require additional studies if a new manufacturer is relied upon for commercial production.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or approved by the FDA or another regulatory authority. The delays associated with the verification of a new CDMO could negatively affect our ability to develop product candidates or once approved, to commercialize those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pStyle w:val="TextBody"/>
        <w:bidi w:val="0"/>
        <w:spacing w:before="120" w:after="283"/>
        <w:jc w:val="left"/>
        <w:rPr>
          <w:rFonts w:ascii="Arial" w:hAnsi="Arial"/>
          <w:color w:val="000000"/>
          <w:sz w:val="19"/>
        </w:rPr>
      </w:pPr>
      <w:r>
        <w:rPr>
          <w:rFonts w:ascii="Arial" w:hAnsi="Arial"/>
          <w:color w:val="000000"/>
          <w:sz w:val="19"/>
        </w:rPr>
        <w:t>There are also current geopolitical tensions with China that may affect our operations. For example, there have been Congressional legislative efforts (such as the BIOSECURE Act, enacted on December 18, 2025) which would, among other things, prohibit U.S. federal funding in connection with biotechnology equipment or services produced or provided by “biotechnology companies of concern” and loans and grants to, and federal contracts with any entity that uses biotechnology equipment or services from one of these entities. Any additional executive action, legislative action or potential sanctions with China could materially impact one of our current partners, WuXi, and our agreement with them as it relates to our stability testing, or any agreement with other Chinese biotechnology companies. We continue to assess new legislation as it develops to determine the effect, if any, on our contractual relationships.</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pStyle w:val="TextBody"/>
        <w:bidi w:val="0"/>
        <w:spacing w:before="120" w:after="283"/>
        <w:jc w:val="left"/>
        <w:rPr>
          <w:rFonts w:ascii="Arial" w:hAnsi="Arial"/>
          <w:color w:val="000000"/>
          <w:sz w:val="19"/>
        </w:rPr>
      </w:pPr>
      <w:r>
        <w:rPr>
          <w:rFonts w:ascii="Arial" w:hAnsi="Arial"/>
          <w:color w:val="000000"/>
          <w:sz w:val="19"/>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pStyle w:val="TextBody"/>
        <w:bidi w:val="0"/>
        <w:spacing w:before="120" w:after="283"/>
        <w:jc w:val="left"/>
        <w:rPr>
          <w:rFonts w:ascii="Arial" w:hAnsi="Arial"/>
          <w:b/>
          <w:i/>
          <w:color w:val="000000"/>
          <w:sz w:val="19"/>
        </w:rPr>
      </w:pPr>
      <w:r>
        <w:rPr>
          <w:rFonts w:ascii="Arial" w:hAnsi="Arial"/>
          <w:b/>
          <w:i/>
          <w:color w:val="000000"/>
          <w:sz w:val="19"/>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pStyle w:val="TextBody"/>
        <w:bidi w:val="0"/>
        <w:spacing w:before="120" w:after="283"/>
        <w:jc w:val="left"/>
        <w:rPr>
          <w:rFonts w:ascii="Arial" w:hAnsi="Arial"/>
          <w:color w:val="000000"/>
          <w:sz w:val="19"/>
        </w:rPr>
      </w:pPr>
      <w:r>
        <w:rPr>
          <w:rFonts w:ascii="Arial" w:hAnsi="Arial"/>
          <w:color w:val="000000"/>
          <w:sz w:val="19"/>
        </w:rPr>
        <w:t>We have supplied and may continue to supply and otherwise support third party research, including investigator-sponsored clinical trials. Investigator-sponsored clinical trials pose similar risks as those set forth elsewhere in this “Risk Factors” section relating to our internally-sponsored clinical trials, but because we are not be the sponsors of these trials, we have less control over the protocols, administration or conduct of these trials, including follow-up with patients and ongoing collection of data after treatment. Additionally, third party clinical research has been and may continue to be conducted with linoserpaturev and aglatimagene which was not provided by us. The conduct or findings of these trials may have a negative impact on our development programs notwithstanding that we have little involvement or control over these trials. As a result, we are subject to additional risks associated with the way investigator-sponsored trials are conducted. In particular, for trials in which we supply drug product, we may be named in lawsuits that would lead to increased costs associated with legal defense.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As a result, our lack of control over the conduct and timing of and communications with the FDA and other regulatory authorities regarding investigator-sponsored trials may expose us to additional risks and uncertainties, many of which are outside our control, and the occurrence of which could adversely affect the commercial prospects for our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pStyle w:val="TextBody"/>
        <w:bidi w:val="0"/>
        <w:spacing w:before="120" w:after="283"/>
        <w:jc w:val="left"/>
        <w:rPr>
          <w:rFonts w:ascii="Times New Roman" w:hAnsi="Times New Roman"/>
          <w:sz w:val="20"/>
        </w:rPr>
      </w:pPr>
      <w:r>
        <w:rPr>
          <w:rFonts w:ascii="Arial" w:hAnsi="Arial"/>
          <w:b/>
          <w:i/>
          <w:color w:val="000000"/>
          <w:sz w:val="19"/>
        </w:rPr>
        <w:t>Our reliance on third parties requires us to share our trade secrets</w:t>
      </w:r>
      <w:r>
        <w:rPr>
          <w:rFonts w:ascii="Arial" w:hAnsi="Arial"/>
          <w:i/>
          <w:color w:val="000000"/>
          <w:sz w:val="19"/>
        </w:rPr>
        <w:t xml:space="preserve">, </w:t>
      </w:r>
      <w:r>
        <w:rPr>
          <w:rFonts w:ascii="Arial" w:hAnsi="Arial"/>
          <w:b/>
          <w:i/>
          <w:color w:val="000000"/>
          <w:sz w:val="19"/>
        </w:rPr>
        <w:t>which increases the possibility that a competitor will discover them or that our trade secrets will be misappropriated or disclosed</w:t>
      </w:r>
      <w:r>
        <w:rPr>
          <w:rFonts w:ascii="Arial" w:hAnsi="Arial"/>
          <w:i/>
          <w:color w:val="000000"/>
          <w:sz w:val="19"/>
        </w:rPr>
        <w:t>.</w:t>
      </w:r>
    </w:p>
    <w:p>
      <w:pPr>
        <w:pStyle w:val="TextBody"/>
        <w:bidi w:val="0"/>
        <w:spacing w:before="120" w:after="283"/>
        <w:jc w:val="left"/>
        <w:rPr>
          <w:rFonts w:ascii="Arial" w:hAnsi="Arial"/>
          <w:color w:val="000000"/>
          <w:sz w:val="19"/>
        </w:rPr>
      </w:pPr>
      <w:r>
        <w:rPr>
          <w:rFonts w:ascii="Arial" w:hAnsi="Arial"/>
          <w:color w:val="000000"/>
          <w:sz w:val="19"/>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pStyle w:val="TextBody"/>
        <w:bidi w:val="0"/>
        <w:spacing w:before="120" w:after="283"/>
        <w:jc w:val="left"/>
        <w:rPr>
          <w:rFonts w:ascii="Arial" w:hAnsi="Arial"/>
          <w:color w:val="000000"/>
          <w:sz w:val="19"/>
        </w:rPr>
      </w:pPr>
      <w:r>
        <w:rPr>
          <w:rFonts w:ascii="Arial" w:hAnsi="Arial"/>
          <w:color w:val="000000"/>
          <w:sz w:val="19"/>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pStyle w:val="TextBody"/>
        <w:bidi w:val="0"/>
        <w:spacing w:before="120" w:after="283"/>
        <w:jc w:val="left"/>
        <w:rPr>
          <w:rFonts w:ascii="Times New Roman" w:hAnsi="Times New Roman"/>
          <w:sz w:val="20"/>
        </w:rPr>
      </w:pPr>
      <w:r>
        <w:rPr>
          <w:rFonts w:ascii="Arial" w:hAnsi="Arial"/>
          <w:color w:val="000000"/>
          <w:sz w:val="19"/>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cases where we do not have proprietary or otherwise protected rights at the time of publication. A competitor’s discovery of our trade secrets would impair our competitive position and have an adverse impact on our business.</w:t>
      </w:r>
    </w:p>
    <w:p>
      <w:pPr>
        <w:pStyle w:val="TextBody"/>
        <w:bidi w:val="0"/>
        <w:spacing w:before="160" w:after="283"/>
        <w:jc w:val="left"/>
        <w:rPr>
          <w:rFonts w:ascii="Arial" w:hAnsi="Arial"/>
          <w:b/>
          <w:color w:val="000000"/>
          <w:sz w:val="19"/>
        </w:rPr>
      </w:pPr>
      <w:r>
        <w:rPr>
          <w:rFonts w:ascii="Arial" w:hAnsi="Arial"/>
          <w:b/>
          <w:color w:val="000000"/>
          <w:sz w:val="19"/>
        </w:rPr>
        <w:t>Risks Related to Intellectual Property</w:t>
      </w:r>
    </w:p>
    <w:p>
      <w:pPr>
        <w:pStyle w:val="TextBody"/>
        <w:bidi w:val="0"/>
        <w:spacing w:before="120" w:after="283"/>
        <w:jc w:val="left"/>
        <w:rPr>
          <w:rFonts w:ascii="Arial" w:hAnsi="Arial"/>
          <w:b/>
          <w:i/>
          <w:color w:val="000000"/>
          <w:sz w:val="19"/>
        </w:rPr>
      </w:pPr>
      <w:r>
        <w:rPr>
          <w:rFonts w:ascii="Arial" w:hAnsi="Arial"/>
          <w:b/>
          <w:i/>
          <w:color w:val="000000"/>
          <w:sz w:val="19"/>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pStyle w:val="TextBody"/>
        <w:bidi w:val="0"/>
        <w:spacing w:before="120" w:after="283"/>
        <w:jc w:val="left"/>
        <w:rPr>
          <w:rFonts w:ascii="Times New Roman" w:hAnsi="Times New Roman"/>
          <w:sz w:val="20"/>
        </w:rPr>
      </w:pPr>
      <w:r>
        <w:rPr>
          <w:rFonts w:ascii="Arial" w:hAnsi="Arial"/>
          <w:color w:val="000000"/>
          <w:sz w:val="19"/>
        </w:rPr>
        <w:t>We are and expect to continue to be reliant upon third-party licensors for certain patent and other intellectual property rights that are important or necessary to the development of some of our technology and product candidates. For example, we rely on licenses from MGB and Periphagen to certain patent rights. These license agreements impose,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any of our license agreements are terminated, we may lose our rights to develop and commercialize certain of our product candidates and technology, lose patent protection, experience significant delays in the development and commercialization of certain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pStyle w:val="TextBody"/>
        <w:bidi w:val="0"/>
        <w:spacing w:before="120" w:after="283"/>
        <w:jc w:val="left"/>
        <w:rPr>
          <w:rFonts w:ascii="Arial" w:hAnsi="Arial"/>
          <w:color w:val="000000"/>
          <w:sz w:val="19"/>
        </w:rPr>
      </w:pPr>
      <w:r>
        <w:rPr>
          <w:rFonts w:ascii="Arial" w:hAnsi="Arial"/>
          <w:color w:val="000000"/>
          <w:sz w:val="19"/>
        </w:rPr>
        <w:t>Disputes may arise regarding intellectual property subject to a licensing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or our licensors’ ability to obtain, maintain and defend intellectual property and to enforce intellectual property rights against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extent to which our technology, product candidates and processes infringe, misappropriate or otherwise violate the intellectual property of the licensor that is not subject to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sublicensing of patent and other intellectual property rights under our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diligence, development, regulatory, commercialization, financial or other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inventorship and ownership of inventions and know-how resulting from the joint creation or use of intellectual property by our current or future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priority of invention of patented technology.</w:t>
      </w:r>
    </w:p>
    <w:p>
      <w:pPr>
        <w:pStyle w:val="TextBody"/>
        <w:bidi w:val="0"/>
        <w:spacing w:before="120" w:after="283"/>
        <w:jc w:val="left"/>
        <w:rPr>
          <w:rFonts w:ascii="Arial" w:hAnsi="Arial"/>
          <w:color w:val="000000"/>
          <w:sz w:val="19"/>
        </w:rPr>
      </w:pPr>
      <w:r>
        <w:rPr>
          <w:rFonts w:ascii="Arial" w:hAnsi="Arial"/>
          <w:color w:val="000000"/>
          <w:sz w:val="19"/>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pStyle w:val="TextBody"/>
        <w:bidi w:val="0"/>
        <w:spacing w:before="120" w:after="283"/>
        <w:jc w:val="left"/>
        <w:rPr>
          <w:rFonts w:ascii="Times New Roman" w:hAnsi="Times New Roman"/>
          <w:sz w:val="20"/>
        </w:rPr>
      </w:pPr>
      <w:r>
        <w:rPr>
          <w:rFonts w:ascii="Arial" w:hAnsi="Arial"/>
          <w:color w:val="000000"/>
          <w:sz w:val="19"/>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all relevant fields of use and in all territories in which we may wish to develop or commercialize our technology and any product candidates we may develop in the future.</w:t>
      </w:r>
    </w:p>
    <w:p>
      <w:pPr>
        <w:pStyle w:val="TextBody"/>
        <w:bidi w:val="0"/>
        <w:spacing w:before="120" w:after="283"/>
        <w:jc w:val="left"/>
        <w:rPr>
          <w:rFonts w:ascii="Arial" w:hAnsi="Arial"/>
          <w:color w:val="000000"/>
          <w:sz w:val="19"/>
        </w:rPr>
      </w:pPr>
      <w:r>
        <w:rPr>
          <w:rFonts w:ascii="Arial" w:hAnsi="Arial"/>
          <w:color w:val="000000"/>
          <w:sz w:val="19"/>
        </w:rPr>
        <w:t>Moreover, some of our in-licensed patent and other intellectual property rights may in the future be subject to third-party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pStyle w:val="TextBody"/>
        <w:bidi w:val="0"/>
        <w:spacing w:before="120" w:after="283"/>
        <w:jc w:val="left"/>
        <w:rPr>
          <w:rFonts w:ascii="Arial" w:hAnsi="Arial"/>
          <w:color w:val="000000"/>
          <w:sz w:val="19"/>
        </w:rPr>
      </w:pPr>
      <w:r>
        <w:rPr>
          <w:rFonts w:ascii="Arial" w:hAnsi="Arial"/>
          <w:color w:val="000000"/>
          <w:sz w:val="19"/>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pStyle w:val="TextBody"/>
        <w:bidi w:val="0"/>
        <w:spacing w:before="120" w:after="283"/>
        <w:jc w:val="left"/>
        <w:rPr>
          <w:rFonts w:ascii="Arial" w:hAnsi="Arial"/>
          <w:color w:val="000000"/>
          <w:sz w:val="19"/>
        </w:rPr>
      </w:pPr>
      <w:r>
        <w:rPr>
          <w:rFonts w:ascii="Arial" w:hAnsi="Arial"/>
          <w:color w:val="000000"/>
          <w:sz w:val="19"/>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w:t>
      </w:r>
    </w:p>
    <w:p>
      <w:pPr>
        <w:pStyle w:val="TextBody"/>
        <w:bidi w:val="0"/>
        <w:spacing w:before="120" w:after="283"/>
        <w:jc w:val="left"/>
        <w:rPr>
          <w:rFonts w:ascii="Arial" w:hAnsi="Arial"/>
          <w:b/>
          <w:i/>
          <w:color w:val="000000"/>
          <w:sz w:val="19"/>
        </w:rPr>
      </w:pPr>
      <w:r>
        <w:rPr>
          <w:rFonts w:ascii="Arial" w:hAnsi="Arial"/>
          <w:b/>
          <w:i/>
          <w:color w:val="000000"/>
          <w:sz w:val="19"/>
        </w:rPr>
        <w:t>Our success depends in part on our ability to protect our intellectual property. It is difficult and costly to protect our proprietary rights and technology, and we may not be able to ensure their protection.</w:t>
      </w:r>
    </w:p>
    <w:p>
      <w:pPr>
        <w:pStyle w:val="TextBody"/>
        <w:bidi w:val="0"/>
        <w:spacing w:before="120" w:after="283"/>
        <w:jc w:val="left"/>
        <w:rPr>
          <w:rFonts w:ascii="Arial" w:hAnsi="Arial"/>
          <w:color w:val="000000"/>
          <w:sz w:val="19"/>
        </w:rPr>
      </w:pPr>
      <w:r>
        <w:rPr>
          <w:rFonts w:ascii="Arial" w:hAnsi="Arial"/>
          <w:color w:val="000000"/>
          <w:sz w:val="19"/>
        </w:rPr>
        <w:t>Our business depends in large part on obtaining and maintaining patent, trademark and trade secret protection of our proprietary technologies and our product candidates, including their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pStyle w:val="TextBody"/>
        <w:bidi w:val="0"/>
        <w:spacing w:before="120" w:after="283"/>
        <w:jc w:val="left"/>
        <w:rPr>
          <w:rFonts w:ascii="Arial" w:hAnsi="Arial"/>
          <w:color w:val="000000"/>
          <w:sz w:val="19"/>
        </w:rPr>
      </w:pPr>
      <w:r>
        <w:rPr>
          <w:rFonts w:ascii="Arial" w:hAnsi="Arial"/>
          <w:color w:val="000000"/>
          <w:sz w:val="19"/>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pStyle w:val="TextBody"/>
        <w:bidi w:val="0"/>
        <w:spacing w:before="120" w:after="283"/>
        <w:jc w:val="left"/>
        <w:rPr>
          <w:rFonts w:ascii="Arial" w:hAnsi="Arial"/>
          <w:color w:val="000000"/>
          <w:sz w:val="19"/>
        </w:rPr>
      </w:pPr>
      <w:r>
        <w:rPr>
          <w:rFonts w:ascii="Arial" w:hAnsi="Arial"/>
          <w:color w:val="000000"/>
          <w:sz w:val="19"/>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and patents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pStyle w:val="TextBody"/>
        <w:bidi w:val="0"/>
        <w:spacing w:before="80" w:after="283"/>
        <w:jc w:val="left"/>
        <w:rPr>
          <w:rFonts w:ascii="Arial" w:hAnsi="Arial"/>
          <w:color w:val="000000"/>
          <w:sz w:val="19"/>
        </w:rPr>
      </w:pPr>
      <w:r>
        <w:rPr>
          <w:rFonts w:ascii="Arial" w:hAnsi="Arial"/>
          <w:color w:val="000000"/>
          <w:sz w:val="19"/>
        </w:rPr>
        <w:t>We cannot be certain that we were the first to file any patent application related to our technology and directed to our product candidates, and, if we were not, we may be precluded from obtaining patent protection for our technology, including our product candidates.</w:t>
      </w:r>
    </w:p>
    <w:p>
      <w:pPr>
        <w:pStyle w:val="TextBody"/>
        <w:bidi w:val="0"/>
        <w:spacing w:before="120" w:after="283"/>
        <w:jc w:val="left"/>
        <w:rPr>
          <w:rFonts w:ascii="Times New Roman" w:hAnsi="Times New Roman"/>
          <w:sz w:val="20"/>
        </w:rPr>
      </w:pPr>
      <w:r>
        <w:rPr>
          <w:rFonts w:ascii="Arial" w:hAnsi="Arial"/>
          <w:color w:val="000000"/>
          <w:sz w:val="19"/>
        </w:rPr>
        <w:t>We cannot be certain that we are the first to invent the inventions covered by pending patent applications and patents, and, if we are not, we may be subject to priority disputes. Furthermore, for United States applications in which all claims are entitled to a priority date before March 16, 2013, an interference proceeding can be provoked by a third-party or instituted by the USPTO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determine who was the first to invent any of the subject matter covered by the patent claims of our applications and patents.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pStyle w:val="TextBody"/>
        <w:bidi w:val="0"/>
        <w:spacing w:before="120" w:after="283"/>
        <w:jc w:val="left"/>
        <w:rPr>
          <w:rFonts w:ascii="Arial" w:hAnsi="Arial"/>
          <w:color w:val="000000"/>
          <w:sz w:val="19"/>
        </w:rPr>
      </w:pPr>
      <w:r>
        <w:rPr>
          <w:rFonts w:ascii="Arial" w:hAnsi="Arial"/>
          <w:color w:val="000000"/>
          <w:sz w:val="19"/>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pStyle w:val="TextBody"/>
        <w:bidi w:val="0"/>
        <w:spacing w:before="120" w:after="283"/>
        <w:jc w:val="left"/>
        <w:rPr>
          <w:rFonts w:ascii="Arial" w:hAnsi="Arial"/>
          <w:color w:val="000000"/>
          <w:sz w:val="19"/>
        </w:rPr>
      </w:pPr>
      <w:r>
        <w:rPr>
          <w:rFonts w:ascii="Arial" w:hAnsi="Arial"/>
          <w:color w:val="000000"/>
          <w:sz w:val="19"/>
        </w:rPr>
        <w:t>Changes in either the patent laws or interpretation of the patent laws in the United States and other countries may diminish the value of the patents we in-license or narrow the scope of our patent protection. In addition, the laws of foreign countries may not protect our rights to the same extent or in the same manner as the laws of the United States. For example, European patent law is more restrictive than U.S. patent law in connection with the patentability of methods of treatment of the human body and Chinese bankruptcy law may not provide a licensee the same protections as U.S. bankruptcy law.</w:t>
      </w:r>
    </w:p>
    <w:p>
      <w:pPr>
        <w:pStyle w:val="TextBody"/>
        <w:bidi w:val="0"/>
        <w:spacing w:before="120" w:after="283"/>
        <w:jc w:val="left"/>
        <w:rPr>
          <w:rFonts w:ascii="Arial" w:hAnsi="Arial"/>
          <w:color w:val="000000"/>
          <w:sz w:val="19"/>
        </w:rPr>
      </w:pPr>
      <w:r>
        <w:rPr>
          <w:rFonts w:ascii="Arial" w:hAnsi="Arial"/>
          <w:color w:val="000000"/>
          <w:sz w:val="19"/>
        </w:rPr>
        <w:t>Furthermore, in the United States, patent reform legislation could increase the uncertainties and costs surrounding the prosecution of our patent applications and the enforcement or defense of our issued patents. Under the Leahy-Smith America Invents Act (the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included a number of other significant changes to U.S. patent law, including provisions that affect the way patent applications are prosecuted, redefine prior art and establish a new post-grant review system. The effects of these changes are unclear as the USPTO continues to develop new regulations and procedures in connection with the America Invents Act. In addition, the patent positions of companies in the development and commercialization of biopharmaceuticals are particularly uncertain. For example, the United States Supreme Court has ruled on several recent patent cases, either narrowing the scope of patent protection available in certain circumstances or weakening the rights of patent owners in certain situations. While we do not believe that any of our patents will be found invalid based on these or other decisions, we cannot predict how future decisions by the courts, the U.S. Congress or the USPTO may impact the value of our patents. Furthermore, in 2022, Congress passed the Inflation Reduction Act, or IRA, which authorizes the Secretary of the Department of Health and Human Services, or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that it will not affect our patent strategy in the long run.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increase the uncertainties and costs surrounding the prosecution of our patent applications and have a material adverse effect on our existing patent portfolio and our ability to protect and enforce our intellectual property in the future.</w:t>
      </w:r>
    </w:p>
    <w:p>
      <w:pPr>
        <w:pStyle w:val="TextBody"/>
        <w:bidi w:val="0"/>
        <w:spacing w:before="120" w:after="283"/>
        <w:jc w:val="left"/>
        <w:rPr>
          <w:rFonts w:ascii="Arial" w:hAnsi="Arial"/>
          <w:color w:val="000000"/>
          <w:sz w:val="19"/>
        </w:rPr>
      </w:pPr>
      <w:r>
        <w:rPr>
          <w:rFonts w:ascii="Arial" w:hAnsi="Arial"/>
          <w:color w:val="000000"/>
          <w:sz w:val="19"/>
        </w:rPr>
        <w:t>In addition, the European Union opened a Unified Patent Court (UPC) in June 2023. The UPC is a common patent court that hears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 We have opted out of the UPC for our European patents and applications and may decide to opt out of any future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even if we elected, or in the future elect, to opt out of the UPC.</w:t>
      </w:r>
    </w:p>
    <w:p>
      <w:pPr>
        <w:pStyle w:val="TextBody"/>
        <w:bidi w:val="0"/>
        <w:spacing w:before="120" w:after="283"/>
        <w:jc w:val="left"/>
        <w:rPr>
          <w:rFonts w:ascii="Times New Roman" w:hAnsi="Times New Roman"/>
          <w:sz w:val="20"/>
        </w:rPr>
      </w:pPr>
      <w:r>
        <w:rPr>
          <w:rFonts w:ascii="Arial" w:hAnsi="Arial"/>
          <w:color w:val="000000"/>
          <w:sz w:val="19"/>
        </w:rPr>
        <w:t>We cannot predict whether the patent applications that we own or in-license will issue as patents, whether the claims of any patent that has or may issue will provide us with a competitive advantage or prevent competitors from designing around the claims to develop competing technologies in a non-infringing manner, or whether we or our licensors will be able to successfully pursue patent applications in the future relating to our current product candidates or future products and product candidates.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Arial" w:hAnsi="Arial"/>
          <w:color w:val="000000"/>
          <w:sz w:val="19"/>
        </w:rPr>
        <w:t>Moreover, the patent application and approval process is expensive and time-consuming. We or our licensors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Even if the patent applications we own or in-license issue as patents, they may not issue in a form that will provide us with any meaningful protection, prevent competitors from competing with us or otherwise provide us with any competitive advantage. Our competitors may be able to circumvent our patent rights by developing similar or alternative technologies or products in a non-infringing manner. Our competitors may also seek approval to market their own products similar to or otherwise competitive with our product candidates. Alternatively, our competitors may seek to market generic versions of any approved products by submitting abbreviated BLAs to the FDA during which process they may claim that patents licensed by us are invalid, unenforceable or not infringed. In these circumstances, we may need to defend or assert our intellectual property rights, or both, including by filing lawsuits alleging patent infringement. In any of these types of proceedings, a court or other agency with jurisdiction may find the patents we in-license invalid or unenforceable, or that our competitors are competing in a non-infringing manner. Thus, even if we own or have in-licensed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pStyle w:val="TextBody"/>
        <w:bidi w:val="0"/>
        <w:spacing w:before="120" w:after="283"/>
        <w:jc w:val="left"/>
        <w:rPr>
          <w:rFonts w:ascii="Arial" w:hAnsi="Arial"/>
          <w:color w:val="000000"/>
          <w:sz w:val="19"/>
        </w:rPr>
      </w:pPr>
      <w:r>
        <w:rPr>
          <w:rFonts w:ascii="Arial" w:hAnsi="Arial"/>
          <w:color w:val="000000"/>
          <w:sz w:val="19"/>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others may be able to make or use compounds that are similar to the compositions of our product candidates but that are not covered by the claims of our patents or those of our licensors;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we or our licensors, as the case may be, may fail to meet our obligations to the U.S. government in regards to any in-licensed patents and patent applications funded by U.S. government grants, leading to the loss of patent rights;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we or our licensors, as the case may be, might not have been the first to file patent applications for these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others may independently develop similar or alternative technologies or duplicate any of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it is possible that our pending patent applications will not result in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it is possible that there are prior public disclosures that could invalidate our or our licensors’ patents, as the case may be, or parts of our or their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it is possible that others may circumvent our owned or in-licensed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it is possible that there are unpublished applications or patent applications maintained in secrecy that may later issue with claims covering our products or technology similar to ours;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laws of foreign countries may not protect our or our licensors’, as the case may be, proprietary rights to the same extent as the laws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claims of our owned or in-licensed issued patents or patent applications, if and when issued, may not cover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owned, co-owned, or in-licensed issued patents may not provide us with any competitive advantages, may be narrowed in scope, or be held invalid or unenforceable as a result of legal challenges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inventors of our owned, co-owned, or in-licensed patents or patent applications may become involved with competitors, develop products or processes which design around our patents, or become hostile to us or the patents or patent applications on which they are named as inventors;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co-owners of certain of our patent applications may become involved with, or license or assign the co-owned applications to competitors, or become hostile to us or the patents or patent applications on which they are named as co-owners;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we have engaged in scientific collaborations in the past, and will continue to do so in the future. Such collaborators may develop adjacent or competing products to ours that are outside the scope of our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we may not develop additional proprietary technologies for which we can obtain patent protection;</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it is possible that product candidates or diagnostic tests we develop may be covered by third parties’ patents or other exclusive rights;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patents of others may have an adverse effect on our business.</w:t>
      </w:r>
    </w:p>
    <w:p>
      <w:pPr>
        <w:pStyle w:val="TextBody"/>
        <w:bidi w:val="0"/>
        <w:spacing w:before="120" w:after="283"/>
        <w:jc w:val="left"/>
        <w:rPr>
          <w:rFonts w:ascii="Arial" w:hAnsi="Arial"/>
          <w:b/>
          <w:i/>
          <w:color w:val="000000"/>
          <w:sz w:val="19"/>
        </w:rPr>
      </w:pPr>
      <w:r>
        <w:rPr>
          <w:rFonts w:ascii="Arial" w:hAnsi="Arial"/>
          <w:b/>
          <w:i/>
          <w:color w:val="000000"/>
          <w:sz w:val="19"/>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pStyle w:val="TextBody"/>
        <w:bidi w:val="0"/>
        <w:spacing w:before="120" w:after="283"/>
        <w:jc w:val="left"/>
        <w:rPr>
          <w:rFonts w:ascii="Arial" w:hAnsi="Arial"/>
          <w:color w:val="000000"/>
          <w:sz w:val="19"/>
        </w:rPr>
      </w:pPr>
      <w:r>
        <w:rPr>
          <w:rFonts w:ascii="Arial" w:hAnsi="Arial"/>
          <w:color w:val="000000"/>
          <w:sz w:val="19"/>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pStyle w:val="TextBody"/>
        <w:bidi w:val="0"/>
        <w:spacing w:before="120" w:after="283"/>
        <w:jc w:val="left"/>
        <w:rPr>
          <w:rFonts w:ascii="Arial" w:hAnsi="Arial"/>
          <w:color w:val="000000"/>
          <w:sz w:val="19"/>
        </w:rPr>
      </w:pPr>
      <w:r>
        <w:rPr>
          <w:rFonts w:ascii="Arial" w:hAnsi="Arial"/>
          <w:color w:val="000000"/>
          <w:sz w:val="19"/>
        </w:rPr>
        <w:t>Moreover, disputes may arise regarding intellectual property subject to a licensing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extent to which our product candidates,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sublicensing of patent and other rights under our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inventorship and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priority of invention of patented technology.</w:t>
      </w:r>
    </w:p>
    <w:p>
      <w:pPr>
        <w:pStyle w:val="TextBody"/>
        <w:bidi w:val="0"/>
        <w:spacing w:before="120" w:after="283"/>
        <w:jc w:val="left"/>
        <w:rPr>
          <w:rFonts w:ascii="Arial" w:hAnsi="Arial"/>
          <w:color w:val="000000"/>
          <w:sz w:val="19"/>
        </w:rPr>
      </w:pPr>
      <w:r>
        <w:rPr>
          <w:rFonts w:ascii="Arial" w:hAnsi="Arial"/>
          <w:color w:val="000000"/>
          <w:sz w:val="19"/>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before="120" w:after="283"/>
        <w:jc w:val="left"/>
        <w:rPr>
          <w:rFonts w:ascii="Arial" w:hAnsi="Arial"/>
          <w:color w:val="000000"/>
          <w:sz w:val="19"/>
        </w:rPr>
      </w:pPr>
      <w:r>
        <w:rPr>
          <w:rFonts w:ascii="Arial" w:hAnsi="Arial"/>
          <w:color w:val="000000"/>
          <w:sz w:val="19"/>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pStyle w:val="TextBody"/>
        <w:bidi w:val="0"/>
        <w:spacing w:before="120" w:after="283"/>
        <w:jc w:val="left"/>
        <w:rPr>
          <w:rFonts w:ascii="Arial" w:hAnsi="Arial"/>
          <w:b/>
          <w:i/>
          <w:color w:val="000000"/>
          <w:sz w:val="19"/>
        </w:rPr>
      </w:pPr>
      <w:r>
        <w:rPr>
          <w:rFonts w:ascii="Arial" w:hAnsi="Arial"/>
          <w:b/>
          <w:i/>
          <w:color w:val="000000"/>
          <w:sz w:val="19"/>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sz w:val="20"/>
        </w:rPr>
      </w:pPr>
      <w:r>
        <w:rPr>
          <w:rFonts w:ascii="Arial" w:hAnsi="Arial"/>
          <w:color w:val="000000"/>
          <w:sz w:val="19"/>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research development strategy includes the establishment of cocultured cancer cells, immune cells and viruses. Our techniques for establishing these cocultures and testing our experimental agents in these assays are proprietary and confidential. If one or more third parties obtain or are otherwise able to replicate these techniques, an important feature and differentiator of our research development strategy will become available to potential competitors. If any of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confidential or proprietary information, such as our trade secrets, were to be disclosed or misappropriated, or if any such information was independently developed by a competitor, our competitive position could be harmed.</w:t>
      </w:r>
    </w:p>
    <w:p>
      <w:pPr>
        <w:pStyle w:val="TextBody"/>
        <w:bidi w:val="0"/>
        <w:spacing w:before="120" w:after="283"/>
        <w:jc w:val="left"/>
        <w:rPr>
          <w:rFonts w:ascii="Arial" w:hAnsi="Arial"/>
          <w:color w:val="000000"/>
          <w:sz w:val="19"/>
        </w:rPr>
      </w:pPr>
      <w:r>
        <w:rPr>
          <w:rFonts w:ascii="Arial" w:hAnsi="Arial"/>
          <w:color w:val="000000"/>
          <w:sz w:val="19"/>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bidi w:val="0"/>
        <w:spacing w:before="120" w:after="283"/>
        <w:jc w:val="left"/>
        <w:rPr>
          <w:rFonts w:ascii="Arial" w:hAnsi="Arial"/>
          <w:color w:val="000000"/>
          <w:sz w:val="19"/>
        </w:rPr>
      </w:pPr>
      <w:r>
        <w:rPr>
          <w:rFonts w:ascii="Arial" w:hAnsi="Arial"/>
          <w:color w:val="000000"/>
          <w:sz w:val="19"/>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pStyle w:val="TextBody"/>
        <w:bidi w:val="0"/>
        <w:spacing w:before="120" w:after="283"/>
        <w:jc w:val="left"/>
        <w:rPr>
          <w:rFonts w:ascii="Arial" w:hAnsi="Arial"/>
          <w:b/>
          <w:i/>
          <w:color w:val="000000"/>
          <w:sz w:val="19"/>
        </w:rPr>
      </w:pPr>
      <w:r>
        <w:rPr>
          <w:rFonts w:ascii="Arial" w:hAnsi="Arial"/>
          <w:b/>
          <w:i/>
          <w:color w:val="000000"/>
          <w:sz w:val="19"/>
        </w:rPr>
        <w:t>Third-party claims of intellectual property infringement may prevent or delay our product discovery and development efforts.</w:t>
      </w:r>
    </w:p>
    <w:p>
      <w:pPr>
        <w:pStyle w:val="TextBody"/>
        <w:bidi w:val="0"/>
        <w:spacing w:before="120" w:after="283"/>
        <w:jc w:val="left"/>
        <w:rPr>
          <w:rFonts w:ascii="Times New Roman" w:hAnsi="Times New Roman"/>
          <w:sz w:val="20"/>
        </w:rPr>
      </w:pPr>
      <w:r>
        <w:rPr>
          <w:rFonts w:ascii="Arial" w:hAnsi="Arial"/>
          <w:color w:val="000000"/>
          <w:sz w:val="19"/>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w:t>
      </w:r>
      <w:r>
        <w:rPr>
          <w:rFonts w:ascii="Times New Roman" w:hAnsi="Times New Roman"/>
          <w:color w:val="000000"/>
          <w:sz w:val="20"/>
        </w:rPr>
        <w:t xml:space="preserve"> </w:t>
      </w:r>
      <w:r>
        <w:rPr>
          <w:rFonts w:ascii="Arial" w:hAnsi="Arial"/>
          <w:i/>
          <w:color w:val="000000"/>
          <w:sz w:val="19"/>
        </w:rPr>
        <w:t>inter partes</w:t>
      </w:r>
      <w:r>
        <w:rPr>
          <w:rFonts w:ascii="Times New Roman" w:hAnsi="Times New Roman"/>
          <w:color w:val="000000"/>
          <w:sz w:val="20"/>
        </w:rPr>
        <w:t xml:space="preserve"> </w:t>
      </w:r>
      <w:r>
        <w:rPr>
          <w:rFonts w:ascii="Arial" w:hAnsi="Arial"/>
          <w:color w:val="000000"/>
          <w:sz w:val="19"/>
        </w:rPr>
        <w:t>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before="120" w:after="283"/>
        <w:jc w:val="left"/>
        <w:rPr>
          <w:rFonts w:ascii="Arial" w:hAnsi="Arial"/>
          <w:color w:val="000000"/>
          <w:sz w:val="19"/>
        </w:rPr>
      </w:pPr>
      <w:r>
        <w:rPr>
          <w:rFonts w:ascii="Arial" w:hAnsi="Arial"/>
          <w:color w:val="000000"/>
          <w:sz w:val="19"/>
        </w:rPr>
        <w:t>If a third-party claims that we infringe its intellectual property rights, we may face a number of issues,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infringement and other intellectual property claims which, regardless of merit, may be expensive and time-consuming to litigate and may divert our management’s attention from our core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a court prohibiting us from developing, manufacturing, marketing or selling our product candidates, or from using our proprietary technologies, unless the third-party licenses its product rights to us, which it is not required to do;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redesigning our product candidates or processes so they do not infringe, which may not be possible or may require substantial monetary expenditures and time.</w:t>
      </w:r>
    </w:p>
    <w:p>
      <w:pPr>
        <w:pStyle w:val="TextBody"/>
        <w:bidi w:val="0"/>
        <w:spacing w:before="120" w:after="283"/>
        <w:jc w:val="left"/>
        <w:rPr>
          <w:rFonts w:ascii="Arial" w:hAnsi="Arial"/>
          <w:color w:val="000000"/>
          <w:sz w:val="19"/>
        </w:rPr>
      </w:pPr>
      <w:r>
        <w:rPr>
          <w:rFonts w:ascii="Arial" w:hAnsi="Arial"/>
          <w:color w:val="000000"/>
          <w:sz w:val="19"/>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b/>
          <w:i/>
          <w:color w:val="000000"/>
          <w:sz w:val="19"/>
        </w:rPr>
      </w:pPr>
      <w:r>
        <w:rPr>
          <w:rFonts w:ascii="Arial" w:hAnsi="Arial"/>
          <w:b/>
          <w:i/>
          <w:color w:val="000000"/>
          <w:sz w:val="19"/>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before="120" w:after="283"/>
        <w:jc w:val="left"/>
        <w:rPr>
          <w:rFonts w:ascii="Arial" w:hAnsi="Arial"/>
          <w:color w:val="000000"/>
          <w:sz w:val="19"/>
        </w:rPr>
      </w:pPr>
      <w:r>
        <w:rPr>
          <w:rFonts w:ascii="Arial" w:hAnsi="Arial"/>
          <w:color w:val="000000"/>
          <w:sz w:val="19"/>
        </w:rPr>
        <w:t>We have collaborated and continue to collaborate with several institutions, universities, medical centers, physicians and researchers in scientific matters and expect to enter into additional collaboration agreements in the future.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pStyle w:val="TextBody"/>
        <w:bidi w:val="0"/>
        <w:spacing w:before="120" w:after="283"/>
        <w:jc w:val="left"/>
        <w:rPr>
          <w:rFonts w:ascii="Arial" w:hAnsi="Arial"/>
          <w:b/>
          <w:i/>
          <w:color w:val="000000"/>
          <w:sz w:val="19"/>
        </w:rPr>
      </w:pPr>
      <w:r>
        <w:rPr>
          <w:rFonts w:ascii="Arial" w:hAnsi="Arial"/>
          <w:b/>
          <w:i/>
          <w:color w:val="000000"/>
          <w:sz w:val="19"/>
        </w:rPr>
        <w:t>Third parties may assert that we are employing their proprietary technology without authorization.</w:t>
      </w:r>
    </w:p>
    <w:p>
      <w:pPr>
        <w:pStyle w:val="TextBody"/>
        <w:bidi w:val="0"/>
        <w:spacing w:before="120" w:after="283"/>
        <w:jc w:val="left"/>
        <w:rPr>
          <w:rFonts w:ascii="Arial" w:hAnsi="Arial"/>
          <w:color w:val="000000"/>
          <w:sz w:val="19"/>
        </w:rPr>
      </w:pPr>
      <w:r>
        <w:rPr>
          <w:rFonts w:ascii="Arial" w:hAnsi="Arial"/>
          <w:color w:val="000000"/>
          <w:sz w:val="19"/>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120" w:after="283"/>
        <w:jc w:val="left"/>
        <w:rPr>
          <w:rFonts w:ascii="Arial" w:hAnsi="Arial"/>
          <w:color w:val="000000"/>
          <w:sz w:val="19"/>
        </w:rPr>
      </w:pPr>
      <w:r>
        <w:rPr>
          <w:rFonts w:ascii="Arial" w:hAnsi="Arial"/>
          <w:color w:val="000000"/>
          <w:sz w:val="19"/>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before="120" w:after="283"/>
        <w:jc w:val="left"/>
        <w:rPr>
          <w:rFonts w:ascii="Arial" w:hAnsi="Arial"/>
          <w:b/>
          <w:i/>
          <w:color w:val="000000"/>
          <w:sz w:val="19"/>
        </w:rPr>
      </w:pPr>
      <w:r>
        <w:rPr>
          <w:rFonts w:ascii="Arial" w:hAnsi="Arial"/>
          <w:b/>
          <w:i/>
          <w:color w:val="000000"/>
          <w:sz w:val="19"/>
        </w:rPr>
        <w:t>Third parties may assert that our employees or consultants have wrongfully used or disclosed confidential information, misappropriated trade secrets, or are in breach of non-competition or non-solicitation agreements with our competitors.</w:t>
      </w:r>
    </w:p>
    <w:p>
      <w:pPr>
        <w:pStyle w:val="TextBody"/>
        <w:bidi w:val="0"/>
        <w:spacing w:before="120" w:after="283"/>
        <w:jc w:val="left"/>
        <w:rPr>
          <w:rFonts w:ascii="Times New Roman" w:hAnsi="Times New Roman"/>
          <w:sz w:val="20"/>
        </w:rPr>
      </w:pPr>
      <w:r>
        <w:rPr>
          <w:rFonts w:ascii="Arial" w:hAnsi="Arial"/>
          <w:color w:val="000000"/>
          <w:sz w:val="19"/>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Uncertainties resulting from the initiation and continuation of patent litigation or other intellectual property related proceedings could adversely affect our ability to compete in the marketplace.</w:t>
      </w:r>
    </w:p>
    <w:p>
      <w:pPr>
        <w:pStyle w:val="TextBody"/>
        <w:bidi w:val="0"/>
        <w:spacing w:before="120" w:after="283"/>
        <w:jc w:val="left"/>
        <w:rPr>
          <w:rFonts w:ascii="Arial" w:hAnsi="Arial"/>
          <w:b/>
          <w:i/>
          <w:color w:val="000000"/>
          <w:sz w:val="19"/>
        </w:rPr>
      </w:pPr>
      <w:r>
        <w:rPr>
          <w:rFonts w:ascii="Arial" w:hAnsi="Arial"/>
          <w:b/>
          <w:i/>
          <w:color w:val="000000"/>
          <w:sz w:val="19"/>
        </w:rPr>
        <w:t>We may not be successful in obtaining or maintaining necessary rights to develop any future product candidates on acceptable terms.</w:t>
      </w:r>
    </w:p>
    <w:p>
      <w:pPr>
        <w:pStyle w:val="TextBody"/>
        <w:bidi w:val="0"/>
        <w:spacing w:before="120" w:after="283"/>
        <w:jc w:val="left"/>
        <w:rPr>
          <w:rFonts w:ascii="Arial" w:hAnsi="Arial"/>
          <w:color w:val="000000"/>
          <w:sz w:val="19"/>
        </w:rPr>
      </w:pPr>
      <w:r>
        <w:rPr>
          <w:rFonts w:ascii="Arial" w:hAnsi="Arial"/>
          <w:color w:val="000000"/>
          <w:sz w:val="19"/>
        </w:rPr>
        <w:t>Because our programs may involve additional product candidates that may require the use of proprietary rights held by third parties, the growth of our business may depend in part on our ability to acquire, in-license or use these proprietary rights.</w:t>
      </w:r>
    </w:p>
    <w:p>
      <w:pPr>
        <w:pStyle w:val="TextBody"/>
        <w:bidi w:val="0"/>
        <w:spacing w:before="120" w:after="283"/>
        <w:jc w:val="left"/>
        <w:rPr>
          <w:rFonts w:ascii="Arial" w:hAnsi="Arial"/>
          <w:color w:val="000000"/>
          <w:sz w:val="19"/>
        </w:rPr>
      </w:pPr>
      <w:r>
        <w:rPr>
          <w:rFonts w:ascii="Arial" w:hAnsi="Arial"/>
          <w:color w:val="000000"/>
          <w:sz w:val="19"/>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120" w:after="283"/>
        <w:jc w:val="left"/>
        <w:rPr>
          <w:rFonts w:ascii="Arial" w:hAnsi="Arial"/>
          <w:color w:val="000000"/>
          <w:sz w:val="19"/>
        </w:rPr>
      </w:pPr>
      <w:r>
        <w:rPr>
          <w:rFonts w:ascii="Arial" w:hAnsi="Arial"/>
          <w:color w:val="000000"/>
          <w:sz w:val="19"/>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before="120" w:after="283"/>
        <w:jc w:val="left"/>
        <w:rPr>
          <w:rFonts w:ascii="Arial" w:hAnsi="Arial"/>
          <w:color w:val="000000"/>
          <w:sz w:val="19"/>
        </w:rPr>
      </w:pPr>
      <w:r>
        <w:rPr>
          <w:rFonts w:ascii="Arial" w:hAnsi="Arial"/>
          <w:color w:val="000000"/>
          <w:sz w:val="19"/>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before="120" w:after="283"/>
        <w:jc w:val="left"/>
        <w:rPr>
          <w:rFonts w:ascii="Arial" w:hAnsi="Arial"/>
          <w:b/>
          <w:i/>
          <w:color w:val="000000"/>
          <w:sz w:val="19"/>
        </w:rPr>
      </w:pPr>
      <w:r>
        <w:rPr>
          <w:rFonts w:ascii="Arial" w:hAnsi="Arial"/>
          <w:b/>
          <w:i/>
          <w:color w:val="000000"/>
          <w:sz w:val="19"/>
        </w:rPr>
        <w:t>We may be involved in lawsuits to protect or enforce our patents or the patents of our licensors, which could be expensive, time-consuming and unsuccessful.</w:t>
      </w:r>
    </w:p>
    <w:p>
      <w:pPr>
        <w:pStyle w:val="TextBody"/>
        <w:bidi w:val="0"/>
        <w:spacing w:before="120" w:after="283"/>
        <w:jc w:val="left"/>
        <w:rPr>
          <w:rFonts w:ascii="Arial" w:hAnsi="Arial"/>
          <w:color w:val="000000"/>
          <w:sz w:val="19"/>
        </w:rPr>
      </w:pPr>
      <w:r>
        <w:rPr>
          <w:rFonts w:ascii="Arial" w:hAnsi="Arial"/>
          <w:color w:val="000000"/>
          <w:sz w:val="19"/>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pStyle w:val="TextBody"/>
        <w:bidi w:val="0"/>
        <w:spacing w:before="120" w:after="283"/>
        <w:jc w:val="left"/>
        <w:rPr>
          <w:rFonts w:ascii="Times New Roman" w:hAnsi="Times New Roman"/>
          <w:sz w:val="20"/>
        </w:rPr>
      </w:pPr>
      <w:r>
        <w:rPr>
          <w:rFonts w:ascii="Arial" w:hAnsi="Arial"/>
          <w:color w:val="000000"/>
          <w:sz w:val="19"/>
        </w:rPr>
        <w:t>We may choose to challenge the patentability of claims in a third-party’s U.S. patent by requesting that the USPTO review the patent claims in an</w:t>
      </w:r>
      <w:r>
        <w:rPr>
          <w:rFonts w:ascii="Times New Roman" w:hAnsi="Times New Roman"/>
          <w:color w:val="000000"/>
          <w:sz w:val="20"/>
        </w:rPr>
        <w:t xml:space="preserve"> </w:t>
      </w:r>
      <w:r>
        <w:rPr>
          <w:rFonts w:ascii="Arial" w:hAnsi="Arial"/>
          <w:i/>
          <w:color w:val="000000"/>
          <w:sz w:val="19"/>
        </w:rPr>
        <w:t>ex-parte</w:t>
      </w:r>
      <w:r>
        <w:rPr>
          <w:rFonts w:ascii="Times New Roman" w:hAnsi="Times New Roman"/>
          <w:color w:val="000000"/>
          <w:sz w:val="20"/>
        </w:rPr>
        <w:t xml:space="preserve"> </w:t>
      </w:r>
      <w:r>
        <w:rPr>
          <w:rFonts w:ascii="Arial" w:hAnsi="Arial"/>
          <w:color w:val="000000"/>
          <w:sz w:val="19"/>
        </w:rPr>
        <w:t>re-examination,</w:t>
      </w:r>
      <w:r>
        <w:rPr>
          <w:rFonts w:ascii="Times New Roman" w:hAnsi="Times New Roman"/>
          <w:color w:val="000000"/>
          <w:sz w:val="20"/>
        </w:rPr>
        <w:t xml:space="preserve"> </w:t>
      </w:r>
      <w:r>
        <w:rPr>
          <w:rFonts w:ascii="Arial" w:hAnsi="Arial"/>
          <w:i/>
          <w:color w:val="000000"/>
          <w:sz w:val="19"/>
        </w:rPr>
        <w:t>inter partes</w:t>
      </w:r>
      <w:r>
        <w:rPr>
          <w:rFonts w:ascii="Times New Roman" w:hAnsi="Times New Roman"/>
          <w:color w:val="000000"/>
          <w:sz w:val="20"/>
        </w:rPr>
        <w:t xml:space="preserve"> </w:t>
      </w:r>
      <w:r>
        <w:rPr>
          <w:rFonts w:ascii="Arial" w:hAnsi="Arial"/>
          <w:color w:val="000000"/>
          <w:sz w:val="19"/>
        </w:rPr>
        <w:t>review or post-grant review proceeding. These proceedings are expensive and may consume our time or other resources. We may choose to challenge a third-party’s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pStyle w:val="TextBody"/>
        <w:bidi w:val="0"/>
        <w:spacing w:before="120" w:after="283"/>
        <w:jc w:val="left"/>
        <w:rPr>
          <w:rFonts w:ascii="Times New Roman" w:hAnsi="Times New Roman"/>
          <w:sz w:val="20"/>
        </w:rPr>
      </w:pPr>
      <w:r>
        <w:rPr>
          <w:rFonts w:ascii="Arial" w:hAnsi="Arial"/>
          <w:color w:val="000000"/>
          <w:sz w:val="19"/>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pStyle w:val="TextBody"/>
        <w:bidi w:val="0"/>
        <w:spacing w:before="120" w:after="283"/>
        <w:jc w:val="left"/>
        <w:rPr>
          <w:rFonts w:ascii="Arial" w:hAnsi="Arial"/>
          <w:color w:val="000000"/>
          <w:sz w:val="19"/>
        </w:rPr>
      </w:pPr>
      <w:r>
        <w:rPr>
          <w:rFonts w:ascii="Arial" w:hAnsi="Arial"/>
          <w:color w:val="000000"/>
          <w:sz w:val="19"/>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before="120" w:after="283"/>
        <w:jc w:val="left"/>
        <w:rPr>
          <w:rFonts w:ascii="Arial" w:hAnsi="Arial"/>
          <w:color w:val="000000"/>
          <w:sz w:val="19"/>
        </w:rPr>
      </w:pPr>
      <w:r>
        <w:rPr>
          <w:rFonts w:ascii="Arial" w:hAnsi="Arial"/>
          <w:color w:val="000000"/>
          <w:sz w:val="19"/>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120" w:after="283"/>
        <w:jc w:val="left"/>
        <w:rPr>
          <w:rFonts w:ascii="Arial" w:hAnsi="Arial"/>
          <w:b/>
          <w:i/>
          <w:color w:val="000000"/>
          <w:sz w:val="19"/>
        </w:rPr>
      </w:pPr>
      <w:r>
        <w:rPr>
          <w:rFonts w:ascii="Arial" w:hAnsi="Arial"/>
          <w:b/>
          <w:i/>
          <w:color w:val="000000"/>
          <w:sz w:val="19"/>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Arial" w:hAnsi="Arial"/>
          <w:color w:val="000000"/>
          <w:sz w:val="19"/>
        </w:rPr>
      </w:pPr>
      <w:r>
        <w:rPr>
          <w:rFonts w:ascii="Arial" w:hAnsi="Arial"/>
          <w:color w:val="000000"/>
          <w:sz w:val="19"/>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pStyle w:val="TextBody"/>
        <w:bidi w:val="0"/>
        <w:spacing w:before="120" w:after="283"/>
        <w:jc w:val="left"/>
        <w:rPr>
          <w:rFonts w:ascii="Arial" w:hAnsi="Arial"/>
          <w:b/>
          <w:i/>
          <w:color w:val="000000"/>
          <w:sz w:val="19"/>
        </w:rPr>
      </w:pPr>
      <w:r>
        <w:rPr>
          <w:rFonts w:ascii="Arial" w:hAnsi="Arial"/>
          <w:b/>
          <w:i/>
          <w:color w:val="000000"/>
          <w:sz w:val="19"/>
        </w:rPr>
        <w:t>Issued patents covering our product candidates could be found invalid or unenforceable if challenged in court or the USPTO or could expire before the first product achieves marketing approval.</w:t>
      </w:r>
    </w:p>
    <w:p>
      <w:pPr>
        <w:pStyle w:val="TextBody"/>
        <w:bidi w:val="0"/>
        <w:spacing w:before="120" w:after="283"/>
        <w:jc w:val="left"/>
        <w:rPr>
          <w:rFonts w:ascii="Arial" w:hAnsi="Arial"/>
          <w:color w:val="000000"/>
          <w:sz w:val="19"/>
        </w:rPr>
      </w:pPr>
      <w:r>
        <w:rPr>
          <w:rFonts w:ascii="Arial" w:hAnsi="Arial"/>
          <w:color w:val="000000"/>
          <w:sz w:val="19"/>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pStyle w:val="TextBody"/>
        <w:bidi w:val="0"/>
        <w:spacing w:before="120" w:after="283"/>
        <w:jc w:val="left"/>
        <w:rPr>
          <w:rFonts w:ascii="Arial" w:hAnsi="Arial"/>
          <w:color w:val="000000"/>
          <w:sz w:val="19"/>
        </w:rPr>
      </w:pPr>
      <w:r>
        <w:rPr>
          <w:rFonts w:ascii="Arial" w:hAnsi="Arial"/>
          <w:color w:val="000000"/>
          <w:sz w:val="19"/>
        </w:rPr>
        <w:t>Likewise, we own a U.S. patent relating to our aglatimagene product candidate that expires in 2034, and our in-licensed U.S. and non-U.S. patents relating to our HSV-based product candidates, licensed from MGB and from Periphagen are expected to expire in 2036 and in 2037, respectively, without taking into account any possible patent term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and in-license pending patent applications relating to our proprietary technologies or our product candidates that if issued as patents are expected to expire from 2034 through 2046, without taking into account any possible patent term adjustments or extensions. However, we cannot be assured that the USPTO or relevant foreign patent offices will grant any of these patent applications or that the term of the patent will be sufficient to protect the proprietary technologies or product candidates.</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b/>
          <w:i/>
          <w:color w:val="000000"/>
          <w:sz w:val="19"/>
        </w:rPr>
      </w:pPr>
      <w:r>
        <w:rPr>
          <w:rFonts w:ascii="Arial" w:hAnsi="Arial"/>
          <w:b/>
          <w:i/>
          <w:color w:val="000000"/>
          <w:sz w:val="19"/>
        </w:rPr>
        <w:t>We have limited foreign intellectual property rights and may not be able to protect our intellectual property rights throughout the world.</w:t>
      </w:r>
    </w:p>
    <w:p>
      <w:pPr>
        <w:pStyle w:val="TextBody"/>
        <w:bidi w:val="0"/>
        <w:spacing w:before="120" w:after="283"/>
        <w:jc w:val="left"/>
        <w:rPr>
          <w:rFonts w:ascii="Arial" w:hAnsi="Arial"/>
          <w:color w:val="000000"/>
          <w:sz w:val="19"/>
        </w:rPr>
      </w:pPr>
      <w:r>
        <w:rPr>
          <w:rFonts w:ascii="Arial" w:hAnsi="Arial"/>
          <w:color w:val="000000"/>
          <w:sz w:val="19"/>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bidi w:val="0"/>
        <w:spacing w:before="120" w:after="283"/>
        <w:jc w:val="left"/>
        <w:rPr>
          <w:rFonts w:ascii="Arial" w:hAnsi="Arial"/>
          <w:color w:val="000000"/>
          <w:sz w:val="19"/>
        </w:rPr>
      </w:pPr>
      <w:r>
        <w:rPr>
          <w:rFonts w:ascii="Arial" w:hAnsi="Arial"/>
          <w:color w:val="000000"/>
          <w:sz w:val="19"/>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283"/>
        <w:jc w:val="left"/>
        <w:rPr>
          <w:rFonts w:ascii="Arial" w:hAnsi="Arial"/>
          <w:b/>
          <w:i/>
          <w:color w:val="000000"/>
          <w:sz w:val="19"/>
        </w:rPr>
      </w:pPr>
      <w:r>
        <w:rPr>
          <w:rFonts w:ascii="Arial" w:hAnsi="Arial"/>
          <w:b/>
          <w:i/>
          <w:color w:val="000000"/>
          <w:sz w:val="19"/>
        </w:rPr>
        <w:t>Patent terms may be inadequate to protect our competitive position on our product candidates for an adequate amount of time.</w:t>
      </w:r>
    </w:p>
    <w:p>
      <w:pPr>
        <w:pStyle w:val="TextBody"/>
        <w:bidi w:val="0"/>
        <w:spacing w:before="120" w:after="283"/>
        <w:jc w:val="left"/>
        <w:rPr>
          <w:rFonts w:ascii="Arial" w:hAnsi="Arial"/>
          <w:color w:val="000000"/>
          <w:sz w:val="19"/>
        </w:rPr>
      </w:pPr>
      <w:r>
        <w:rPr>
          <w:rFonts w:ascii="Arial" w:hAnsi="Arial"/>
          <w:color w:val="000000"/>
          <w:sz w:val="19"/>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120" w:after="283"/>
        <w:jc w:val="left"/>
        <w:rPr>
          <w:rFonts w:ascii="Arial" w:hAnsi="Arial"/>
          <w:b/>
          <w:i/>
          <w:color w:val="000000"/>
          <w:sz w:val="19"/>
        </w:rPr>
      </w:pPr>
      <w:r>
        <w:rPr>
          <w:rFonts w:ascii="Arial" w:hAnsi="Arial"/>
          <w:b/>
          <w:i/>
          <w:color w:val="000000"/>
          <w:sz w:val="19"/>
        </w:rPr>
        <w:t>If we do not obtain patent term extension and data exclusivity for any product candidates we may develop, our business may be materially harmed.</w:t>
      </w:r>
    </w:p>
    <w:p>
      <w:pPr>
        <w:pStyle w:val="TextBody"/>
        <w:bidi w:val="0"/>
        <w:spacing w:before="120" w:after="283"/>
        <w:jc w:val="left"/>
        <w:rPr>
          <w:rFonts w:ascii="Arial" w:hAnsi="Arial"/>
          <w:color w:val="000000"/>
          <w:sz w:val="19"/>
        </w:rPr>
      </w:pPr>
      <w:r>
        <w:rPr>
          <w:rFonts w:ascii="Arial" w:hAnsi="Arial"/>
          <w:color w:val="000000"/>
          <w:sz w:val="19"/>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spacing w:before="120" w:after="283"/>
        <w:jc w:val="left"/>
        <w:rPr>
          <w:rFonts w:ascii="Arial" w:hAnsi="Arial"/>
          <w:b/>
          <w:i/>
          <w:color w:val="000000"/>
          <w:sz w:val="19"/>
        </w:rPr>
      </w:pPr>
      <w:r>
        <w:rPr>
          <w:rFonts w:ascii="Arial" w:hAnsi="Arial"/>
          <w:b/>
          <w:i/>
          <w:color w:val="000000"/>
          <w:sz w:val="19"/>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Arial" w:hAnsi="Arial"/>
          <w:color w:val="000000"/>
          <w:sz w:val="19"/>
        </w:rPr>
      </w:pPr>
      <w:r>
        <w:rPr>
          <w:rFonts w:ascii="Arial" w:hAnsi="Arial"/>
          <w:color w:val="000000"/>
          <w:sz w:val="19"/>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spacing w:before="160" w:after="283"/>
        <w:jc w:val="left"/>
        <w:rPr>
          <w:rFonts w:ascii="Arial" w:hAnsi="Arial"/>
          <w:b/>
          <w:color w:val="000000"/>
          <w:sz w:val="19"/>
        </w:rPr>
      </w:pPr>
      <w:r>
        <w:rPr>
          <w:rFonts w:ascii="Arial" w:hAnsi="Arial"/>
          <w:b/>
          <w:color w:val="000000"/>
          <w:sz w:val="19"/>
        </w:rPr>
        <w:t>Risks Related to Our Common Stock</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b/>
          <w:i/>
          <w:color w:val="000000"/>
          <w:sz w:val="19"/>
        </w:rPr>
      </w:pPr>
      <w:r>
        <w:rPr>
          <w:rFonts w:ascii="Arial" w:hAnsi="Arial"/>
          <w:b/>
          <w:i/>
          <w:color w:val="000000"/>
          <w:sz w:val="19"/>
        </w:rPr>
        <w:t>The price of our common stock may be volatile and fluctuate substantially, which could result in substantial losses to stockholders.</w:t>
      </w:r>
    </w:p>
    <w:p>
      <w:pPr>
        <w:pStyle w:val="TextBody"/>
        <w:bidi w:val="0"/>
        <w:spacing w:before="120" w:after="283"/>
        <w:jc w:val="left"/>
        <w:rPr>
          <w:rFonts w:ascii="Arial" w:hAnsi="Arial"/>
          <w:color w:val="000000"/>
          <w:sz w:val="19"/>
        </w:rPr>
      </w:pPr>
      <w:r>
        <w:rPr>
          <w:rFonts w:ascii="Arial" w:hAnsi="Arial"/>
          <w:color w:val="000000"/>
          <w:sz w:val="19"/>
        </w:rPr>
        <w:t>Our stock price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purchased. The market price for our common stock may be influenced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results of clinical trials of our product candidates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commencement or termination of collaboration, licensing or similar arrangements for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announcements by our competitors of significant acquisitions, strategic partnerships,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developments or disputes concerning patent applications, issued patents or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level of expenses related to any of our product candidates or clinical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results of our efforts to discover, develop, acquire or in-license additional product candidates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developments or setbacks related to drugs that are co-administered with any of our product candidates, such as checkpoint inhibitors;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actual or anticipated changes in estimates as to financial results, development timelines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general economic, industry and market conditions and overall fluctuations in the financial markets in the United States and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other factors described in this “Risk Factors” section.</w:t>
      </w:r>
    </w:p>
    <w:p>
      <w:pPr>
        <w:pStyle w:val="TextBody"/>
        <w:bidi w:val="0"/>
        <w:spacing w:before="120" w:after="283"/>
        <w:jc w:val="left"/>
        <w:rPr>
          <w:rFonts w:ascii="Times New Roman" w:hAnsi="Times New Roman"/>
          <w:sz w:val="20"/>
        </w:rPr>
      </w:pPr>
      <w:r>
        <w:rPr>
          <w:rFonts w:ascii="Arial" w:hAnsi="Arial"/>
          <w:b/>
          <w:i/>
          <w:color w:val="000000"/>
          <w:sz w:val="19"/>
        </w:rPr>
        <w:t>Raising additional capital through the sale of a substantial number of shares of our common stock, or the perception that sales of a substantial number of shares of our common stock might occur, may cause dilution to our stockholders, could cause our stock price to decline and could restrict our operations or require us to relinquish rights to our technologies or current or future product candidates.</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may materially adversely affect your rights as a common stockholder. In August 2022, we filed a registration statement on Form S-3 (as amended, the 2022 Shelf) pursuant to which we could issue up to $75.0 million in shares of common stock in sales deemed to be “at-the-market offerings” (the 2022 ATM Program) as defined by the Securities Act of 1933, as amended (Securities Act), and up to $200.0 million in shares of our common stock, preferred stock, debt securities, warrants and/or units. The 2022 Shelf expired on August 12, 2025. As of August 12, 2025, we had sold and issued 3,923,829 shares of common stock under the 2022 ATM Program, for total net proceeds of $20.9 million. In August 2025, we filed a registration statement on Form S-3 (the 2025 Shelf) pursuant to which we may issue up to $50.0 million in shares of common stock in sales deemed to be “at-the-market offerings” (the 2025 ATM Program) as defined by the Securities Act, and up to $300.0 million in shares of our common stock, preferred stock, debt securities, warrants and/or units. As of June 30, 2026, we have sold and issued 2,838,894 shares of common stock under the 2025 ATM Program, for total net proceeds of $24.2 million. Subsequent to June 30, 2026 and through August 11, 2026, the Company has sold and issued 617,345 additional shares of common stock under the 2025 ATM Program, for total net proceeds of $6.3 million. Any sale or issuance of securities pursuant to this registration statement or otherwise may result in dilution to our stockholders and may cause our stock price to decline.</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Debt financing, if available, would increase our fixed payment obligations and may involve agreements that include covenants limiting or restricting our ability to take specific actions, such as incurring additional debt, acquiring, selling or licensing intellectual property rights,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pStyle w:val="TextBody"/>
        <w:bidi w:val="0"/>
        <w:spacing w:before="120" w:after="283"/>
        <w:jc w:val="left"/>
        <w:rPr>
          <w:rFonts w:ascii="Arial" w:hAnsi="Arial"/>
          <w:color w:val="000000"/>
          <w:sz w:val="19"/>
        </w:rPr>
      </w:pPr>
      <w:r>
        <w:rPr>
          <w:rFonts w:ascii="Arial" w:hAnsi="Arial"/>
          <w:color w:val="000000"/>
          <w:sz w:val="19"/>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pStyle w:val="TextBody"/>
        <w:bidi w:val="0"/>
        <w:spacing w:before="120" w:after="283"/>
        <w:jc w:val="left"/>
        <w:rPr>
          <w:rFonts w:ascii="Arial" w:hAnsi="Arial"/>
          <w:b/>
          <w:i/>
          <w:color w:val="000000"/>
          <w:sz w:val="19"/>
        </w:rPr>
      </w:pPr>
      <w:r>
        <w:rPr>
          <w:rFonts w:ascii="Arial" w:hAnsi="Arial"/>
          <w:b/>
          <w:i/>
          <w:color w:val="000000"/>
          <w:sz w:val="19"/>
        </w:rPr>
        <w:t>We are an “emerging growth company” as defined in the JOBS Act and a “smaller reporting company” as defined in the Securities Exchange Act of 1934, as amended (the Exchange Act), and will be able to avail ourselves of reduced disclosure requirements applicable to emerging growth companies and smaller reporting companies, which could make our common stock less attractive to investors and adversely affect the market price of our common stock.</w:t>
      </w:r>
    </w:p>
    <w:p>
      <w:pPr>
        <w:pStyle w:val="TextBody"/>
        <w:bidi w:val="0"/>
        <w:spacing w:before="120" w:after="283"/>
        <w:jc w:val="left"/>
        <w:rPr>
          <w:rFonts w:ascii="Arial" w:hAnsi="Arial"/>
          <w:color w:val="000000"/>
          <w:sz w:val="19"/>
        </w:rPr>
      </w:pPr>
      <w:r>
        <w:rPr>
          <w:rFonts w:ascii="Arial" w:hAnsi="Arial"/>
          <w:color w:val="000000"/>
          <w:sz w:val="19"/>
        </w:rPr>
        <w:t>We are an “emerging growth company,” as defined in the Jumpstart Our Business Startups Act of 2012 (the JOBS Act). We will remain an emerging growth company until the earlier of (i) the last day of the fiscal year in which we have total annual gross revenues of $1.235 billion or more; (ii) December 31, 2026;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not being required to comply with the auditor attestation requirements of Section 404 of the SOX Act (Section 404);</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providing only two years of audited financial statements in addition to any required unaudited interim financial statements and a correspondingly reduced “Management’s Discussion and Analysis of Financial Condition and Results of Operations” disclosure;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reduced disclosure obligations regarding executive compensation;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 xml:space="preserve">exemptions from the requirements of holding a nonbinding advisory vote on executive compensation and stockholder approval of any golden parachute payments not previously approved. </w:t>
      </w:r>
    </w:p>
    <w:p>
      <w:pPr>
        <w:pStyle w:val="TextBody"/>
        <w:bidi w:val="0"/>
        <w:spacing w:before="120" w:after="283"/>
        <w:jc w:val="left"/>
        <w:rPr>
          <w:rFonts w:ascii="Arial" w:hAnsi="Arial"/>
          <w:color w:val="000000"/>
          <w:sz w:val="19"/>
        </w:rPr>
      </w:pPr>
      <w:r>
        <w:rPr>
          <w:rFonts w:ascii="Arial" w:hAnsi="Arial"/>
          <w:color w:val="000000"/>
          <w:sz w:val="19"/>
        </w:rPr>
        <w:t>We may choose to take advantage of some, but not all, of the available exemptions. For example, we have taken advantage of reduced reporting burdens in our Annual Report on Form 10-K. In particular, we have provided only two years of audited financial statements and a correspondingly reduced “Management’s Discussion and Analysis of Financial Condition and Results of Operations” disclosure, and we have not included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before="120" w:after="283"/>
        <w:jc w:val="left"/>
        <w:rPr>
          <w:rFonts w:ascii="Arial" w:hAnsi="Arial"/>
          <w:color w:val="000000"/>
          <w:sz w:val="19"/>
        </w:rPr>
      </w:pPr>
      <w:r>
        <w:rPr>
          <w:rFonts w:ascii="Arial" w:hAnsi="Arial"/>
          <w:color w:val="000000"/>
          <w:sz w:val="19"/>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pStyle w:val="TextBody"/>
        <w:bidi w:val="0"/>
        <w:spacing w:before="120" w:after="283"/>
        <w:jc w:val="left"/>
        <w:rPr>
          <w:rFonts w:ascii="Times New Roman" w:hAnsi="Times New Roman"/>
          <w:sz w:val="20"/>
        </w:rPr>
      </w:pPr>
      <w:r>
        <w:rPr>
          <w:rFonts w:ascii="Arial" w:hAnsi="Arial"/>
          <w:color w:val="000000"/>
          <w:sz w:val="19"/>
        </w:rPr>
        <w:t>We are also a “smaller reporting company” as defined in the Exchange Act, and have elected to take advantage of certain of the scaled disclosures available to smaller reporting companies. Based on the market value of our common stock held by our non-affiliates as of June 30, 2026, we will no longer be a “smaller reporting company” as of December 31, 2026. Accordingly, we will cease to be eligible to use the requirements for a smaller reporting company beginning with our Quarterly Report on Form 10-Q for the quarter ended March 31, 2027, and will thus be subject to additional disclosure and compliance requirements. Because we remain eligible to use the requirements for smaller reporting companies through December 31, 2026, we will continue to be a non-accelerated filer as of December 31, 2026 and will remain a “non-accelerated filer” through December 31, 2027. Due to this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upcoming transition, we expect to devote significant time and effort to implement and comply with the additional standards, rules and regulations that may apply to us upon becoming a large accelerated filer. Compliance with the additional requirements of being a large accelerated filer could increase our legal, accounting and financial compliance costs.</w:t>
      </w:r>
    </w:p>
    <w:p>
      <w:pPr>
        <w:pStyle w:val="TextBody"/>
        <w:bidi w:val="0"/>
        <w:spacing w:before="120" w:after="283"/>
        <w:jc w:val="left"/>
        <w:rPr>
          <w:rFonts w:ascii="Arial" w:hAnsi="Arial"/>
          <w:b/>
          <w:i/>
          <w:color w:val="000000"/>
          <w:sz w:val="19"/>
        </w:rPr>
      </w:pPr>
      <w:r>
        <w:rPr>
          <w:rFonts w:ascii="Arial" w:hAnsi="Arial"/>
          <w:b/>
          <w:i/>
          <w:color w:val="000000"/>
          <w:sz w:val="19"/>
        </w:rPr>
        <w:t>We will continue to incur increased costs as a result of operating as a public company, and our management devotes substantial time to compliance initiatives and corporate governance practices.</w:t>
      </w:r>
    </w:p>
    <w:p>
      <w:pPr>
        <w:pStyle w:val="TextBody"/>
        <w:bidi w:val="0"/>
        <w:spacing w:before="120" w:after="283"/>
        <w:jc w:val="left"/>
        <w:rPr>
          <w:rFonts w:ascii="Arial" w:hAnsi="Arial"/>
          <w:color w:val="000000"/>
          <w:sz w:val="19"/>
        </w:rPr>
      </w:pPr>
      <w:r>
        <w:rPr>
          <w:rFonts w:ascii="Arial" w:hAnsi="Arial"/>
          <w:color w:val="000000"/>
          <w:sz w:val="19"/>
        </w:rPr>
        <w:t>As a public company, and particularly after we are no longer an “emerging growth company,” we incur significant legal, accounting and other expenses that we did not incur as a private company. We are subject to the reporting requirements of the Exchange Act, which will require, among other things, that we file with the SEC annual, quarterly and current reports with respect to our business and financial condition. In addition, the SOX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an initial public offering. We have taken advantage of this; however, as of December 31, 2026, we will cease to be an “emerging growth company” and a “smaller reporting company” as defined in the Exchange Act. For the first fiscal quarter of 2027, we will no longer be permitted to take advantage of scaled disclosure requirements for smaller reporting companies. We will retain our non-accelerated filer status for our filings due in the fiscal year 2027. This may require us to provide additional disclosures in our periodic reports, including more detailed executive compensation disclosures and additional financial statement information. The transition from smaller reporting company status will require significant resources, including additional personnel, enhanced systems and processes, and increased professional fees for accounting, legal, and compliance services.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120" w:after="283"/>
        <w:jc w:val="left"/>
        <w:rPr>
          <w:rFonts w:ascii="Arial" w:hAnsi="Arial"/>
          <w:color w:val="000000"/>
          <w:sz w:val="19"/>
        </w:rPr>
      </w:pPr>
      <w:r>
        <w:rPr>
          <w:rFonts w:ascii="Arial" w:hAnsi="Arial"/>
          <w:color w:val="000000"/>
          <w:sz w:val="19"/>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can decrease our net income or increase our net loss and may require us to reduce costs in other areas of our business or increase the prices of our products or services.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120" w:after="283"/>
        <w:jc w:val="left"/>
        <w:rPr>
          <w:rFonts w:ascii="Times New Roman" w:hAnsi="Times New Roman"/>
          <w:sz w:val="20"/>
        </w:rPr>
      </w:pPr>
      <w:r>
        <w:rPr>
          <w:rFonts w:ascii="Arial" w:hAnsi="Arial"/>
          <w:color w:val="000000"/>
          <w:sz w:val="19"/>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As a result of the increased disclosure and compliance obligations we will become subject to as of December 31, 2027, including the requirement to obtain an auditor attestation of our internal control over financial reporting pursuant to Section 404(b) of the Sarbanes-Oxley Act of 2002, we will incur additional expenses in connection with compliance with these regulations and our management will need to devote additional time and effort to implement and comply with such requirements.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We cannot predict or estimate the amount or timing of additional costs we may incur to respond to these requirements. The impact of these</w:t>
      </w:r>
      <w:r>
        <w:rPr>
          <w:rFonts w:ascii="Times New Roman" w:hAnsi="Times New Roman"/>
          <w:color w:val="000000"/>
          <w:sz w:val="20"/>
        </w:rPr>
        <w:t xml:space="preserve"> </w:t>
      </w:r>
      <w:r>
        <w:rPr>
          <w:rFonts w:ascii="Arial" w:hAnsi="Arial"/>
          <w:color w:val="000000"/>
          <w:sz w:val="19"/>
        </w:rPr>
        <w:t>requirements could also make it more difficult for us to attract and retain qualified persons to serve on our board of directors, our board committees, or as executive officers.</w:t>
      </w:r>
    </w:p>
    <w:p>
      <w:pPr>
        <w:pStyle w:val="TextBody"/>
        <w:bidi w:val="0"/>
        <w:spacing w:before="120" w:after="283"/>
        <w:jc w:val="left"/>
        <w:rPr>
          <w:rFonts w:ascii="Arial" w:hAnsi="Arial"/>
          <w:b/>
          <w:i/>
          <w:color w:val="000000"/>
          <w:sz w:val="19"/>
        </w:rPr>
      </w:pPr>
      <w:r>
        <w:rPr>
          <w:rFonts w:ascii="Arial" w:hAnsi="Arial"/>
          <w:b/>
          <w:i/>
          <w:color w:val="000000"/>
          <w:sz w:val="19"/>
        </w:rPr>
        <w:t>Sales of a substantial number of shares of our common stock by our existing stockholders in the public market could cause our stock price to fall.</w:t>
      </w:r>
    </w:p>
    <w:p>
      <w:pPr>
        <w:pStyle w:val="TextBody"/>
        <w:bidi w:val="0"/>
        <w:spacing w:before="120" w:after="283"/>
        <w:jc w:val="left"/>
        <w:rPr>
          <w:rFonts w:ascii="Arial" w:hAnsi="Arial"/>
          <w:color w:val="000000"/>
          <w:sz w:val="19"/>
        </w:rPr>
      </w:pPr>
      <w:r>
        <w:rPr>
          <w:rFonts w:ascii="Arial" w:hAnsi="Arial"/>
          <w:color w:val="000000"/>
          <w:sz w:val="19"/>
        </w:rPr>
        <w:t>If our existing stockholders sell, or indicate an intention to sell, substantial amounts of our common stock in the public market, the trading price of our common stock could decline. As of August 6, 2026, we had a total of 76,518,565 shares of common stock outstanding.</w:t>
      </w:r>
    </w:p>
    <w:p>
      <w:pPr>
        <w:pStyle w:val="TextBody"/>
        <w:bidi w:val="0"/>
        <w:spacing w:before="120" w:after="283"/>
        <w:jc w:val="left"/>
        <w:rPr>
          <w:rFonts w:ascii="Times New Roman" w:hAnsi="Times New Roman"/>
          <w:sz w:val="20"/>
        </w:rPr>
      </w:pPr>
      <w:r>
        <w:rPr>
          <w:rFonts w:ascii="Arial" w:hAnsi="Arial"/>
          <w:color w:val="000000"/>
          <w:sz w:val="19"/>
        </w:rPr>
        <w:t>In addition, shares of common stock that are reserved for future issuance under our 2021 Plan, our 2021 Employee Stock Purchase Plan and our 2025 Inducement Plan will become eligible for sale in the public market to the extent permitted by the provisions of various vesting schedules, Rule 144 and Rule 701 under the Securities Act. If these additional shares of common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stock are sold, or if it is perceived that they will be sold, in the public market, the trading price of our common stock could decline.</w:t>
      </w:r>
    </w:p>
    <w:p>
      <w:pPr>
        <w:pStyle w:val="TextBody"/>
        <w:bidi w:val="0"/>
        <w:spacing w:before="120" w:after="283"/>
        <w:jc w:val="left"/>
        <w:rPr>
          <w:rFonts w:ascii="Arial" w:hAnsi="Arial"/>
          <w:color w:val="000000"/>
          <w:sz w:val="19"/>
        </w:rPr>
      </w:pPr>
      <w:r>
        <w:rPr>
          <w:rFonts w:ascii="Arial" w:hAnsi="Arial"/>
          <w:color w:val="000000"/>
          <w:sz w:val="19"/>
        </w:rPr>
        <w:t>Certain holders of shares of our common stock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pStyle w:val="TextBody"/>
        <w:bidi w:val="0"/>
        <w:spacing w:before="120" w:after="283"/>
        <w:jc w:val="left"/>
        <w:rPr>
          <w:rFonts w:ascii="Arial" w:hAnsi="Arial"/>
          <w:b/>
          <w:i/>
          <w:color w:val="000000"/>
          <w:sz w:val="19"/>
        </w:rPr>
      </w:pPr>
      <w:r>
        <w:rPr>
          <w:rFonts w:ascii="Arial" w:hAnsi="Arial"/>
          <w:b/>
          <w:i/>
          <w:color w:val="000000"/>
          <w:sz w:val="19"/>
        </w:rPr>
        <w:t>Because we do not anticipate paying any cash dividends on our capital stock in the foreseeable future, capital appreciation, if any, will be your sole source of gain.</w:t>
      </w:r>
    </w:p>
    <w:p>
      <w:pPr>
        <w:pStyle w:val="TextBody"/>
        <w:bidi w:val="0"/>
        <w:spacing w:before="120" w:after="283"/>
        <w:jc w:val="left"/>
        <w:rPr>
          <w:rFonts w:ascii="Arial" w:hAnsi="Arial"/>
          <w:color w:val="000000"/>
          <w:sz w:val="19"/>
        </w:rPr>
      </w:pPr>
      <w:r>
        <w:rPr>
          <w:rFonts w:ascii="Arial" w:hAnsi="Arial"/>
          <w:color w:val="000000"/>
          <w:sz w:val="19"/>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pStyle w:val="TextBody"/>
        <w:bidi w:val="0"/>
        <w:spacing w:before="120" w:after="283"/>
        <w:jc w:val="left"/>
        <w:rPr>
          <w:rFonts w:ascii="Arial" w:hAnsi="Arial"/>
          <w:b/>
          <w:i/>
          <w:color w:val="000000"/>
          <w:sz w:val="19"/>
        </w:rPr>
      </w:pPr>
      <w:r>
        <w:rPr>
          <w:rFonts w:ascii="Arial" w:hAnsi="Arial"/>
          <w:b/>
          <w:i/>
          <w:color w:val="000000"/>
          <w:sz w:val="19"/>
        </w:rPr>
        <w:t>Our executive officers, directors, principal stockholders and their affiliates exercise significant influence over our company, which will limit your ability to influence corporate matters and could delay or prevent a change in corporate control.</w:t>
      </w:r>
    </w:p>
    <w:p>
      <w:pPr>
        <w:pStyle w:val="TextBody"/>
        <w:bidi w:val="0"/>
        <w:spacing w:before="120" w:after="283"/>
        <w:jc w:val="left"/>
        <w:rPr>
          <w:rFonts w:ascii="Arial" w:hAnsi="Arial"/>
          <w:color w:val="000000"/>
          <w:sz w:val="19"/>
        </w:rPr>
      </w:pPr>
      <w:r>
        <w:rPr>
          <w:rFonts w:ascii="Arial" w:hAnsi="Arial"/>
          <w:color w:val="000000"/>
          <w:sz w:val="19"/>
        </w:rPr>
        <w:t>The existing holdings of our executive officers, directors, principal stockholders and their affiliates represent beneficial ownership, in the aggregate, of approximately 20.0% of our outstanding common stock with entities and persons affiliated with PBM Capital Group, LLC (PBM Capital) beneficially owning approximately 13.5%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 xml:space="preserve">delaying, deferring or preventing a change of control of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 xml:space="preserve">impeding a merger, consolidation, takeover or other business combination involving us;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 xml:space="preserve">discouraging a potential acquirer from making a tender offer or otherwise attempting to obtain control of us. </w:t>
      </w:r>
    </w:p>
    <w:p>
      <w:pPr>
        <w:pStyle w:val="TextBody"/>
        <w:bidi w:val="0"/>
        <w:spacing w:before="120" w:after="283"/>
        <w:jc w:val="left"/>
        <w:rPr>
          <w:rFonts w:ascii="Arial" w:hAnsi="Arial"/>
          <w:b/>
          <w:i/>
          <w:color w:val="000000"/>
          <w:sz w:val="19"/>
        </w:rPr>
      </w:pPr>
      <w:r>
        <w:rPr>
          <w:rFonts w:ascii="Arial" w:hAnsi="Arial"/>
          <w:b/>
          <w:i/>
          <w:color w:val="000000"/>
          <w:sz w:val="19"/>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before="120" w:after="283"/>
        <w:jc w:val="left"/>
        <w:rPr>
          <w:rFonts w:ascii="Arial" w:hAnsi="Arial"/>
          <w:color w:val="000000"/>
          <w:sz w:val="19"/>
        </w:rPr>
      </w:pPr>
      <w:r>
        <w:rPr>
          <w:rFonts w:ascii="Arial" w:hAnsi="Arial"/>
          <w:color w:val="000000"/>
          <w:sz w:val="19"/>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a board of directors divided into three classes serving staggered three-year terms, such that not all members of the board will be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a prohibition on stockholder action through written consent, which requires that all stockholder actions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a requirement that special meetings of stockholders be called only by the board of directors acting pursuant to a resolution approved by the affirmative vote of a majority of the directors then in office;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advance notice requirements for stockholder proposals and nominations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before="120" w:after="283"/>
        <w:jc w:val="left"/>
        <w:rPr>
          <w:rFonts w:ascii="Times New Roman" w:hAnsi="Times New Roman"/>
          <w:sz w:val="20"/>
        </w:rPr>
      </w:pPr>
      <w:r>
        <w:rPr>
          <w:rFonts w:ascii="Arial" w:hAnsi="Arial"/>
          <w:color w:val="000000"/>
          <w:sz w:val="19"/>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19"/>
        </w:rPr>
      </w:pPr>
      <w:r>
        <w:rPr>
          <w:rFonts w:ascii="Arial" w:hAnsi="Arial"/>
          <w:color w:val="000000"/>
          <w:sz w:val="19"/>
        </w:rPr>
        <w:t>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before="120" w:after="283"/>
        <w:jc w:val="left"/>
        <w:rPr>
          <w:rFonts w:ascii="Arial" w:hAnsi="Arial"/>
          <w:b/>
          <w:i/>
          <w:color w:val="000000"/>
          <w:sz w:val="19"/>
        </w:rPr>
      </w:pPr>
      <w:r>
        <w:rPr>
          <w:rFonts w:ascii="Arial" w:hAnsi="Arial"/>
          <w:b/>
          <w:i/>
          <w:color w:val="000000"/>
          <w:sz w:val="19"/>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sz w:val="20"/>
        </w:rPr>
      </w:pPr>
      <w:r>
        <w:rPr>
          <w:rFonts w:ascii="Arial" w:hAnsi="Arial"/>
          <w:color w:val="000000"/>
          <w:sz w:val="19"/>
        </w:rPr>
        <w:t>Our amended and restated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or a claim based on, a breach of fiduciary duty owed by any of our any current or former director, officer, or other employee to us or our stockholders, (iii) any action asserting a claim arising pursuant to any provision of the Delaware General Corporation Law, our amended and restated certificate of incorporation or our amended and restated bylaws (including the interpretation, validity or enforceability thereof), or (iv) any action asserting a claim that is governed by the internal affairs doctrine, or the Delaware Forum Provision. The Delaware Forum Provision does not apply to any causes of action arising under the Securities Act or the Exchange Act. Our amended and restated bylaws further provide that, unless we consent in writing to the selection of an alternative forum, the federal district courts of the United States of America shall be the sole and exclusive forum for resolving any complaint asserting a cause of action arising under the Securities Act.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 state courts have upheld the validity of federal forum selection provisions purporting to require claims under the Securities Act or the Exchange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of America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120" w:after="283"/>
        <w:jc w:val="left"/>
        <w:rPr>
          <w:rFonts w:ascii="Arial" w:hAnsi="Arial"/>
          <w:b/>
          <w:i/>
          <w:color w:val="000000"/>
          <w:sz w:val="19"/>
        </w:rPr>
      </w:pPr>
      <w:r>
        <w:rPr>
          <w:rFonts w:ascii="Arial" w:hAnsi="Arial"/>
          <w:b/>
          <w:i/>
          <w:color w:val="000000"/>
          <w:sz w:val="19"/>
        </w:rPr>
        <w:t>If securities analysts do not publish research or reports about our business or if they publish negative evaluations of our stock, the price of our stock could decline.</w:t>
      </w:r>
    </w:p>
    <w:p>
      <w:pPr>
        <w:pStyle w:val="TextBody"/>
        <w:bidi w:val="0"/>
        <w:spacing w:before="120" w:after="283"/>
        <w:jc w:val="left"/>
        <w:rPr>
          <w:rFonts w:ascii="Arial" w:hAnsi="Arial"/>
          <w:color w:val="000000"/>
          <w:sz w:val="19"/>
        </w:rPr>
      </w:pPr>
      <w:r>
        <w:rPr>
          <w:rFonts w:ascii="Arial" w:hAnsi="Arial"/>
          <w:color w:val="000000"/>
          <w:sz w:val="19"/>
        </w:rPr>
        <w:t>The trading market for our common stock relies in part on the research and reports that industry or financial analysts publish about us or our business. We may lose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pStyle w:val="TextBody"/>
        <w:bidi w:val="0"/>
        <w:spacing w:before="120" w:after="283"/>
        <w:jc w:val="left"/>
        <w:rPr>
          <w:rFonts w:ascii="Arial" w:hAnsi="Arial"/>
          <w:b/>
          <w:i/>
          <w:color w:val="000000"/>
          <w:sz w:val="19"/>
        </w:rPr>
      </w:pPr>
      <w:r>
        <w:rPr>
          <w:rFonts w:ascii="Arial" w:hAnsi="Arial"/>
          <w:b/>
          <w:i/>
          <w:color w:val="000000"/>
          <w:sz w:val="19"/>
        </w:rPr>
        <w:t>We may be subject to securities litigation, which is expensive and could divert management's attention.</w:t>
      </w:r>
    </w:p>
    <w:p>
      <w:pPr>
        <w:pStyle w:val="TextBody"/>
        <w:bidi w:val="0"/>
        <w:spacing w:before="120" w:after="283"/>
        <w:jc w:val="left"/>
        <w:rPr>
          <w:rFonts w:ascii="Arial" w:hAnsi="Arial"/>
          <w:color w:val="000000"/>
          <w:sz w:val="19"/>
        </w:rPr>
      </w:pPr>
      <w:r>
        <w:rPr>
          <w:rFonts w:ascii="Arial" w:hAnsi="Arial"/>
          <w:color w:val="000000"/>
          <w:sz w:val="19"/>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were highly volatile as a result of the COVID-19 pandemic and may be volatile as a result of a similar public health crisis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120" w:after="283"/>
        <w:jc w:val="left"/>
        <w:rPr>
          <w:rFonts w:ascii="Times New Roman" w:hAnsi="Times New Roman"/>
          <w:sz w:val="20"/>
        </w:rPr>
      </w:pPr>
      <w:r>
        <w:rPr>
          <w:rFonts w:ascii="Arial" w:hAnsi="Arial"/>
          <w:b/>
          <w:i/>
          <w:color w:val="000000"/>
          <w:sz w:val="19"/>
        </w:rPr>
        <w:t>The number of shares of our common stock outstanding may increase substantially as a result of our November 2018 issuance of warrants to purchase up to an aggregate of 7,344,968 shares of common stock and our October 2025 issuance of warrants to lenders pursuant to the Trinity LSA to purchase up to 254,642 shares of common stock.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Arial" w:hAnsi="Arial"/>
          <w:color w:val="000000"/>
          <w:sz w:val="19"/>
        </w:rPr>
        <w:t>In connection with the November 13, 2018 issuance of Series B convertible preferred stock (the Series B Preferred), we issued to the purchaser of the Series B Preferred, warrants to purchase 3,672,484 shares of common stock for $6.81 per share (the Series B Warrants) which were and remain fully exercisable upon issuance. The Series B Warrants contain provisions allowing cashless exercise.</w:t>
      </w:r>
      <w:r>
        <w:rPr>
          <w:rFonts w:ascii="Times New Roman" w:hAnsi="Times New Roman"/>
          <w:color w:val="000000"/>
          <w:sz w:val="20"/>
        </w:rPr>
        <w:t xml:space="preserve"> </w:t>
      </w:r>
    </w:p>
    <w:p>
      <w:pPr>
        <w:pStyle w:val="TextBody"/>
        <w:bidi w:val="0"/>
        <w:spacing w:before="120" w:after="283"/>
        <w:jc w:val="left"/>
        <w:rPr>
          <w:rFonts w:ascii="Arial" w:hAnsi="Arial"/>
          <w:color w:val="000000"/>
          <w:sz w:val="19"/>
        </w:rPr>
      </w:pPr>
      <w:r>
        <w:rPr>
          <w:rFonts w:ascii="Arial" w:hAnsi="Arial"/>
          <w:color w:val="000000"/>
          <w:sz w:val="19"/>
        </w:rPr>
        <w:t>In addition, we issued to the same stockholder additional five-year warrants for the purchase of 3,672,484 shares of common stock for $6.81 per share (the Conditional Series B Warrants), which become exercisable in the event that we complete a future financing that meets certain financial milestones or achieves certain share prices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918,121 shares vest upon (1) a financing event effected through the sale of our equity securities to third parties resulting in at least $20,000,000 in gross proceeds with a per share price of $12.47, or (2) an average market price (determined over a consecutive 10-day period) of $12.47 per share;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 xml:space="preserve">an additional 918,121 shares vest upon (1) a financing event with a price per share of $13.20, or (2) an average market price (determined over a consecutive 10-day period) of, $13.20 per share;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 xml:space="preserve">an additional 918,121 shares vest upon (1) a financing event with a per share price of $13.94, or (2) an average market price (determined over a consecutive 10-day period) of, $13.94 per share;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 xml:space="preserve">an additional 918,121 shares vest upon (1) a financing event with a per share price of $14.68, or (2) an average market price (determined over a consecutive 10-day period) of, $14.68 per share. </w:t>
      </w:r>
    </w:p>
    <w:p>
      <w:pPr>
        <w:pStyle w:val="TextBody"/>
        <w:bidi w:val="0"/>
        <w:spacing w:before="120" w:after="283"/>
        <w:jc w:val="left"/>
        <w:rPr>
          <w:rFonts w:ascii="Times New Roman" w:hAnsi="Times New Roman"/>
          <w:sz w:val="20"/>
        </w:rPr>
      </w:pPr>
      <w:r>
        <w:rPr>
          <w:rFonts w:ascii="Arial" w:hAnsi="Arial"/>
          <w:color w:val="000000"/>
          <w:sz w:val="19"/>
        </w:rPr>
        <w:t>On June 24, 2021, our board of directors approved, and on July 14, 2021, our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 On October 14, 2025, we entered into an amendment to the terms of the Series B Warrants and the Conditional Series B Warrants which, among other things, extends the expiration date from November 2025 to September 2027. For more information, see “</w:t>
      </w:r>
      <w:r>
        <w:rPr>
          <w:rFonts w:ascii="Arial" w:hAnsi="Arial"/>
          <w:i/>
          <w:color w:val="000000"/>
          <w:sz w:val="19"/>
        </w:rPr>
        <w:t>Components of Our Results of Operations</w:t>
      </w:r>
      <w:r>
        <w:rPr>
          <w:rFonts w:ascii="Times New Roman" w:hAnsi="Times New Roman"/>
          <w:color w:val="000000"/>
          <w:sz w:val="20"/>
        </w:rPr>
        <w:t xml:space="preserve">” </w:t>
      </w:r>
      <w:r>
        <w:rPr>
          <w:rFonts w:ascii="Arial" w:hAnsi="Arial"/>
          <w:color w:val="000000"/>
          <w:sz w:val="19"/>
        </w:rPr>
        <w:t>within “</w:t>
      </w:r>
      <w:r>
        <w:rPr>
          <w:rFonts w:ascii="Arial" w:hAnsi="Arial"/>
          <w:i/>
          <w:color w:val="000000"/>
          <w:sz w:val="19"/>
        </w:rPr>
        <w:t>Management’s Discussion and Analysis of Financial Condition and Results of Operations</w:t>
      </w:r>
      <w:r>
        <w:rPr>
          <w:rFonts w:ascii="Times New Roman" w:hAnsi="Times New Roman"/>
          <w:color w:val="000000"/>
          <w:sz w:val="20"/>
        </w:rPr>
        <w:t xml:space="preserve">” </w:t>
      </w:r>
      <w:r>
        <w:rPr>
          <w:rFonts w:ascii="Arial" w:hAnsi="Arial"/>
          <w:color w:val="000000"/>
          <w:sz w:val="19"/>
        </w:rPr>
        <w:t>in this Quarterly Report on Form 10-Q.</w:t>
      </w:r>
    </w:p>
    <w:p>
      <w:pPr>
        <w:pStyle w:val="TextBody"/>
        <w:bidi w:val="0"/>
        <w:spacing w:before="120" w:after="283"/>
        <w:jc w:val="left"/>
        <w:rPr>
          <w:rFonts w:ascii="Arial" w:hAnsi="Arial"/>
          <w:color w:val="000000"/>
          <w:sz w:val="19"/>
        </w:rPr>
      </w:pPr>
      <w:r>
        <w:rPr>
          <w:rFonts w:ascii="Arial" w:hAnsi="Arial"/>
          <w:color w:val="000000"/>
          <w:sz w:val="19"/>
        </w:rPr>
        <w:t>We recorded the Series B Warrants as a component of stockholder’s equity at the time of issuance at their estimated fair value of $2.1 million and recorded the Conditional Series B Warrants as a liability on the consolidated balance sheet because the number of shares used to calculate the settlement is not a fixed number of shares. The Conditional Series B Warrants are remeasured to their fair value at each reporting date with changes in the fair value recognized as a component of other income (expense), net in the consolidated statements of operations. We will continue to recognize changes in the fair value of the Conditional Series B Warrants until each Conditional Series B Warrant is exercised, expires or qualifies for equity classification.</w:t>
      </w:r>
    </w:p>
    <w:p>
      <w:pPr>
        <w:pStyle w:val="TextBody"/>
        <w:bidi w:val="0"/>
        <w:spacing w:before="120" w:after="283"/>
        <w:jc w:val="left"/>
        <w:rPr>
          <w:rFonts w:ascii="Arial" w:hAnsi="Arial"/>
          <w:color w:val="000000"/>
          <w:sz w:val="19"/>
        </w:rPr>
      </w:pPr>
      <w:r>
        <w:rPr>
          <w:rFonts w:ascii="Arial" w:hAnsi="Arial"/>
          <w:color w:val="000000"/>
          <w:sz w:val="19"/>
        </w:rPr>
        <w:t>The exercise of these warrants in full, assuming vesting in full of the Conditional Series B Warrants and no net exercise, would result in an additional 7,344,968 shares of common stock outstanding, resulting in substantial dilution to stockholders who hold our common stock. In addition, if the holders of these warrants, including PBM Capital, were to exercise such warrants in full, these holders could then have significant influence over the outcome of any stockholder vote, including the election of directors and the approval of mergers or other business combination transactions.</w:t>
      </w:r>
    </w:p>
    <w:p>
      <w:pPr>
        <w:pStyle w:val="TextBody"/>
        <w:bidi w:val="0"/>
        <w:spacing w:before="120" w:after="283"/>
        <w:jc w:val="left"/>
        <w:rPr>
          <w:rFonts w:ascii="Arial" w:hAnsi="Arial"/>
          <w:color w:val="000000"/>
          <w:sz w:val="19"/>
        </w:rPr>
      </w:pPr>
      <w:r>
        <w:rPr>
          <w:rFonts w:ascii="Arial" w:hAnsi="Arial"/>
          <w:color w:val="000000"/>
          <w:sz w:val="19"/>
        </w:rPr>
        <w:t>Additionally, in connection with the October 14, 2025 Trinity LSA, we issued warrants to the Lenders to purchase up to 254,642 shares of our common stock, $0.01 par value, at an exercise price of $5.89 per share. In connection with the drawdown of any Tranche under the Trinity LSA, the Company is required to issue to the Lenders warrants (the Lender Warrants) to purchase shares of the Company’s common stock, $0.01 par value per share. The exercise price for the Lender Warrants is equal to $5.89 per share. The number of shares of common stock for which each Lender Warrant is exercisable is equal to 3.0% of the applicable drawn down amount, divided by the exercise price. The Lender Warrants shall have a term of ten years from the date of issuance and shall permit cashless net exercise, all in accordance with their terms.</w:t>
      </w:r>
    </w:p>
    <w:p>
      <w:pPr>
        <w:pStyle w:val="TextBody"/>
        <w:bidi w:val="0"/>
        <w:spacing w:before="24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20"/>
        </w:rPr>
      </w:pPr>
      <w:bookmarkStart w:id="15" w:name="item_2_unregistered_sales_equity_securit"/>
      <w:bookmarkEnd w:id="15"/>
      <w:r>
        <w:rPr>
          <w:rFonts w:ascii="Arial" w:hAnsi="Arial"/>
          <w:b/>
          <w:color w:val="000000"/>
          <w:sz w:val="20"/>
        </w:rPr>
        <w:t>Item 2. Unregistered Sales of Equity Securities and Use of Proceeds.</w:t>
      </w:r>
    </w:p>
    <w:p>
      <w:pPr>
        <w:pStyle w:val="TextBody"/>
        <w:bidi w:val="0"/>
        <w:spacing w:before="160" w:after="283"/>
        <w:jc w:val="left"/>
        <w:rPr>
          <w:rFonts w:ascii="Arial" w:hAnsi="Arial"/>
          <w:b/>
          <w:color w:val="000000"/>
          <w:sz w:val="19"/>
        </w:rPr>
      </w:pPr>
      <w:r>
        <w:rPr>
          <w:rFonts w:ascii="Arial" w:hAnsi="Arial"/>
          <w:b/>
          <w:color w:val="000000"/>
          <w:sz w:val="19"/>
        </w:rPr>
        <w:t>(a) Recent Sales of Unregistered Equity Securities</w:t>
      </w:r>
    </w:p>
    <w:p>
      <w:pPr>
        <w:pStyle w:val="TextBody"/>
        <w:bidi w:val="0"/>
        <w:spacing w:before="120" w:after="283"/>
        <w:jc w:val="left"/>
        <w:rPr>
          <w:rFonts w:ascii="Arial" w:hAnsi="Arial"/>
          <w:color w:val="000000"/>
          <w:sz w:val="19"/>
        </w:rPr>
      </w:pPr>
      <w:r>
        <w:rPr>
          <w:rFonts w:ascii="Arial" w:hAnsi="Arial"/>
          <w:color w:val="000000"/>
          <w:sz w:val="19"/>
        </w:rPr>
        <w:t>None.</w:t>
      </w:r>
    </w:p>
    <w:p>
      <w:pPr>
        <w:pStyle w:val="TextBody"/>
        <w:bidi w:val="0"/>
        <w:spacing w:before="160" w:after="283"/>
        <w:jc w:val="left"/>
        <w:rPr>
          <w:rFonts w:ascii="Arial" w:hAnsi="Arial"/>
          <w:b/>
          <w:color w:val="000000"/>
          <w:sz w:val="19"/>
        </w:rPr>
      </w:pPr>
      <w:r>
        <w:rPr>
          <w:rFonts w:ascii="Arial" w:hAnsi="Arial"/>
          <w:b/>
          <w:color w:val="000000"/>
          <w:sz w:val="19"/>
        </w:rPr>
        <w:t>(b) Use of Proceeds</w:t>
      </w:r>
    </w:p>
    <w:p>
      <w:pPr>
        <w:pStyle w:val="TextBody"/>
        <w:bidi w:val="0"/>
        <w:spacing w:before="120" w:after="283"/>
        <w:jc w:val="left"/>
        <w:rPr>
          <w:rFonts w:ascii="Arial" w:hAnsi="Arial"/>
          <w:color w:val="000000"/>
          <w:sz w:val="19"/>
        </w:rPr>
      </w:pPr>
      <w:r>
        <w:rPr>
          <w:rFonts w:ascii="Arial" w:hAnsi="Arial"/>
          <w:color w:val="000000"/>
          <w:sz w:val="19"/>
        </w:rPr>
        <w:t>Not applicable.</w:t>
      </w:r>
    </w:p>
    <w:p>
      <w:pPr>
        <w:pStyle w:val="TextBody"/>
        <w:bidi w:val="0"/>
        <w:spacing w:before="160" w:after="283"/>
        <w:jc w:val="left"/>
        <w:rPr>
          <w:rFonts w:ascii="Arial" w:hAnsi="Arial"/>
          <w:b/>
          <w:color w:val="000000"/>
          <w:sz w:val="19"/>
        </w:rPr>
      </w:pPr>
      <w:r>
        <w:rPr>
          <w:rFonts w:ascii="Arial" w:hAnsi="Arial"/>
          <w:b/>
          <w:color w:val="000000"/>
          <w:sz w:val="19"/>
        </w:rPr>
        <w:t>(c) Issuer Purchases of Equity Securities</w:t>
      </w:r>
    </w:p>
    <w:p>
      <w:pPr>
        <w:pStyle w:val="TextBody"/>
        <w:bidi w:val="0"/>
        <w:spacing w:before="120" w:after="283"/>
        <w:jc w:val="left"/>
        <w:rPr>
          <w:rFonts w:ascii="Arial" w:hAnsi="Arial"/>
          <w:color w:val="000000"/>
          <w:sz w:val="19"/>
        </w:rPr>
      </w:pPr>
      <w:r>
        <w:rPr>
          <w:rFonts w:ascii="Arial" w:hAnsi="Arial"/>
          <w:color w:val="000000"/>
          <w:sz w:val="19"/>
        </w:rPr>
        <w:t>None.</w:t>
      </w:r>
    </w:p>
    <w:p>
      <w:pPr>
        <w:pStyle w:val="TextBody"/>
        <w:bidi w:val="0"/>
        <w:spacing w:before="160" w:after="283"/>
        <w:jc w:val="left"/>
        <w:rPr>
          <w:rFonts w:ascii="Arial" w:hAnsi="Arial"/>
          <w:b/>
          <w:color w:val="000000"/>
          <w:sz w:val="20"/>
        </w:rPr>
      </w:pPr>
      <w:bookmarkStart w:id="16" w:name="item_3_defaults_upon_senior_securitiesno"/>
      <w:bookmarkEnd w:id="16"/>
      <w:r>
        <w:rPr>
          <w:rFonts w:ascii="Arial" w:hAnsi="Arial"/>
          <w:b/>
          <w:color w:val="000000"/>
          <w:sz w:val="20"/>
        </w:rPr>
        <w:t>Item 3. Defaults Upon Senior Securities.</w:t>
      </w:r>
    </w:p>
    <w:p>
      <w:pPr>
        <w:pStyle w:val="TextBody"/>
        <w:bidi w:val="0"/>
        <w:spacing w:before="120" w:after="283"/>
        <w:jc w:val="left"/>
        <w:rPr>
          <w:rFonts w:ascii="Arial" w:hAnsi="Arial"/>
          <w:color w:val="000000"/>
          <w:sz w:val="19"/>
        </w:rPr>
      </w:pPr>
      <w:r>
        <w:rPr>
          <w:rFonts w:ascii="Arial" w:hAnsi="Arial"/>
          <w:color w:val="000000"/>
          <w:sz w:val="19"/>
        </w:rPr>
        <w:t>None.</w:t>
      </w:r>
    </w:p>
    <w:p>
      <w:pPr>
        <w:pStyle w:val="TextBody"/>
        <w:bidi w:val="0"/>
        <w:spacing w:before="240" w:after="283"/>
        <w:jc w:val="left"/>
        <w:rPr>
          <w:rFonts w:ascii="Arial" w:hAnsi="Arial"/>
          <w:b/>
          <w:color w:val="000000"/>
          <w:sz w:val="20"/>
        </w:rPr>
      </w:pPr>
      <w:bookmarkStart w:id="17" w:name="item_4_mine_safety_disclosures"/>
      <w:bookmarkEnd w:id="17"/>
      <w:r>
        <w:rPr>
          <w:rFonts w:ascii="Arial" w:hAnsi="Arial"/>
          <w:b/>
          <w:color w:val="000000"/>
          <w:sz w:val="20"/>
        </w:rPr>
        <w:t>Item 4. Mine Safety Disclosures.</w:t>
      </w:r>
    </w:p>
    <w:p>
      <w:pPr>
        <w:pStyle w:val="TextBody"/>
        <w:bidi w:val="0"/>
        <w:spacing w:before="80" w:after="283"/>
        <w:jc w:val="left"/>
        <w:rPr>
          <w:rFonts w:ascii="Arial" w:hAnsi="Arial"/>
          <w:color w:val="000000"/>
          <w:sz w:val="19"/>
        </w:rPr>
      </w:pPr>
      <w:r>
        <w:rPr>
          <w:rFonts w:ascii="Arial" w:hAnsi="Arial"/>
          <w:color w:val="000000"/>
          <w:sz w:val="19"/>
        </w:rPr>
        <w:t>Not applicable.</w:t>
      </w:r>
    </w:p>
    <w:p>
      <w:pPr>
        <w:pStyle w:val="TextBody"/>
        <w:bidi w:val="0"/>
        <w:spacing w:before="160" w:after="283"/>
        <w:jc w:val="left"/>
        <w:rPr>
          <w:rFonts w:ascii="Arial" w:hAnsi="Arial"/>
          <w:b/>
          <w:color w:val="000000"/>
          <w:sz w:val="20"/>
        </w:rPr>
      </w:pPr>
      <w:bookmarkStart w:id="18" w:name="item_5_or_information"/>
      <w:bookmarkEnd w:id="18"/>
      <w:r>
        <w:rPr>
          <w:rFonts w:ascii="Arial" w:hAnsi="Arial"/>
          <w:b/>
          <w:color w:val="000000"/>
          <w:sz w:val="20"/>
        </w:rPr>
        <w:t>Item 5. Other Information.</w:t>
      </w:r>
    </w:p>
    <w:p>
      <w:pPr>
        <w:pStyle w:val="TextBody"/>
        <w:bidi w:val="0"/>
        <w:spacing w:before="80" w:after="283"/>
        <w:jc w:val="left"/>
        <w:rPr>
          <w:rFonts w:ascii="Arial" w:hAnsi="Arial"/>
          <w:color w:val="000000"/>
          <w:sz w:val="19"/>
        </w:rPr>
      </w:pPr>
      <w:r>
        <w:rPr>
          <w:rFonts w:ascii="Arial" w:hAnsi="Arial"/>
          <w:color w:val="000000"/>
          <w:sz w:val="19"/>
        </w:rPr>
        <w:t>During the three months ended June 30, 2026, none of our directors or officers (as defined in Rule 16a-1(f) of the Securities Exchange Act of 1934, as amended) adopted, terminated or modified a Rule 10b5-1 trading arrangement or any “non-Rule 10b5-1 trading agreement” (as defined in Item 408(c) of Regulation S-K), except as set forth below:</w:t>
      </w:r>
    </w:p>
    <w:p>
      <w:pPr>
        <w:pStyle w:val="TextBody"/>
        <w:bidi w:val="0"/>
        <w:spacing w:before="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555"/>
        <w:gridCol w:w="1752"/>
        <w:gridCol w:w="1328"/>
        <w:gridCol w:w="1915"/>
        <w:gridCol w:w="2045"/>
        <w:gridCol w:w="1610"/>
      </w:tblGrid>
      <w:tr>
        <w:trPr/>
        <w:tc>
          <w:tcPr>
            <w:tcW w:w="1555"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1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Name and Position</w:t>
            </w:r>
          </w:p>
        </w:tc>
        <w:tc>
          <w:tcPr>
            <w:tcW w:w="1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Action Taken</w:t>
            </w:r>
          </w:p>
        </w:tc>
        <w:tc>
          <w:tcPr>
            <w:tcW w:w="1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Type of Plan</w:t>
            </w:r>
          </w:p>
        </w:tc>
        <w:tc>
          <w:tcPr>
            <w:tcW w:w="1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Nature of Trading Arrangement</w:t>
            </w:r>
          </w:p>
        </w:tc>
        <w:tc>
          <w:tcPr>
            <w:tcW w:w="2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Duration of Trading Arrangement</w:t>
            </w:r>
          </w:p>
        </w:tc>
        <w:tc>
          <w:tcPr>
            <w:tcW w:w="1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Aggregate Number of Securities</w:t>
            </w:r>
          </w:p>
        </w:tc>
      </w:tr>
      <w:tr>
        <w:trPr/>
        <w:tc>
          <w:tcPr>
            <w:tcW w:w="15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Paul Peter Tak, M.D., Ph.D., FMedSci (Chief Executive Officer, President and Director)*</w:t>
            </w:r>
          </w:p>
        </w:tc>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9"/>
              </w:rPr>
              <w:t>Modification</w:t>
            </w:r>
            <w:r>
              <w:rPr>
                <w:rFonts w:ascii="Times New Roman" w:hAnsi="Times New Roman"/>
                <w:color w:val="000000"/>
                <w:sz w:val="20"/>
              </w:rPr>
              <w:t> </w:t>
            </w:r>
            <w:r>
              <w:rPr>
                <w:rFonts w:ascii="Arial" w:hAnsi="Arial"/>
                <w:color w:val="000000"/>
                <w:sz w:val="19"/>
              </w:rPr>
              <w:t>(June 11, 2026)</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9"/>
              </w:rPr>
              <w:t>Rule 10b5-1</w:t>
            </w:r>
            <w:r>
              <w:rPr>
                <w:rFonts w:ascii="Times New Roman" w:hAnsi="Times New Roman"/>
                <w:color w:val="000000"/>
                <w:sz w:val="20"/>
              </w:rPr>
              <w:t> </w:t>
            </w:r>
            <w:r>
              <w:rPr>
                <w:rFonts w:ascii="Arial" w:hAnsi="Arial"/>
                <w:color w:val="000000"/>
                <w:sz w:val="19"/>
              </w:rPr>
              <w:t>trading arrangement</w:t>
            </w:r>
          </w:p>
        </w:tc>
        <w:tc>
          <w:tcPr>
            <w:tcW w:w="19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Trading plan intended to satisfy the affirmative defense conditions of Exchange Act Rule 10b5-1(c)</w:t>
            </w:r>
          </w:p>
        </w:tc>
        <w:tc>
          <w:tcPr>
            <w:tcW w:w="2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9"/>
              </w:rPr>
              <w:t>Earlier of (i) June 30, 2027</w:t>
            </w:r>
            <w:r>
              <w:rPr>
                <w:rFonts w:ascii="Times New Roman" w:hAnsi="Times New Roman"/>
                <w:color w:val="000000"/>
                <w:sz w:val="20"/>
              </w:rPr>
              <w:t> </w:t>
            </w:r>
            <w:r>
              <w:rPr>
                <w:rFonts w:ascii="Arial" w:hAnsi="Arial"/>
                <w:color w:val="000000"/>
                <w:sz w:val="19"/>
              </w:rPr>
              <w:t>and (ii) the completed sale of the maximum aggregate number of securities under the plan</w:t>
            </w:r>
          </w:p>
        </w:tc>
        <w:tc>
          <w:tcPr>
            <w:tcW w:w="1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9"/>
              </w:rPr>
              <w:t>Up to 280,245</w:t>
            </w:r>
            <w:r>
              <w:rPr>
                <w:rFonts w:ascii="Times New Roman" w:hAnsi="Times New Roman"/>
                <w:color w:val="000000"/>
                <w:sz w:val="20"/>
              </w:rPr>
              <w:t> </w:t>
            </w:r>
            <w:r>
              <w:rPr>
                <w:rFonts w:ascii="Arial" w:hAnsi="Arial"/>
                <w:color w:val="000000"/>
                <w:sz w:val="19"/>
              </w:rPr>
              <w:t>shares</w:t>
            </w:r>
          </w:p>
        </w:tc>
      </w:tr>
    </w:tbl>
    <w:p>
      <w:pPr>
        <w:pStyle w:val="TextBody"/>
        <w:bidi w:val="0"/>
        <w:jc w:val="left"/>
        <w:rPr/>
      </w:pPr>
      <w:r>
        <w:rPr/>
        <w:t> </w:t>
      </w:r>
    </w:p>
    <w:p>
      <w:pPr>
        <w:pStyle w:val="TextBody"/>
        <w:bidi w:val="0"/>
        <w:jc w:val="left"/>
        <w:rPr>
          <w:rFonts w:ascii="Arial" w:hAnsi="Arial"/>
          <w:color w:val="000000"/>
          <w:sz w:val="19"/>
        </w:rPr>
      </w:pPr>
      <w:r>
        <w:rPr>
          <w:rFonts w:ascii="Arial" w:hAnsi="Arial"/>
          <w:color w:val="000000"/>
          <w:sz w:val="19"/>
        </w:rPr>
        <w:t>*Plan adopted March 13, 2026.</w:t>
      </w:r>
    </w:p>
    <w:p>
      <w:pPr>
        <w:pStyle w:val="TextBody"/>
        <w:bidi w:val="0"/>
        <w:spacing w:before="24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Arial" w:hAnsi="Arial"/>
          <w:b/>
          <w:color w:val="000000"/>
          <w:sz w:val="20"/>
        </w:rPr>
      </w:pPr>
      <w:bookmarkStart w:id="19" w:name="item_6_exhibits"/>
      <w:bookmarkEnd w:id="19"/>
      <w:r>
        <w:rPr>
          <w:rFonts w:ascii="Arial" w:hAnsi="Arial"/>
          <w:b/>
          <w:color w:val="000000"/>
          <w:sz w:val="20"/>
        </w:rPr>
        <w:t>Item 6. Exhibits.</w:t>
      </w:r>
    </w:p>
    <w:p>
      <w:pPr>
        <w:pStyle w:val="TextBody"/>
        <w:bidi w:val="0"/>
        <w:spacing w:before="8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1"/>
        <w:gridCol w:w="146"/>
        <w:gridCol w:w="9188"/>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r>
      <w:tr>
        <w:trPr/>
        <w:tc>
          <w:tcPr>
            <w:tcW w:w="87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Exhibit</w:t>
            </w:r>
          </w:p>
          <w:p>
            <w:pPr>
              <w:pStyle w:val="TableContents"/>
              <w:bidi w:val="0"/>
              <w:spacing w:before="0" w:after="283"/>
              <w:jc w:val="center"/>
              <w:rPr>
                <w:rFonts w:ascii="Arial" w:hAnsi="Arial"/>
                <w:b/>
                <w:color w:val="000000"/>
                <w:sz w:val="20"/>
              </w:rPr>
            </w:pPr>
            <w:r>
              <w:rPr>
                <w:rFonts w:ascii="Arial" w:hAnsi="Arial"/>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Amended and Restated Certificate of Incorporation of Candel Therapeutics, Inc. (incorporated by reference to Exhibit 3.1 to the Registrant’s Current Report on Form 8-K filed with the SEC on July 30, 2021).</w:t>
              </w:r>
            </w:hyperlink>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Bylaws of Candel Therapeutics, Inc. (incorporated by reference to Exhibit 3.2 to the Registrant’s Current Report on Form 8-K filed with the SEC on July 30, 2021)</w:t>
              </w:r>
            </w:hyperlink>
            <w:r>
              <w:rPr>
                <w:rFonts w:ascii="Arial" w:hAnsi="Arial"/>
                <w:color w:val="000000"/>
                <w:sz w:val="20"/>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Amendment to Amended and Restated Bylaws of Candel Therapeutics, Inc. (incorporated by reference to Exhibit 3.1 to the Registrant's Current Report on Form 8-K filed with the SEC on May 30, 2024).</w:t>
              </w:r>
            </w:hyperlink>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Specimen Common Stock Certificate (incorporated by reference to Exhibit 4.1 to the Registrant’s Registration Statement on Form S-1/A (File No. 333- 257444) filed with the SEC on July 16, 2021)</w:t>
              </w:r>
            </w:hyperlink>
            <w:r>
              <w:rPr>
                <w:rFonts w:ascii="Arial" w:hAnsi="Arial"/>
                <w:color w:val="000000"/>
                <w:sz w:val="20"/>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First Amendment to Master Production Services Agreement by and between Candel Therapeutics and SAFC Carlsbad, Inc. dated April 9, 2026 (incorporated by reference to Exhibit 10.1 to the Registrant’s Quarterly Report on Form 10-Q filed with the SEC on May 14, 2026).</w:t>
              </w:r>
            </w:hyperlink>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dl-ex10_2.htm">
              <w:r>
                <w:rPr>
                  <w:rStyle w:val="InternetLink"/>
                  <w:rFonts w:ascii="Arial" w:hAnsi="Arial"/>
                  <w:color w:val="0000FF"/>
                  <w:sz w:val="20"/>
                  <w:u w:val="single"/>
                </w:rPr>
                <w:t>Employment Agreement, effective as of July 6, 2026, by and between Candel Therapeutics, Inc. and Mark Sims</w:t>
              </w:r>
            </w:hyperlink>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Arial" w:hAnsi="Arial"/>
                  <w:color w:val="0000FF"/>
                  <w:sz w:val="20"/>
                  <w:u w:val="single"/>
                </w:rPr>
                <w:t>Employment Agreement, effective as of June 12, 2026, by and between Candel Therapeutics, Inc. and Charles Schoch (incorporated by reference to Exhibit 10.1 to the Registrant’s Current Report on Form 8-K filed with the SEC on June 16, 2026).</w:t>
              </w:r>
            </w:hyperlink>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dl-ex10_4.htm">
              <w:r>
                <w:rPr>
                  <w:rStyle w:val="InternetLink"/>
                  <w:rFonts w:ascii="Arial" w:hAnsi="Arial"/>
                  <w:color w:val="0000FF"/>
                  <w:sz w:val="20"/>
                  <w:u w:val="single"/>
                </w:rPr>
                <w:t>Amended and Restated Non-Employee Director Compensation Policy, effective as of June 12, 2026.</w:t>
              </w:r>
            </w:hyperlink>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dl-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dl-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dl-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dl-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Arial" w:hAnsi="Arial"/>
          <w:color w:val="000000"/>
          <w:sz w:val="19"/>
        </w:rPr>
      </w:pPr>
      <w:r>
        <w:rPr>
          <w:rFonts w:ascii="Arial" w:hAnsi="Arial"/>
          <w:color w:val="000000"/>
          <w:sz w:val="19"/>
        </w:rPr>
        <w:t>* Filed herewith.</w:t>
      </w:r>
    </w:p>
    <w:p>
      <w:pPr>
        <w:pStyle w:val="TextBody"/>
        <w:bidi w:val="0"/>
        <w:spacing w:before="40" w:after="283"/>
        <w:jc w:val="left"/>
        <w:rPr>
          <w:rFonts w:ascii="Arial" w:hAnsi="Arial"/>
          <w:color w:val="000000"/>
          <w:sz w:val="19"/>
        </w:rPr>
      </w:pPr>
      <w:r>
        <w:rPr>
          <w:rFonts w:ascii="Arial" w:hAnsi="Arial"/>
          <w:color w:val="000000"/>
          <w:sz w:val="19"/>
        </w:rPr>
        <w:t>+ The certifications furnished in Exhibits 32.1 and 32.2 hereto are deemed to be furnished with this Form 10-Q and will not be deemed to be “filed” for purposes of Section 18 of the Securities Exchange Act of 1934, as amended, except to the extent that the Registrant specifically incorporates it by reference.</w:t>
      </w:r>
    </w:p>
    <w:p>
      <w:pPr>
        <w:pStyle w:val="TextBody"/>
        <w:bidi w:val="0"/>
        <w:spacing w:before="40" w:after="283"/>
        <w:jc w:val="left"/>
        <w:rPr>
          <w:rFonts w:ascii="Arial" w:hAnsi="Arial"/>
          <w:color w:val="000000"/>
          <w:sz w:val="19"/>
        </w:rPr>
      </w:pPr>
      <w:r>
        <w:rPr>
          <w:rFonts w:ascii="Arial" w:hAnsi="Arial"/>
          <w:color w:val="000000"/>
          <w:sz w:val="19"/>
        </w:rPr>
        <w:t># Indicates a management contract or any compensatory plan, contract or arrangement.</w:t>
      </w:r>
    </w:p>
    <w:p>
      <w:pPr>
        <w:pStyle w:val="TextBody"/>
        <w:bidi w:val="0"/>
        <w:spacing w:before="24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bookmarkStart w:id="20" w:name="signatures"/>
      <w:bookmarkEnd w:id="20"/>
      <w:r>
        <w:rPr>
          <w:rFonts w:ascii="Arial" w:hAnsi="Arial"/>
          <w:b/>
          <w:color w:val="000000"/>
          <w:sz w:val="20"/>
        </w:rPr>
        <w:t>SIGNATURES</w:t>
      </w:r>
    </w:p>
    <w:p>
      <w:pPr>
        <w:pStyle w:val="TextBody"/>
        <w:bidi w:val="0"/>
        <w:spacing w:before="240" w:after="283"/>
        <w:jc w:val="left"/>
        <w:rPr>
          <w:rFonts w:ascii="Arial" w:hAnsi="Arial"/>
          <w:color w:val="000000"/>
          <w:sz w:val="19"/>
        </w:rPr>
      </w:pPr>
      <w:r>
        <w:rPr>
          <w:rFonts w:ascii="Arial" w:hAnsi="Arial"/>
          <w:color w:val="000000"/>
          <w:sz w:val="19"/>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784" w:type="dxa"/>
        <w:jc w:val="left"/>
        <w:tblInd w:w="0" w:type="dxa"/>
        <w:tblLayout w:type="fixed"/>
        <w:tblCellMar>
          <w:top w:w="28" w:type="dxa"/>
          <w:left w:w="28" w:type="dxa"/>
          <w:bottom w:w="28" w:type="dxa"/>
          <w:right w:w="28" w:type="dxa"/>
        </w:tblCellMar>
      </w:tblPr>
      <w:tblGrid>
        <w:gridCol w:w="2071"/>
        <w:gridCol w:w="146"/>
        <w:gridCol w:w="406"/>
        <w:gridCol w:w="516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Candel Therapeutics, Inc.</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By:</w:t>
            </w:r>
          </w:p>
        </w:tc>
        <w:tc>
          <w:tcPr>
            <w:tcW w:w="51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/s/ Paul Peter Tak</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Paul Peter Tak</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President and Chief Executive Officer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(Principal executive officer)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By:</w:t>
            </w:r>
          </w:p>
        </w:tc>
        <w:tc>
          <w:tcPr>
            <w:tcW w:w="51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/s/ Charles Schoch</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Charles Schoch</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Chief Financial Officer</w:t>
            </w:r>
          </w:p>
          <w:p>
            <w:pPr>
              <w:pStyle w:val="TableContents"/>
              <w:bidi w:val="0"/>
              <w:spacing w:before="0" w:after="283"/>
              <w:jc w:val="center"/>
              <w:rPr>
                <w:rFonts w:ascii="Arial" w:hAnsi="Arial"/>
                <w:color w:val="000000"/>
                <w:sz w:val="19"/>
              </w:rPr>
            </w:pPr>
            <w:r>
              <w:rPr>
                <w:rFonts w:ascii="Arial" w:hAnsi="Arial"/>
                <w:color w:val="000000"/>
                <w:sz w:val="19"/>
              </w:rPr>
              <w:t>(Principal financial officer and principal accounting officer)</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Arial" w:hAnsi="Arial"/>
          <w:b/>
          <w:color w:val="000000"/>
          <w:sz w:val="20"/>
        </w:rPr>
      </w:pPr>
      <w:bookmarkStart w:id="21" w:name="cadl-ex10_2.htm"/>
      <w:bookmarkStart w:id="22" w:name="kscadlex10_2"/>
      <w:bookmarkEnd w:id="21"/>
      <w:bookmarkEnd w:id="22"/>
      <w:r>
        <w:rPr>
          <w:rFonts w:ascii="Arial" w:hAnsi="Arial"/>
          <w:b/>
          <w:color w:val="000000"/>
          <w:sz w:val="20"/>
        </w:rPr>
        <w:t>Exhibit 10.2</w:t>
      </w:r>
      <w:r>
        <w:br w:type="page"/>
      </w:r>
    </w:p>
    <w:p>
      <w:pPr>
        <w:pStyle w:val="TextBody"/>
        <w:bidi w:val="0"/>
        <w:spacing w:before="0" w:after="240"/>
        <w:jc w:val="left"/>
        <w:rPr/>
      </w:pPr>
      <w:r>
        <w:rPr/>
        <w:drawing>
          <wp:inline distT="0" distB="0" distL="0" distR="0">
            <wp:extent cx="1685925"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1685925" cy="962025"/>
                    </a:xfrm>
                    <a:prstGeom prst="rect">
                      <a:avLst/>
                    </a:prstGeom>
                  </pic:spPr>
                </pic:pic>
              </a:graphicData>
            </a:graphic>
          </wp:inline>
        </w:drawing>
      </w:r>
      <w:r>
        <w:rPr>
          <w:color w:val="00000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EMPLOYMENT AGREEMENT</w:t>
      </w:r>
    </w:p>
    <w:p>
      <w:pPr>
        <w:pStyle w:val="TextBody"/>
        <w:bidi w:val="0"/>
        <w:spacing w:before="0" w:after="240"/>
        <w:jc w:val="left"/>
        <w:rPr>
          <w:rFonts w:ascii="Times New Roman" w:hAnsi="Times New Roman"/>
          <w:sz w:val="20"/>
        </w:rPr>
      </w:pPr>
      <w:r>
        <w:rPr>
          <w:rFonts w:ascii="Times New Roman" w:hAnsi="Times New Roman"/>
          <w:color w:val="000000"/>
          <w:sz w:val="24"/>
        </w:rPr>
        <w:t>This Employment Agreement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made between Candel Therapeutics,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Mark Sims (the “</w:t>
      </w:r>
      <w:r>
        <w:rPr>
          <w:rFonts w:ascii="Times New Roman" w:hAnsi="Times New Roman"/>
          <w:b/>
          <w:color w:val="000000"/>
          <w:sz w:val="24"/>
        </w:rPr>
        <w:t>Executive</w:t>
      </w:r>
      <w:r>
        <w:rPr>
          <w:rFonts w:ascii="Times New Roman" w:hAnsi="Times New Roman"/>
          <w:color w:val="000000"/>
          <w:sz w:val="20"/>
        </w:rPr>
        <w:t>”</w:t>
      </w:r>
      <w:r>
        <w:rPr>
          <w:rFonts w:ascii="Times New Roman" w:hAnsi="Times New Roman"/>
          <w:color w:val="000000"/>
          <w:sz w:val="24"/>
        </w:rPr>
        <w:t>) and is made effective as of July 6, 2026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the Company desires to employ the Executive and the Executive desires to be employed by the Company on the terms and conditions contained herein;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NOW, THEREFORE, in consideration of the mutual covenants and agreements herein contained and other good and valuable consideration, the receipt and sufficiency of which is hereby acknowledged, the parties agree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Employment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Term</w:t>
      </w:r>
      <w:r>
        <w:rPr>
          <w:rFonts w:ascii="Times New Roman" w:hAnsi="Times New Roman"/>
          <w:color w:val="000000"/>
          <w:sz w:val="24"/>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 w:hAnsi="Times New Roman"/>
          <w:b/>
          <w:color w:val="000000"/>
          <w:sz w:val="24"/>
        </w:rPr>
        <w:t>Term</w:t>
      </w:r>
      <w:r>
        <w:rPr>
          <w:color w:val="000000"/>
        </w:rPr>
        <w:t>”</w:t>
      </w:r>
      <w:r>
        <w:rPr>
          <w:rFonts w:ascii="Times New Roman" w:hAnsi="Times New Roman"/>
          <w:color w:val="000000"/>
          <w:sz w:val="24"/>
        </w:rPr>
        <w:t>). The Executive’s employment with the Company shall be “at will,” meaning that the Executive’s employment may be terminated by the Company or the Executive at any time and for any reason subject to the terms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Position and Duties</w:t>
      </w:r>
      <w:r>
        <w:rPr>
          <w:rFonts w:ascii="Times New Roman" w:hAnsi="Times New Roman"/>
          <w:color w:val="000000"/>
          <w:sz w:val="24"/>
        </w:rPr>
        <w:t>. The Executive shall serve as the Chief Commercial Officer of the Company. The Executive shall devote the Executive’s full working time and efforts to the business and affairs of the Company. Notwithstanding the foregoing, as long as such services and activities do not interfere with the Executive’s performance of the Executive’s duties to the Company, the Executive may (i) engage in religious, charitable or other community activities, and (ii) serve on boards of directors of companies that are not competitive with the Company, do not otherwise present a conflict of interest and would not otherwise interfere with Executive’s responsibilities and the performance of Executive’s duties hereunder, subject to the prior written approval of the Board.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Compensation and Related Matters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Base Salary</w:t>
      </w:r>
      <w:r>
        <w:rPr>
          <w:rFonts w:ascii="Times New Roman" w:hAnsi="Times New Roman"/>
          <w:color w:val="000000"/>
          <w:sz w:val="24"/>
        </w:rPr>
        <w:t>. The Executive’s initial base salary shall be paid at a rate of $455,000 per year. The Executive’s base salary shall be reviewed for increase annually by the CEO and/or Compensation Committee of the Board (the “</w:t>
      </w:r>
      <w:r>
        <w:rPr>
          <w:rFonts w:ascii="Times New Roman" w:hAnsi="Times New Roman"/>
          <w:b/>
          <w:color w:val="000000"/>
          <w:sz w:val="24"/>
        </w:rPr>
        <w:t>Compensation Committee</w:t>
      </w:r>
      <w:r>
        <w:rPr>
          <w:color w:val="000000"/>
        </w:rPr>
        <w:t>”</w:t>
      </w:r>
      <w:r>
        <w:rPr>
          <w:rFonts w:ascii="Times New Roman" w:hAnsi="Times New Roman"/>
          <w:color w:val="000000"/>
          <w:sz w:val="24"/>
        </w:rPr>
        <w:t>). The base salary in effect at any given time is referred to herein as “</w:t>
      </w:r>
      <w:r>
        <w:rPr>
          <w:rFonts w:ascii="Times New Roman" w:hAnsi="Times New Roman"/>
          <w:b/>
          <w:color w:val="000000"/>
          <w:sz w:val="24"/>
        </w:rPr>
        <w:t>Base Salary</w:t>
      </w:r>
      <w:r>
        <w:rPr>
          <w:rFonts w:ascii="Times New Roman" w:hAnsi="Times New Roman"/>
          <w:color w:val="000000"/>
          <w:sz w:val="24"/>
        </w:rPr>
        <w:t>.” The Base Salary shall be payable in a manner that is consistent with the Company’s usual payroll practices for employees.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Incentive Compensation</w:t>
      </w:r>
      <w:r>
        <w:rPr>
          <w:rFonts w:ascii="Times New Roman" w:hAnsi="Times New Roman"/>
          <w:color w:val="000000"/>
          <w:sz w:val="24"/>
        </w:rPr>
        <w:t>. The Executive shall be eligible to receive cash incentive compensation as determined by the Board or the Compensation Committee from time to time. The Executive’s initial target annual incentive compensation shall be 40% of the Executive’s Base Salary. The target annual bonus incentive compensation in effect at any given time is referred to herein as “</w:t>
      </w:r>
      <w:r>
        <w:rPr>
          <w:rFonts w:ascii="Times New Roman" w:hAnsi="Times New Roman"/>
          <w:b/>
          <w:color w:val="000000"/>
          <w:sz w:val="24"/>
        </w:rPr>
        <w:t>Target Bonus</w:t>
      </w:r>
      <w:r>
        <w:rPr>
          <w:rFonts w:ascii="Times New Roman" w:hAnsi="Times New Roman"/>
          <w:color w:val="000000"/>
          <w:sz w:val="24"/>
        </w:rPr>
        <w:t>.” The actual amount of the Executive’s annual incentive compensation, if any, shall be determined in discretion by the CEO and the Compensation Committee, subject to the terms of any applicable incentive compensation plan that may be in effect from time to time. Except as otherwise provided herein, as may be provided by the CEO or the Compensation Committee or as may otherwise be set forth in the applicable compensation plan, the Executive must be employed by the Company on the day such annual incentive compensation is paid to receive any annual incentive compensation; provided, however, that such annual incentive compensation will be paid no later than March 15</w:t>
      </w:r>
      <w:r>
        <w:rPr>
          <w:rFonts w:ascii="Times New Roman" w:hAnsi="Times New Roman"/>
          <w:color w:val="000000"/>
          <w:sz w:val="16"/>
        </w:rPr>
        <w:t>th</w:t>
      </w:r>
      <w:r>
        <w:rPr>
          <w:color w:val="000000"/>
        </w:rPr>
        <w:t xml:space="preserve"> </w:t>
      </w:r>
      <w:r>
        <w:rPr>
          <w:rFonts w:ascii="Times New Roman" w:hAnsi="Times New Roman"/>
          <w:color w:val="000000"/>
          <w:sz w:val="24"/>
        </w:rPr>
        <w:t>of the following year.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Sign-On Bonus</w:t>
      </w:r>
      <w:r>
        <w:rPr>
          <w:rFonts w:ascii="Times New Roman" w:hAnsi="Times New Roman"/>
          <w:color w:val="000000"/>
          <w:sz w:val="24"/>
        </w:rPr>
        <w:t xml:space="preserve">. Within thirty (30) days of the Effective Date, the Company shall pay Executive a one-time sign-on bonus in the gross amount of $30,000 (the “Signing Bonus”), less applicable taxes and withholdings, subject to Executive’s continuous employment with the Company through the twelve (12)-month anniversary of the Effective Date. The Executive acknowledges that the Signing Bonus shall only vest and be fully earned upon the first anniversary of the Effective Date, and if the Executive’s employment with the Company terminates as a result of a termination by the Company for Cause (as defined below) or as a result of a resignation by the Executive prior to the twelve (12)-month anniversary of the Effective Date, the Executive shall repay the Company the entire amount of the Signing Bonus, in cash, as soon as reasonably practicable but in no event later than thirty (30) days following the Date of Termination (as defined below).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Expenses</w:t>
      </w:r>
      <w:r>
        <w:rPr>
          <w:rFonts w:ascii="Times New Roman" w:hAnsi="Times New Roman"/>
          <w:color w:val="000000"/>
          <w:sz w:val="24"/>
        </w:rPr>
        <w:t>. The Executive shall be entitled to receive prompt reimbursement for all reasonable expenses incurred by the Executive during the Term in performing services hereunder, in accordance with the policies and procedures then in effect and established by the Company for its employees.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Work Location and Business Travel</w:t>
      </w:r>
      <w:r>
        <w:rPr>
          <w:rFonts w:ascii="Times New Roman" w:hAnsi="Times New Roman"/>
          <w:color w:val="000000"/>
          <w:sz w:val="24"/>
        </w:rPr>
        <w:t>. Executive’s primary work location shall be Executive’s principal residence in the State of Maryland, and Executive shall perform his duties remotely, with travel to the Corporate office as needed. The Company shall reimburse Executive for reasonable business travel expenses incurred in connection with travel to the Company’s corporate offices in Massachusetts, in accordance with the Company’s then-current travel and expense reimbursement policies.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rFonts w:ascii="Times New Roman" w:hAnsi="Times New Roman"/>
          <w:color w:val="000000"/>
          <w:sz w:val="24"/>
          <w:u w:val="single"/>
        </w:rPr>
        <w:t>Relocation</w:t>
      </w:r>
      <w:r>
        <w:rPr>
          <w:rFonts w:ascii="Times New Roman" w:hAnsi="Times New Roman"/>
          <w:color w:val="000000"/>
          <w:sz w:val="24"/>
        </w:rPr>
        <w:t xml:space="preserve">. If Executive elects to relocate his principal residence to the Massachusetts vicinity by October 1, 2027, the Company agrees to reimburse Executive for certain relocation expenses up to a maximum of $40,000 (“Relocation Reimbursement”). Executive will be required to provide receipts and documentation for relocation expenses in accordance with the Company’s regular accounting and relocation policies.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left"/>
        <w:rPr/>
      </w:pPr>
      <w:r>
        <w:rPr>
          <w:rFonts w:ascii="Times New Roman" w:hAnsi="Times New Roman"/>
          <w:color w:val="000000"/>
          <w:sz w:val="24"/>
          <w:u w:val="single"/>
        </w:rPr>
        <w:t>Other Benefits</w:t>
      </w:r>
      <w:r>
        <w:rPr>
          <w:rFonts w:ascii="Times New Roman" w:hAnsi="Times New Roman"/>
          <w:color w:val="000000"/>
          <w:sz w:val="24"/>
        </w:rPr>
        <w:t>. The Executive shall be eligible to participate in or receive benefits under the Company’s employee benefit plans in effect from time to time, subject to the terms of such plans.</w:t>
      </w:r>
    </w:p>
    <w:p>
      <w:pPr>
        <w:pStyle w:val="TextBody"/>
        <w:pBdr>
          <w:top w:val="sing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left"/>
        <w:rPr/>
      </w:pPr>
      <w:r>
        <w:rPr>
          <w:rFonts w:ascii="Times New Roman" w:hAnsi="Times New Roman"/>
          <w:color w:val="000000"/>
          <w:sz w:val="24"/>
          <w:u w:val="single"/>
        </w:rPr>
        <w:t>Paid Time Off</w:t>
      </w:r>
      <w:r>
        <w:rPr>
          <w:rFonts w:ascii="Times New Roman" w:hAnsi="Times New Roman"/>
          <w:color w:val="000000"/>
          <w:sz w:val="24"/>
        </w:rPr>
        <w:t>. The Executive shall be entitled to take paid time off in accordance with the Company’s applicable paid time off policy as may be in effect from time to time. The Executive shall also be entitled to all paid holidays given by the Company to its executive officers.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rFonts w:ascii="Times New Roman" w:hAnsi="Times New Roman"/>
          <w:color w:val="000000"/>
          <w:sz w:val="24"/>
          <w:u w:val="single"/>
        </w:rPr>
        <w:t>Equity</w:t>
      </w:r>
      <w:r>
        <w:rPr>
          <w:rFonts w:ascii="Times New Roman" w:hAnsi="Times New Roman"/>
          <w:color w:val="000000"/>
          <w:sz w:val="24"/>
        </w:rPr>
        <w:t>. Subject to approval by the Board of Directors, the Company will grant the Executive an option to purchase 285,000 shares of the Company’s common stock, subject to time-based vesting as follows: 25% shall vest after Executive’s one year anniversary of the Effective Date. The remaining 75% shall vest in thirty-six equal monthly installments following the one-year anniversary of the Effective Date, until all options are vested, in each case subject to Executive’s continued employment with the Company on each such vesting date. The equity awards held by the Executive shall be governed by the terms and conditions of the Company’s applicable equity incentive plan(s) and the applicable award agreement(s) governing the terms of such equity awards held by the Executive (collectively, the “</w:t>
      </w:r>
      <w:r>
        <w:rPr>
          <w:rFonts w:ascii="Times New Roman" w:hAnsi="Times New Roman"/>
          <w:b/>
          <w:color w:val="000000"/>
          <w:sz w:val="24"/>
        </w:rPr>
        <w:t>Equity Documents</w:t>
      </w:r>
      <w:r>
        <w:rPr>
          <w:color w:val="000000"/>
        </w:rPr>
        <w:t>”</w:t>
      </w:r>
      <w:r>
        <w:rPr>
          <w:rFonts w:ascii="Times New Roman" w:hAnsi="Times New Roman"/>
          <w:color w:val="000000"/>
          <w:sz w:val="24"/>
        </w:rPr>
        <w:t>); provided, however, and notwithstanding anything to the contrary in the Equity Documents, all stock options and other stock-based awards held by the Executive that are subject solely to time-based vesting (the “</w:t>
      </w:r>
      <w:r>
        <w:rPr>
          <w:rFonts w:ascii="Times New Roman" w:hAnsi="Times New Roman"/>
          <w:b/>
          <w:color w:val="000000"/>
          <w:sz w:val="24"/>
        </w:rPr>
        <w:t>Time-Based Equity Awards</w:t>
      </w:r>
      <w:r>
        <w:rPr>
          <w:color w:val="000000"/>
        </w:rPr>
        <w:t>”</w:t>
      </w:r>
      <w:r>
        <w:rPr>
          <w:rFonts w:ascii="Times New Roman" w:hAnsi="Times New Roman"/>
          <w:color w:val="000000"/>
          <w:sz w:val="24"/>
        </w:rPr>
        <w:t>) shall immediately accelerate and become fully vested and exercisable or nonforfeitable if a Change in Control (to be defined in the Equity Documents) occurs and within one (1) month prior to, or within twelve (12) months after, the effective time of such Change in Control, Executive’s employment terminates due to an involuntary termination (not including death or Disability) without Cause (as defined below) or due to Executive’s voluntary termination with Good Reason (as defined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Termination</w:t>
      </w:r>
      <w:r>
        <w:rPr>
          <w:rFonts w:ascii="Times New Roman" w:hAnsi="Times New Roman"/>
          <w:color w:val="000000"/>
          <w:sz w:val="24"/>
        </w:rPr>
        <w:t>. The Executive’s employment hereunder may be terminated without any breach of this Agreement under the following circumstances: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Death</w:t>
      </w:r>
      <w:r>
        <w:rPr>
          <w:rFonts w:ascii="Times New Roman" w:hAnsi="Times New Roman"/>
          <w:color w:val="000000"/>
          <w:sz w:val="24"/>
        </w:rPr>
        <w:t>. The Executive’s employment hereunder shall terminate upon his death.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Disability</w:t>
      </w:r>
      <w:r>
        <w:rPr>
          <w:rFonts w:ascii="Times New Roman" w:hAnsi="Times New Roman"/>
          <w:color w:val="000000"/>
          <w:sz w:val="24"/>
        </w:rPr>
        <w:t>. The Company may terminate the Executive’s employment if the Executive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certificate in reasonable detail by a physician selected by the Company to who the Executive or Executive’s guardian has not reasonable objections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et seq. and the Americans with Disabilities Act, 42 U.S.C. §12101 et seq.</w:t>
      </w:r>
    </w:p>
    <w:p>
      <w:pPr>
        <w:pStyle w:val="TextBody"/>
        <w:pBdr>
          <w:top w:val="sing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Termination by the Company for Cause</w:t>
      </w:r>
      <w:r>
        <w:rPr>
          <w:rFonts w:ascii="Times New Roman" w:hAnsi="Times New Roman"/>
          <w:color w:val="000000"/>
          <w:sz w:val="24"/>
        </w:rPr>
        <w:t>. The Company may terminate the Executive’s employment hereunder for Cause. For purposes of this Agreement, “</w:t>
      </w:r>
      <w:r>
        <w:rPr>
          <w:rFonts w:ascii="Times New Roman" w:hAnsi="Times New Roman"/>
          <w:b/>
          <w:color w:val="000000"/>
          <w:sz w:val="24"/>
        </w:rPr>
        <w:t>Cause</w:t>
      </w:r>
      <w:r>
        <w:rPr>
          <w:color w:val="000000"/>
        </w:rPr>
        <w:t xml:space="preserve">” </w:t>
      </w:r>
      <w:r>
        <w:rPr>
          <w:rFonts w:ascii="Times New Roman" w:hAnsi="Times New Roman"/>
          <w:color w:val="000000"/>
          <w:sz w:val="24"/>
        </w:rPr>
        <w:t>shall mean any of the following, as expressly determined by the Board: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Executive’s conviction of any felony or any crime involving fraud or dishonesty;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Executive’s participation in a fraud, act of dishonesty or other act of gross misconduct that adversely affect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Conduct by the Executive that demonstrates Executive’s gross unfitness to serve;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Executive’s violation of any statutory or fiduciary duty, or duty of loyalty, owed to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Executive’s breach of any material term of any contract between such Executive and the Company; and/or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Executive’s material violation of Company policy.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Whether a termination is for Cause shall be decided by the Board in their exclusive judgement and discretion. Prior to any termination for Cause pursuant to each event listed in (iv), (v) and (vi) above, to the extent such event(s) is capable of being cured by the Executive, (A) the Company shall give the Executive notice of such event(s), which notice shall be specify in reasonable detail the circumstances constituting Cause, and (B) there shall be no Cause with respect to any such event(s) if the Board determines in good faith that such events have been cured by Executive within fifteen (15) days after the delivery of such notice.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Termination by the Company without Cause</w:t>
      </w:r>
      <w:r>
        <w:rPr>
          <w:rFonts w:ascii="Times New Roman" w:hAnsi="Times New Roman"/>
          <w:color w:val="000000"/>
          <w:sz w:val="24"/>
        </w:rPr>
        <w:t>. The Company may terminate the Executive’s employment hereunder at any time without Cause. Any termination by the Company of the Executive’s employment under this Agreement which does not constitute a termination for Cause under Sections 3(c) and does not result from the death or disability of the Executive under Section 3(a) or (b) shall be deemed a termination without Cause.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Termination by the Executive</w:t>
      </w:r>
      <w:r>
        <w:rPr>
          <w:rFonts w:ascii="Times New Roman" w:hAnsi="Times New Roman"/>
          <w:color w:val="000000"/>
          <w:sz w:val="24"/>
        </w:rPr>
        <w:t>. The Executive may terminate employment hereunder at any time for any reason, including but not limited to, Good Reason. For purposes hereof, “</w:t>
      </w:r>
      <w:r>
        <w:rPr>
          <w:rFonts w:ascii="Times New Roman" w:hAnsi="Times New Roman"/>
          <w:b/>
          <w:color w:val="000000"/>
          <w:sz w:val="24"/>
        </w:rPr>
        <w:t>Good Reason</w:t>
      </w:r>
      <w:r>
        <w:rPr>
          <w:color w:val="000000"/>
        </w:rPr>
        <w:t xml:space="preserve">” </w:t>
      </w:r>
      <w:r>
        <w:rPr>
          <w:rFonts w:ascii="Times New Roman" w:hAnsi="Times New Roman"/>
          <w:color w:val="000000"/>
          <w:sz w:val="24"/>
        </w:rPr>
        <w:t>shall mean that the Executive has completed all steps of the Good Reason Process (hereinafter defined) following the occurrence of any of the following events without the Executive’s consent (each, a “</w:t>
      </w:r>
      <w:r>
        <w:rPr>
          <w:rFonts w:ascii="Times New Roman" w:hAnsi="Times New Roman"/>
          <w:b/>
          <w:color w:val="000000"/>
          <w:sz w:val="24"/>
        </w:rPr>
        <w:t>Good Reason Condition</w:t>
      </w:r>
      <w:r>
        <w:rPr>
          <w:color w:val="000000"/>
        </w:rPr>
        <w: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material reduction by the Company of Executive’s Base Salary as initially set forth herein or as the same may be increased from time to time, provided, however, that if such reduction occurs in connection with a Company-wide decrease in executive team compensation, such reduction shall not constitute Good Reason;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material breach of this Agreement by the Company; or</w:t>
      </w:r>
    </w:p>
    <w:p>
      <w:pPr>
        <w:pStyle w:val="TextBody"/>
        <w:pBdr>
          <w:top w:val="sing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material reduction in Executive’s duties, authority, or responsibilities relative to Executive’s duties, authority, or responsibilities in effect immediately prior to such reduction unless Executive is performing duties and responsibilities for the Company or its successor that are similar to those Executive was performing for the Company immediately prior to such transaction.</w:t>
      </w:r>
    </w:p>
    <w:p>
      <w:pPr>
        <w:pStyle w:val="TextBody"/>
        <w:bidi w:val="0"/>
        <w:spacing w:before="0" w:after="240"/>
        <w:jc w:val="left"/>
        <w:rPr>
          <w:rFonts w:ascii="Times New Roman" w:hAnsi="Times New Roman"/>
          <w:sz w:val="20"/>
        </w:rPr>
      </w:pPr>
      <w:r>
        <w:rPr>
          <w:rFonts w:ascii="Times New Roman" w:hAnsi="Times New Roman"/>
          <w:color w:val="000000"/>
          <w:sz w:val="24"/>
        </w:rPr>
        <w:t>The “</w:t>
      </w:r>
      <w:r>
        <w:rPr>
          <w:rFonts w:ascii="Times New Roman" w:hAnsi="Times New Roman"/>
          <w:b/>
          <w:color w:val="000000"/>
          <w:sz w:val="24"/>
        </w:rPr>
        <w:t>Good Reason Process</w:t>
      </w:r>
      <w:r>
        <w:rPr>
          <w:rFonts w:ascii="Times New Roman" w:hAnsi="Times New Roman"/>
          <w:color w:val="000000"/>
          <w:sz w:val="20"/>
        </w:rPr>
        <w:t xml:space="preserve">” </w:t>
      </w:r>
      <w:r>
        <w:rPr>
          <w:rFonts w:ascii="Times New Roman" w:hAnsi="Times New Roman"/>
          <w:color w:val="000000"/>
          <w:sz w:val="24"/>
        </w:rPr>
        <w:t>consists of the following steps: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Executive reasonably determines in good faith that a Good Reason Condition has occurred;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Executive notifies the Company in writing of the first occurrence of the Good Reason Condition within 30 days of the first occurrence of such condition;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the Executive cooperates in good faith with the Company’s efforts, for a period of not less than 30 days following such notice (the “</w:t>
      </w:r>
      <w:r>
        <w:rPr>
          <w:rFonts w:ascii="Times New Roman" w:hAnsi="Times New Roman"/>
          <w:b/>
          <w:color w:val="000000"/>
          <w:sz w:val="24"/>
        </w:rPr>
        <w:t>Cure Period</w:t>
      </w:r>
      <w:r>
        <w:rPr>
          <w:color w:val="000000"/>
        </w:rPr>
        <w:t>”</w:t>
      </w:r>
      <w:r>
        <w:rPr>
          <w:rFonts w:ascii="Times New Roman" w:hAnsi="Times New Roman"/>
          <w:color w:val="000000"/>
          <w:sz w:val="24"/>
        </w:rPr>
        <w:t>), to remedy the Good Reason Condition;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such efforts, the Good Reason Condition continues to exist;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Executive terminates employment within 30 days after the end of the Cure Period.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Company cures the Good Reason Condition during the Cure Period, Good Reason shall be deemed not to have occurred.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rFonts w:ascii="Times New Roman" w:hAnsi="Times New Roman"/>
          <w:color w:val="000000"/>
          <w:sz w:val="24"/>
          <w:u w:val="single"/>
        </w:rPr>
        <w:t>Matters Related to Termination</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Notice of Termination</w:t>
      </w:r>
      <w:r>
        <w:rPr>
          <w:rFonts w:ascii="Times New Roman" w:hAnsi="Times New Roman"/>
          <w:color w:val="000000"/>
          <w:sz w:val="24"/>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 w:hAnsi="Times New Roman"/>
          <w:b/>
          <w:color w:val="000000"/>
          <w:sz w:val="24"/>
        </w:rPr>
        <w:t>Notice of Termination</w:t>
      </w:r>
      <w:r>
        <w:rPr>
          <w:color w:val="000000"/>
        </w:rPr>
        <w:t xml:space="preserve">” </w:t>
      </w:r>
      <w:r>
        <w:rPr>
          <w:rFonts w:ascii="Times New Roman" w:hAnsi="Times New Roman"/>
          <w:color w:val="000000"/>
          <w:sz w:val="24"/>
        </w:rPr>
        <w:t>shall mean a notice which shall indicate the specific termination provision in this Agreement relied upon.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Date of Termination</w:t>
      </w:r>
      <w:r>
        <w:rPr>
          <w:rFonts w:ascii="Times New Roman" w:hAnsi="Times New Roman"/>
          <w:color w:val="000000"/>
          <w:sz w:val="24"/>
        </w:rPr>
        <w:t>. “</w:t>
      </w:r>
      <w:r>
        <w:rPr>
          <w:rFonts w:ascii="Times New Roman" w:hAnsi="Times New Roman"/>
          <w:b/>
          <w:color w:val="000000"/>
          <w:sz w:val="24"/>
        </w:rPr>
        <w:t>Date of Termination</w:t>
      </w:r>
      <w:r>
        <w:rPr>
          <w:color w:val="000000"/>
        </w:rPr>
        <w:t xml:space="preserve">” </w:t>
      </w:r>
      <w:r>
        <w:rPr>
          <w:rFonts w:ascii="Times New Roman" w:hAnsi="Times New Roman"/>
          <w:color w:val="000000"/>
          <w:sz w:val="24"/>
        </w:rPr>
        <w:t xml:space="preserve">shall mean: (i) if the Executive’s employment is terminated by death, the date of death; (ii) 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such later date specified by the Company in the Notice of Termination if agreed to by the Executive; (iv) if the Executive’s employment is terminated by the Executive under Section 3(c) other than for Good Reason, 30 days after the date on which a Notice of Termination is given, and (v) if the Executive’s employment is terminated by the Executive under Section 3(c) for Good Reason, the date on which a Notice of </w:t>
      </w:r>
    </w:p>
    <w:p>
      <w:pPr>
        <w:pStyle w:val="TextBody"/>
        <w:pBdr>
          <w:top w:val="sing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Accrued Obligations</w:t>
      </w:r>
      <w:r>
        <w:rPr>
          <w:rFonts w:ascii="Times New Roman" w:hAnsi="Times New Roman"/>
          <w:color w:val="000000"/>
          <w:sz w:val="24"/>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 w:hAnsi="Times New Roman"/>
          <w:b/>
          <w:color w:val="000000"/>
          <w:sz w:val="24"/>
        </w:rPr>
        <w:t>Accrued Obligations</w:t>
      </w:r>
      <w:r>
        <w:rPr>
          <w:color w:val="000000"/>
        </w:rPr>
        <w: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Resignation of All Other Positions</w:t>
      </w:r>
      <w:r>
        <w:rPr>
          <w:rFonts w:ascii="Times New Roman" w:hAnsi="Times New Roman"/>
          <w:color w:val="000000"/>
          <w:sz w:val="24"/>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rFonts w:ascii="Times New Roman" w:hAnsi="Times New Roman"/>
          <w:color w:val="000000"/>
          <w:sz w:val="24"/>
          <w:u w:val="single"/>
        </w:rPr>
        <w:t>Severance Pay and Benefits Upon Termination by the Company without Cause or by the Executive for Good Reason</w:t>
      </w:r>
      <w:r>
        <w:rPr>
          <w:rFonts w:ascii="Times New Roman" w:hAnsi="Times New Roman"/>
          <w:color w:val="000000"/>
          <w:sz w:val="24"/>
        </w:rPr>
        <w:t>. If the Executive’s employment is terminated by the Company without Cause as provided in Sections 3(d), or the Executive terminates employment for Good Reason as provided in Section 3(c), then, in addition to the Accrued Obligations, and subject to (i) the Executive signing a separation agreement and release in a form and manner satisfactory to the Company, which shall include, without limitation, a general release of claims against the Company and all related persons and entities, a reaffirmation of all of the Executive’s Continuing Obligations (as defined below), and shall provide that if the Executive breaches any of the Continuing Obligations, all payment of Severance Amount shall immediately cease (the “</w:t>
      </w:r>
      <w:r>
        <w:rPr>
          <w:rFonts w:ascii="Times New Roman" w:hAnsi="Times New Roman"/>
          <w:b/>
          <w:color w:val="000000"/>
          <w:sz w:val="24"/>
        </w:rPr>
        <w:t>Separation Agreement and Release</w:t>
      </w:r>
      <w:r>
        <w:rPr>
          <w:color w:val="000000"/>
        </w:rPr>
        <w:t>”</w:t>
      </w:r>
      <w:r>
        <w:rPr>
          <w:rFonts w:ascii="Times New Roman" w:hAnsi="Times New Roman"/>
          <w:color w:val="000000"/>
          <w:sz w:val="24"/>
        </w:rPr>
        <w:t>), and (ii) the Separation Agreement and Release becoming irrevocable, all within 60 days after the Date of Termination (or such shorter period as set forth in the Separation Agreement and Release), which shall include a seven (7) business day revocation period: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rPr>
        <w:t>the Company shall pay the Executive an amount equal to (A) 9 months of the Executive’s then-current Base Salary plus (B) the Executive’s Target Bonus for the then- current year (the “</w:t>
      </w:r>
      <w:r>
        <w:rPr>
          <w:rFonts w:ascii="Times New Roman" w:hAnsi="Times New Roman"/>
          <w:b/>
          <w:color w:val="000000"/>
          <w:sz w:val="24"/>
        </w:rPr>
        <w:t>Severance Amount</w:t>
      </w:r>
      <w:r>
        <w:rPr>
          <w:color w:val="000000"/>
        </w:rPr>
        <w:t>”</w:t>
      </w:r>
      <w:r>
        <w:rPr>
          <w:rFonts w:ascii="Times New Roman" w:hAnsi="Times New Roman"/>
          <w:color w:val="000000"/>
          <w:sz w:val="24"/>
        </w:rPr>
        <w:t>): provided that in the event the Executive is entitled to any payments pursuant to the Restrictive Covenants Agreement, the Severance Amount received in any calendar year will be reduced by the amount the Executive is paid in the same such calendar year pursuant to the Restrictive Covenants Agreement (the “</w:t>
      </w:r>
      <w:r>
        <w:rPr>
          <w:rFonts w:ascii="Times New Roman" w:hAnsi="Times New Roman"/>
          <w:b/>
          <w:color w:val="000000"/>
          <w:sz w:val="24"/>
        </w:rPr>
        <w:t>Restrictive Covenants Agreement Setoff</w:t>
      </w:r>
      <w:r>
        <w:rPr>
          <w:color w:val="000000"/>
        </w:rPr>
        <w:t>”</w:t>
      </w:r>
      <w:r>
        <w:rPr>
          <w:rFonts w:ascii="Times New Roman" w:hAnsi="Times New Roman"/>
          <w:color w:val="000000"/>
          <w:sz w:val="24"/>
        </w:rPr>
        <w:t>):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rPr>
        <w:t>subject to the Executive’s copayment of premium amounts at the applicable active employees’ rate and the Executive’s proper election to receive benefits under the Consolidated Omnibus Budget Reconciliation Act of 1985, as amended (“</w:t>
      </w:r>
      <w:r>
        <w:rPr>
          <w:rFonts w:ascii="Times New Roman" w:hAnsi="Times New Roman"/>
          <w:b/>
          <w:color w:val="000000"/>
          <w:sz w:val="24"/>
        </w:rPr>
        <w:t>COBRA</w:t>
      </w:r>
      <w:r>
        <w:rPr>
          <w:color w:val="000000"/>
        </w:rPr>
        <w:t>”</w:t>
      </w:r>
      <w:r>
        <w:rPr>
          <w:rFonts w:ascii="Times New Roman" w:hAnsi="Times New Roman"/>
          <w:color w:val="000000"/>
          <w:sz w:val="24"/>
        </w:rPr>
        <w:t xml:space="preserve">), the Company shall pay to the group health plan provider or the COBRA provider a monthly payment </w:t>
      </w:r>
    </w:p>
    <w:p>
      <w:pPr>
        <w:pStyle w:val="TextBody"/>
        <w:pBdr>
          <w:top w:val="sing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equal to the monthly employer contribution that the Company would have made to provide health insurance to the Executive if the Executive had remained employed by the Company until the earliest of (A) the 9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pStyle w:val="TextBody"/>
        <w:bidi w:val="0"/>
        <w:spacing w:before="0" w:after="240"/>
        <w:jc w:val="left"/>
        <w:rPr>
          <w:rFonts w:ascii="Times New Roman" w:hAnsi="Times New Roman"/>
          <w:sz w:val="20"/>
        </w:rPr>
      </w:pPr>
      <w:r>
        <w:rPr>
          <w:rFonts w:ascii="Times New Roman" w:hAnsi="Times New Roman"/>
          <w:color w:val="000000"/>
          <w:sz w:val="24"/>
        </w:rPr>
        <w:t>The amounts payable under Section 5, to the extent taxable, shall be paid out in substantially equal installments in accordance with the Company’s payroll practice over 9 months commencing within 60 days after the Date of Termination; provided, however,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Times New Roman" w:hAnsi="Times New Roman"/>
          <w:b/>
          <w:color w:val="000000"/>
          <w:sz w:val="24"/>
        </w:rPr>
        <w:t>Code</w:t>
      </w:r>
      <w:r>
        <w:rPr>
          <w:rFonts w:ascii="Times New Roman" w:hAnsi="Times New Roman"/>
          <w:color w:val="000000"/>
          <w:sz w:val="20"/>
        </w:rPr>
        <w:t>”</w:t>
      </w:r>
      <w:r>
        <w:rPr>
          <w:rFonts w:ascii="Times New Roman" w:hAnsi="Times New Roman"/>
          <w:color w:val="000000"/>
          <w:sz w:val="24"/>
        </w:rPr>
        <w: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rFonts w:ascii="Times New Roman" w:hAnsi="Times New Roman"/>
          <w:color w:val="000000"/>
          <w:sz w:val="24"/>
          <w:u w:val="single"/>
        </w:rPr>
        <w:t>Section 409A</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w:t>
      </w:r>
    </w:p>
    <w:p>
      <w:pPr>
        <w:pStyle w:val="TextBody"/>
        <w:pBdr>
          <w:top w:val="sing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taxable year (except for any lifetime or other aggregate limitation applicable to medical expenses). Such right to reimbursement or in-kind benefits is not subject to liquidation or exchange for another benefit.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rFonts w:ascii="Times New Roman" w:hAnsi="Times New Roman"/>
          <w:color w:val="000000"/>
          <w:sz w:val="24"/>
          <w:u w:val="single"/>
        </w:rPr>
        <w:t>Continuing Obligations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Restrictive Covenants Agreements</w:t>
      </w:r>
      <w:r>
        <w:rPr>
          <w:rFonts w:ascii="Times New Roman" w:hAnsi="Times New Roman"/>
          <w:color w:val="000000"/>
          <w:sz w:val="24"/>
        </w:rPr>
        <w:t>. The Executive acknowledges and agrees that, as a condition of Executive’s employment, the Executive must execute a Proprietary Information, Inventions, Non-competition and Non-Solicitation Agreement attached hereto as Exhibit A (the “</w:t>
      </w:r>
      <w:r>
        <w:rPr>
          <w:rFonts w:ascii="Times New Roman" w:hAnsi="Times New Roman"/>
          <w:b/>
          <w:color w:val="000000"/>
          <w:sz w:val="24"/>
        </w:rPr>
        <w:t>Restrictive Covenants Agreement</w:t>
      </w:r>
      <w:r>
        <w:rPr>
          <w:color w:val="000000"/>
        </w:rPr>
        <w:t>”</w:t>
      </w:r>
      <w:r>
        <w:rPr>
          <w:rFonts w:ascii="Times New Roman" w:hAnsi="Times New Roman"/>
          <w:color w:val="000000"/>
          <w:sz w:val="24"/>
        </w:rPr>
        <w:t>). For purposes of this Agreement, the obligations in this Section 7 and those that arise in the Restrictive Covenants Agreement and any other agreement relating to confidentiality, assignment of inventions, or other restrictive covenants shall collectively be referred to as the “</w:t>
      </w:r>
      <w:r>
        <w:rPr>
          <w:rFonts w:ascii="Times New Roman" w:hAnsi="Times New Roman"/>
          <w:b/>
          <w:color w:val="000000"/>
          <w:sz w:val="24"/>
        </w:rPr>
        <w:t>Continuing Obligations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Third-Party Agreements and Rights</w:t>
      </w:r>
      <w:r>
        <w:rPr>
          <w:rFonts w:ascii="Times New Roman" w:hAnsi="Times New Roman"/>
          <w:color w:val="000000"/>
          <w:sz w:val="24"/>
        </w:rPr>
        <w:t xml:space="preserve">.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of the Company’s.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w:t>
      </w:r>
    </w:p>
    <w:p>
      <w:pPr>
        <w:pStyle w:val="TextBody"/>
        <w:pBdr>
          <w:top w:val="sing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premises of the Company any copies or other tangible embodiments of non-public information belonging to or obtained from any such previous employment or other party.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Litigation and Regulatory Cooperation</w:t>
      </w:r>
      <w:r>
        <w:rPr>
          <w:rFonts w:ascii="Times New Roman" w:hAnsi="Times New Roman"/>
          <w:color w:val="000000"/>
          <w:sz w:val="24"/>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at mutually convenient times,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 of pocket expenses incurred in connection with the Executive’s performance of obligations pursuant to this Section 7(c). It is anticipated and intended that the Executive’s post-employment cooperation pursuant to this Section 7(c) will not unreasonably interfere with his other employment, business or personal obligations.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Relief</w:t>
      </w:r>
      <w:r>
        <w:rPr>
          <w:rFonts w:ascii="Times New Roman" w:hAnsi="Times New Roman"/>
          <w:color w:val="000000"/>
          <w:sz w:val="24"/>
        </w:rPr>
        <w:t>. The Executive agrees that it would be difficult to measure any damages caused to the Company which might result from any material breach by the Executive of the Continuing Obligations, and that in any event money damages would be an inadequate remedy for any such breach. Accordingly, the Executive agrees that if the Executive materially breaches, or proposes to materially breach, any portion of the Continuing Obligations, the Company shall be entitled, in addition to all other remedies that it may have, to an injunction or other appropriate equitable relief to restrain any such material breach without showing or proving any actual damage to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rFonts w:ascii="Times New Roman" w:hAnsi="Times New Roman"/>
          <w:color w:val="000000"/>
          <w:sz w:val="24"/>
          <w:u w:val="single"/>
        </w:rPr>
        <w:t>Consent to Jurisdiction</w:t>
      </w:r>
      <w:r>
        <w:rPr>
          <w:rFonts w:ascii="Times New Roman" w:hAnsi="Times New Roman"/>
          <w:color w:val="000000"/>
          <w:sz w:val="24"/>
        </w:rPr>
        <w:t>. The parties hereby consent to the jurisdiction of the state and federal courts of the Commonwealth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rFonts w:ascii="Times New Roman" w:hAnsi="Times New Roman"/>
          <w:color w:val="000000"/>
          <w:sz w:val="24"/>
          <w:u w:val="single"/>
        </w:rPr>
        <w:t>Integration</w:t>
      </w:r>
      <w:r>
        <w:rPr>
          <w:rFonts w:ascii="Times New Roman" w:hAnsi="Times New Roman"/>
          <w:color w:val="000000"/>
          <w:sz w:val="24"/>
        </w:rPr>
        <w:t xml:space="preserve">. This Agreement and the Restrictive Covenants Agreement constitutes the entire agreement between the parties with respect to the subject matter hereof and supersedes all prior agreements between the parties concerning such subject matter.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rFonts w:ascii="Times New Roman" w:hAnsi="Times New Roman"/>
          <w:color w:val="000000"/>
          <w:sz w:val="24"/>
          <w:u w:val="single"/>
        </w:rPr>
        <w:t>Withholding; Tax Effect</w:t>
      </w:r>
      <w:r>
        <w:rPr>
          <w:rFonts w:ascii="Times New Roman" w:hAnsi="Times New Roman"/>
          <w:color w:val="000000"/>
          <w:sz w:val="24"/>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pStyle w:val="TextBody"/>
        <w:pBdr>
          <w:top w:val="sing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u w:val="single"/>
        </w:rPr>
        <w:t>Successors and Assigns</w:t>
      </w:r>
      <w:r>
        <w:rPr>
          <w:rFonts w:ascii="Times New Roman" w:hAnsi="Times New Roman"/>
          <w:color w:val="000000"/>
          <w:sz w:val="24"/>
        </w:rPr>
        <w:t>. Neither the Executive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provided further that if the Executive remains employed or becomes employed by the Company, the purchaser or any of their affiliates in connection with any such transaction, then the Executive shall not be entitled to any payments, benefits or vesting pursuant to Section 5 of this Agreement solely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or other compensation due to the Executive under this Agreement, the Company shall continue such payments and provide such other compensation to the Executive’s beneficiary designated in writing to the Company prior to the Executive’s death (or to the Executive’s estate, if the Executive fails to make such designation).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rFonts w:ascii="Times New Roman" w:hAnsi="Times New Roman"/>
          <w:color w:val="000000"/>
          <w:sz w:val="24"/>
          <w:u w:val="single"/>
        </w:rPr>
        <w:t>Enforceability</w:t>
      </w:r>
      <w:r>
        <w:rPr>
          <w:rFonts w:ascii="Times New Roman" w:hAnsi="Times New Roman"/>
          <w:color w:val="000000"/>
          <w:sz w:val="24"/>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pPr>
      <w:r>
        <w:rPr>
          <w:rFonts w:ascii="Times New Roman" w:hAnsi="Times New Roman"/>
          <w:color w:val="000000"/>
          <w:sz w:val="24"/>
          <w:u w:val="single"/>
        </w:rPr>
        <w:t>Survival</w:t>
      </w:r>
      <w:r>
        <w:rPr>
          <w:rFonts w:ascii="Times New Roman" w:hAnsi="Times New Roman"/>
          <w:color w:val="000000"/>
          <w:sz w:val="24"/>
        </w:rPr>
        <w:t>. The provisions of this Agreement shall survive the termination of this Agreement and/or the termination of the Executive’s employment to the extent necessary to effectuate the terms contained 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pPr>
      <w:r>
        <w:rPr>
          <w:rFonts w:ascii="Times New Roman" w:hAnsi="Times New Roman"/>
          <w:color w:val="000000"/>
          <w:sz w:val="24"/>
          <w:u w:val="single"/>
        </w:rPr>
        <w:t>Waiver</w:t>
      </w:r>
      <w:r>
        <w:rPr>
          <w:rFonts w:ascii="Times New Roman" w:hAnsi="Times New Roman"/>
          <w:color w:val="000000"/>
          <w:sz w:val="24"/>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pPr>
      <w:r>
        <w:rPr>
          <w:rFonts w:ascii="Times New Roman" w:hAnsi="Times New Roman"/>
          <w:color w:val="000000"/>
          <w:sz w:val="24"/>
          <w:u w:val="single"/>
        </w:rPr>
        <w:t>Notices</w:t>
      </w:r>
      <w:r>
        <w:rPr>
          <w:rFonts w:ascii="Times New Roman" w:hAnsi="Times New Roman"/>
          <w:color w:val="000000"/>
          <w:sz w:val="24"/>
        </w:rPr>
        <w:t>. Any notices, requests, demands and other communications provided for by this Agreement shall be sufficient if in writing and delivered in person or sent by a nationally or internationally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pPr>
      <w:r>
        <w:rPr>
          <w:rFonts w:ascii="Times New Roman" w:hAnsi="Times New Roman"/>
          <w:color w:val="000000"/>
          <w:sz w:val="24"/>
          <w:u w:val="single"/>
        </w:rPr>
        <w:t>Amendment</w:t>
      </w:r>
      <w:r>
        <w:rPr>
          <w:rFonts w:ascii="Times New Roman" w:hAnsi="Times New Roman"/>
          <w:color w:val="000000"/>
          <w:sz w:val="24"/>
        </w:rPr>
        <w:t>. This Agreement may be amended or modified only by a written instrument signed by the Executive and by a duly authorized representative of the Company.</w:t>
      </w:r>
    </w:p>
    <w:p>
      <w:pPr>
        <w:pStyle w:val="TextBody"/>
        <w:pBdr>
          <w:top w:val="sing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pPr>
      <w:r>
        <w:rPr>
          <w:rFonts w:ascii="Times New Roman" w:hAnsi="Times New Roman"/>
          <w:color w:val="000000"/>
          <w:sz w:val="24"/>
          <w:u w:val="single"/>
        </w:rPr>
        <w:t>Effect on Other Plans and Agreements</w:t>
      </w:r>
      <w:r>
        <w:rPr>
          <w:rFonts w:ascii="Times New Roman" w:hAnsi="Times New Roman"/>
          <w:color w:val="000000"/>
          <w:sz w:val="24"/>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as otherwise provided in Section 7 hereof, and except that the Executive shall have no rights to any severance benefits under any Company severance pay plan, offer letter or otherwise. Except for the Restrictive Covenants Agreement, in the event that the Executive is party to an agreement with the Company providing for payments or benefits under such agreement and this Agreement, the terms of this Agreement shall govern and the Executive may receive payment under this Agreement only and not both.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left"/>
        <w:rPr/>
      </w:pPr>
      <w:r>
        <w:rPr>
          <w:rFonts w:ascii="Times New Roman" w:hAnsi="Times New Roman"/>
          <w:color w:val="000000"/>
          <w:sz w:val="24"/>
          <w:u w:val="single"/>
        </w:rPr>
        <w:t>Governing Law</w:t>
      </w:r>
      <w:r>
        <w:rPr>
          <w:rFonts w:ascii="Times New Roman" w:hAnsi="Times New Roman"/>
          <w:color w:val="000000"/>
          <w:sz w:val="24"/>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left"/>
        <w:rPr/>
      </w:pPr>
      <w:r>
        <w:rPr>
          <w:rFonts w:ascii="Times New Roman" w:hAnsi="Times New Roman"/>
          <w:color w:val="000000"/>
          <w:sz w:val="24"/>
          <w:u w:val="single"/>
        </w:rPr>
        <w:t>Employment Verification</w:t>
      </w:r>
      <w:r>
        <w:rPr>
          <w:rFonts w:ascii="Times New Roman" w:hAnsi="Times New Roman"/>
          <w:color w:val="000000"/>
          <w:sz w:val="24"/>
        </w:rPr>
        <w:t>. As required by law, the Executive’s employment is contingent upon the Executive providing legal proof of the Executive’s identity and eligibility for employment to work in the United States.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left"/>
        <w:rPr/>
      </w:pPr>
      <w:r>
        <w:rPr>
          <w:rFonts w:ascii="Times New Roman" w:hAnsi="Times New Roman"/>
          <w:color w:val="000000"/>
          <w:sz w:val="24"/>
          <w:u w:val="single"/>
        </w:rPr>
        <w:t>Counterparts</w:t>
      </w:r>
      <w:r>
        <w:rPr>
          <w:rFonts w:ascii="Times New Roman" w:hAnsi="Times New Roman"/>
          <w:color w:val="000000"/>
          <w:sz w:val="24"/>
        </w:rPr>
        <w:t>. This Agreement may be executed in any number of counterparts, each of which when so executed and delivered shall be taken to be an original; but such counterparts shall together constitute one and the same document.</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pBdr>
          <w:top w:val="sing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drawing>
          <wp:inline distT="0" distB="0" distL="0" distR="0">
            <wp:extent cx="1685925" cy="962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1685925" cy="962025"/>
                    </a:xfrm>
                    <a:prstGeom prst="rect">
                      <a:avLst/>
                    </a:prstGeom>
                  </pic:spPr>
                </pic:pic>
              </a:graphicData>
            </a:graphic>
          </wp:inline>
        </w:drawing>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parties have executed this Agreement effective on the Effective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COMPANY:</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Candel Therapeutics, Inc.</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Paul Peter Tak</w:t>
      </w:r>
      <w:r>
        <w:rPr>
          <w:rFonts w:ascii="Times New Roman" w:hAnsi="Times New Roman"/>
          <w:color w:val="000000"/>
          <w:sz w:val="24"/>
        </w:rPr>
        <w:br/>
        <w:t>Name: Paul Peter Tak, M.D., Ph.D.</w:t>
        <w:br/>
        <w:t>Title: President &amp; CEO</w:t>
      </w:r>
    </w:p>
    <w:p>
      <w:pPr>
        <w:pStyle w:val="TextBody"/>
        <w:bidi w:val="0"/>
        <w:spacing w:before="0" w:after="480"/>
        <w:jc w:val="left"/>
        <w:rPr>
          <w:rFonts w:ascii="Times New Roman" w:hAnsi="Times New Roman"/>
          <w:sz w:val="20"/>
        </w:rPr>
      </w:pPr>
      <w:r>
        <w:rPr>
          <w:rFonts w:ascii="Times New Roman" w:hAnsi="Times New Roman"/>
          <w:color w:val="000000"/>
          <w:sz w:val="24"/>
        </w:rPr>
        <w:t>EXECUTIVE:</w:t>
      </w:r>
      <w:r>
        <w:rPr>
          <w:rFonts w:ascii="Times New Roman" w:hAnsi="Times New Roman"/>
          <w:color w:val="000000"/>
          <w:sz w:val="20"/>
        </w:rPr>
        <w:t xml:space="preserve"> </w:t>
      </w:r>
    </w:p>
    <w:p>
      <w:pPr>
        <w:pStyle w:val="TextBody"/>
        <w:bidi w:val="0"/>
        <w:spacing w:before="0" w:after="480"/>
        <w:jc w:val="left"/>
        <w:rPr>
          <w:rFonts w:ascii="Times New Roman" w:hAnsi="Times New Roman"/>
          <w:sz w:val="20"/>
        </w:rPr>
      </w:pPr>
      <w:r>
        <w:rPr>
          <w:rFonts w:ascii="Times New Roman" w:hAnsi="Times New Roman"/>
          <w:color w:val="000000"/>
          <w:sz w:val="24"/>
          <w:u w:val="single"/>
        </w:rPr>
        <w:t>/s/Mark Sims</w:t>
      </w:r>
      <w:r>
        <w:rPr>
          <w:rFonts w:ascii="Times New Roman" w:hAnsi="Times New Roman"/>
          <w:color w:val="000000"/>
          <w:sz w:val="24"/>
        </w:rPr>
        <w:br/>
        <w:t>Name: Mark Sims</w:t>
      </w:r>
    </w:p>
    <w:p>
      <w:pPr>
        <w:pStyle w:val="TextBody"/>
        <w:bidi w:val="0"/>
        <w:jc w:val="left"/>
        <w:rPr/>
      </w:pPr>
      <w:r>
        <w:rPr/>
        <w:t> </w:t>
      </w:r>
    </w:p>
    <w:p>
      <w:pPr>
        <w:pStyle w:val="TextBody"/>
        <w:pBdr>
          <w:top w:val="sing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3"/>
        </w:rPr>
      </w:pPr>
      <w:bookmarkStart w:id="23" w:name="cadl-ex10_4.htm"/>
      <w:bookmarkStart w:id="24" w:name="kscadlex10_4"/>
      <w:bookmarkEnd w:id="23"/>
      <w:bookmarkEnd w:id="24"/>
      <w:r>
        <w:rPr>
          <w:rFonts w:ascii="Times New Roman" w:hAnsi="Times New Roman"/>
          <w:b/>
          <w:color w:val="000000"/>
          <w:sz w:val="23"/>
        </w:rPr>
        <w:t>Exhibit 10.4</w:t>
      </w:r>
      <w:r>
        <w:br w:type="page"/>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CANDEL Therapeutics,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NON-EMPLOYEE DIRECTOR COMPENSATION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purpose of this Non-Employee Director Compensation Policy (the “Policy”) of Candel Therapeutics, Inc. (the “Company”) is to provide a total compensation package that enables the Company to attract and retain, on a long-term basis, high-caliber directors who are not employees or officers of the Company or its subsidiaries (“Outside Directors”). In furtherance of the purpose stated above, all Outside Directors shall be paid compensation for services provided to the Company as set forth below:</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Cash Retainers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Annual Retainer for Board Membership</w:t>
      </w:r>
      <w:r>
        <w:rPr>
          <w:rFonts w:ascii="Times New Roman" w:hAnsi="Times New Roman"/>
          <w:color w:val="000000"/>
          <w:sz w:val="24"/>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pStyle w:val="TextBody"/>
        <w:bidi w:val="0"/>
        <w:spacing w:before="0" w:after="240"/>
        <w:jc w:val="both"/>
        <w:rPr/>
      </w:pPr>
      <w:r>
        <w:rPr/>
        <w:t> </w:t>
      </w:r>
    </w:p>
    <w:tbl>
      <w:tblPr>
        <w:tblW w:w="6782" w:type="dxa"/>
        <w:jc w:val="left"/>
        <w:tblInd w:w="0" w:type="dxa"/>
        <w:tblLayout w:type="fixed"/>
        <w:tblCellMar>
          <w:top w:w="28" w:type="dxa"/>
          <w:left w:w="28" w:type="dxa"/>
          <w:bottom w:w="28" w:type="dxa"/>
          <w:right w:w="28" w:type="dxa"/>
        </w:tblCellMar>
      </w:tblPr>
      <w:tblGrid>
        <w:gridCol w:w="5851"/>
        <w:gridCol w:w="931"/>
      </w:tblGrid>
      <w:tr>
        <w:trPr/>
        <w:tc>
          <w:tcPr>
            <w:tcW w:w="58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u w:val="single"/>
              </w:rPr>
              <w:t>Additional Annual Retainer for Non-Executive Chair</w:t>
            </w:r>
            <w:r>
              <w:rPr>
                <w:rFonts w:ascii="Times New Roman" w:hAnsi="Times New Roman"/>
                <w:color w:val="000000"/>
                <w:sz w:val="24"/>
              </w:rPr>
              <w:t>:</w:t>
            </w:r>
          </w:p>
        </w:tc>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$30,000</w:t>
            </w:r>
          </w:p>
        </w:tc>
      </w:tr>
      <w:tr>
        <w:trPr/>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u w:val="single"/>
              </w:rPr>
              <w:t>Additional Annual Retainers for Committee Membership</w:t>
            </w:r>
            <w:r>
              <w:rPr>
                <w:rFonts w:ascii="Times New Roman" w:hAnsi="Times New Roman"/>
                <w:color w:val="000000"/>
                <w:sz w:val="24"/>
              </w:rPr>
              <w:t>:</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Audit Committee Chair:</w:t>
            </w:r>
          </w:p>
        </w:tc>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$18,000</w:t>
            </w:r>
          </w:p>
        </w:tc>
      </w:tr>
      <w:tr>
        <w:trPr/>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Audit Committee member:</w:t>
            </w:r>
          </w:p>
        </w:tc>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$9,000</w:t>
            </w:r>
          </w:p>
        </w:tc>
      </w:tr>
      <w:tr>
        <w:trPr/>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 Committee Chair:</w:t>
            </w:r>
          </w:p>
        </w:tc>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$12,000</w:t>
            </w:r>
          </w:p>
        </w:tc>
      </w:tr>
      <w:tr>
        <w:trPr/>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 Committee member:</w:t>
            </w:r>
          </w:p>
        </w:tc>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$6,000</w:t>
            </w:r>
          </w:p>
        </w:tc>
      </w:tr>
      <w:tr>
        <w:trPr/>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Nominating and Corporate Governance Committee Chair:</w:t>
            </w:r>
          </w:p>
        </w:tc>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$10,000</w:t>
            </w:r>
          </w:p>
        </w:tc>
      </w:tr>
      <w:tr>
        <w:trPr/>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Nominating and Corporate Governance Committee member:</w:t>
            </w:r>
          </w:p>
        </w:tc>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$5,000</w:t>
            </w:r>
          </w:p>
        </w:tc>
      </w:tr>
    </w:tbl>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Chair and committee member retainers are in addition to retainers for members of the Board of Directors. No additional compensation will be paid for attending individual committee meetings of the Board of Directors.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Elections to Receive Equity in Lieu of Cash Retainers</w:t>
      </w:r>
      <w:r>
        <w:rPr>
          <w:rFonts w:ascii="Times New Roman" w:hAnsi="Times New Roman"/>
          <w:color w:val="000000"/>
          <w:sz w:val="24"/>
        </w:rPr>
        <w:t>. Notwithstanding the foregoing, Outside Directors may elect to receive all or a portion of their annual cash retainer(s) for a calendar year in the form of stock option awards. Any such election shall be made (i) for any continuing Outside Director, prior to the commencement of the calendar year with respect to the cash</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retainers for such calendar year and (ii) for a new Outside Director, within 30 days of their election or appointment to serve as a member of our Board of Directors and solely with respect to any cash retainer to be earned after the date of such election. Any election (A) shall be irrevocable with respect to such calendar year, (B) shall automatically apply to the cash retainer(s) for each subsequent calendar year unless otherwise revoked prior to the start of such calendar year and (C) shall be made in accordance with all rules established from time to time by the Board of Directors, including any insider trading policy or similar policy.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Each stock option award granted in lieu of cash retainers shall be automatically granted quarterly in arrears on the same date cash retainers are paid for such quarter (or, if earlier, upon the date of any earlier resignation and pro-rated for any partial service), subject to the Outside Director’s continued Service Relationship (as defined in the Company’s 2021 Stock Option and Incentive Plan) on such grant date, with a Value equal to the amount of cash retainers earned for such quarter, and shall be fully vested at the time of grant.</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Equity Retainers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Initial Award</w:t>
      </w:r>
      <w:r>
        <w:rPr>
          <w:rFonts w:ascii="Times New Roman" w:hAnsi="Times New Roman"/>
          <w:color w:val="000000"/>
          <w:sz w:val="24"/>
        </w:rPr>
        <w:t>: An initial, one-time stock option award (the “Initial Award”) to purchase/covering 64,000 shares will be granted to each new Outside Director upon his or her election to the Board of Directors, which shall vest in equal monthly installments over three years from the date of grant, provided, however, that all vesting shall cease if the director’s service with the Company ends, unless the Board of Directors determines that the circumstances warrant continuation of vesting. The Initial Award shall expire ten years from the date of grant, and shall have a per share exercise price equal to the Fair Market Value (as defined in the Company’s 2021 Stock Option and Incentive Plan) of the Company’s common stock on the date of grant.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Annual Award</w:t>
      </w:r>
      <w:r>
        <w:rPr>
          <w:rFonts w:ascii="Times New Roman" w:hAnsi="Times New Roman"/>
          <w:color w:val="000000"/>
          <w:sz w:val="24"/>
        </w:rPr>
        <w:t>: On each date of each Annual Meeting of Stockholders of the Company (the “Annual Meeting”), each continuing Outside Director, other than a director receiving an Initial Award, will receive an annual stock option award (the “Annual Award”) to purchase/covering 32,000 shares, which shall vest in full upon the earlier of (i) the first anniversary of the date of grant or (ii) the date of the next Annual Meeting; provided, however, that all vesting shall cease if the director resigns from the Board of Directors or otherwise ceases to serve as a director, unless the Board of Directors determines that the circumstances warrant continuation of vesting. Such Annual Award shall expire ten years from the date of grant, and shall have a per share exercise price equal to the Fair Market Value (as defined in the Company’s 2021 Stock Option and Incentive Plan) of the Company’s common stock on the date of grant.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Sale Event Acceleration</w:t>
      </w:r>
      <w:r>
        <w:rPr>
          <w:rFonts w:ascii="Times New Roman" w:hAnsi="Times New Roman"/>
          <w:color w:val="000000"/>
          <w:sz w:val="24"/>
        </w:rPr>
        <w:t>: All outstanding Initial Awards and Annual Awards held by an Outside Director shall become fully vested and exercisable upon a Sale Event (as defined in the Company’s 2021 Stock Option and Incentive Plan).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Value</w:t>
      </w:r>
      <w:r>
        <w:rPr>
          <w:rFonts w:ascii="Times New Roman" w:hAnsi="Times New Roman"/>
          <w:color w:val="000000"/>
          <w:sz w:val="24"/>
        </w:rPr>
        <w:t>: For purposes of this Policy, “Value” means with respect to a stock option, the grant date fair value of the option (i.e., Black-Scholes Value) determined in accordance with the reasonable assumptions and methodologies employed by the Company for calculating the fair value of options under Financial Accounting Standard Board (“FASB”) Accounting Standards Codification (“ASC”) Topic 718.</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Expenses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will reimburse all reasonable out-of-pocket expenses incurred by non-employee directors in attending meetings of the Board of Directors or any committee thereof.</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Maximum Annual Compensation</w:t>
      </w:r>
    </w:p>
    <w:p>
      <w:pPr>
        <w:pStyle w:val="TextBody"/>
        <w:bidi w:val="0"/>
        <w:spacing w:before="0" w:after="240"/>
        <w:jc w:val="both"/>
        <w:rPr>
          <w:rFonts w:ascii="Times New Roman" w:hAnsi="Times New Roman"/>
          <w:sz w:val="20"/>
        </w:rPr>
      </w:pPr>
      <w:r>
        <w:rPr>
          <w:rFonts w:ascii="Times New Roman" w:hAnsi="Times New Roman"/>
          <w:color w:val="000000"/>
          <w:sz w:val="24"/>
        </w:rPr>
        <w:t>The aggregate amount of compensation, including both equity compensation and cash compensation, paid by the Company to any Outside Director in a calendar year for services as an Outside Director shall not exceed $750,000; provided, however, that such amount shall be $1,000,000 for the calendar year in which the applicable Outside Director is initially elected or appointed to the Board of Directors; (or such other limits as may be set forth in Section 3(b) of the Company’s 2021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Adopted July 10, 2021.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Amended and Restated: June 12, 2026</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cadl-ex31_1.htm"/>
      <w:bookmarkStart w:id="26" w:name="kscadlex31_1"/>
      <w:bookmarkEnd w:id="25"/>
      <w:bookmarkEnd w:id="26"/>
      <w:r>
        <w:rPr/>
        <w:t> </w:t>
      </w:r>
      <w:r>
        <w:br w:type="page"/>
      </w:r>
    </w:p>
    <w:p>
      <w:pPr>
        <w:pStyle w:val="TextBody"/>
        <w:bidi w:val="0"/>
        <w:jc w:val="right"/>
        <w:rPr>
          <w:rFonts w:ascii="Arial" w:hAnsi="Arial"/>
          <w:b/>
          <w:color w:val="000000"/>
          <w:sz w:val="23"/>
        </w:rPr>
      </w:pPr>
      <w:r>
        <w:rPr>
          <w:rFonts w:ascii="Arial" w:hAnsi="Arial"/>
          <w:b/>
          <w:color w:val="000000"/>
          <w:sz w:val="23"/>
        </w:rPr>
        <w:t>Exhibit 31.1</w:t>
      </w:r>
    </w:p>
    <w:p>
      <w:pPr>
        <w:pStyle w:val="TextBody"/>
        <w:bidi w:val="0"/>
        <w:spacing w:before="180" w:after="283"/>
        <w:jc w:val="center"/>
        <w:rPr>
          <w:rFonts w:ascii="Arial" w:hAnsi="Arial"/>
          <w:b/>
          <w:color w:val="000000"/>
          <w:sz w:val="23"/>
        </w:rPr>
      </w:pPr>
      <w:r>
        <w:rPr>
          <w:rFonts w:ascii="Arial" w:hAnsi="Arial"/>
          <w:b/>
          <w:color w:val="000000"/>
          <w:sz w:val="23"/>
        </w:rPr>
        <w:t>CERTIFICATIONS</w:t>
      </w:r>
    </w:p>
    <w:p>
      <w:pPr>
        <w:pStyle w:val="TextBody"/>
        <w:bidi w:val="0"/>
        <w:spacing w:before="180" w:after="283"/>
        <w:jc w:val="left"/>
        <w:rPr>
          <w:rFonts w:ascii="Arial" w:hAnsi="Arial"/>
          <w:color w:val="000000"/>
          <w:sz w:val="23"/>
        </w:rPr>
      </w:pPr>
      <w:r>
        <w:rPr>
          <w:rFonts w:ascii="Arial" w:hAnsi="Arial"/>
          <w:color w:val="000000"/>
          <w:sz w:val="23"/>
        </w:rPr>
        <w:t>I, Paul Peter Tak, certify that:</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1. I have reviewed this Quarterly Report on Form 10-Q of Candel Therapeutics, Inc.;</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(b) Any fraud, whether or not material, that involves management or other employees who have a significant role in the registrant's internal control over financial reporting.</w:t>
      </w:r>
    </w:p>
    <w:tbl>
      <w:tblPr>
        <w:tblW w:w="6922" w:type="dxa"/>
        <w:jc w:val="left"/>
        <w:tblInd w:w="0" w:type="dxa"/>
        <w:tblLayout w:type="fixed"/>
        <w:tblCellMar>
          <w:top w:w="28" w:type="dxa"/>
          <w:left w:w="28" w:type="dxa"/>
          <w:bottom w:w="28" w:type="dxa"/>
          <w:right w:w="28" w:type="dxa"/>
        </w:tblCellMar>
      </w:tblPr>
      <w:tblGrid>
        <w:gridCol w:w="2296"/>
        <w:gridCol w:w="109"/>
        <w:gridCol w:w="436"/>
        <w:gridCol w:w="4081"/>
      </w:tblGrid>
      <w:tr>
        <w:trPr/>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3"/>
              </w:rPr>
            </w:pPr>
            <w:r>
              <w:rPr>
                <w:rFonts w:ascii="Arial" w:hAnsi="Arial"/>
                <w:color w:val="000000"/>
                <w:sz w:val="23"/>
              </w:rPr>
              <w:t>Date: August 13, 2026</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3"/>
              </w:rPr>
            </w:pPr>
            <w:r>
              <w:rPr>
                <w:rFonts w:ascii="Arial" w:hAnsi="Arial"/>
                <w:color w:val="000000"/>
                <w:sz w:val="23"/>
              </w:rPr>
              <w:t>By:</w:t>
            </w:r>
          </w:p>
        </w:tc>
        <w:tc>
          <w:tcPr>
            <w:tcW w:w="40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3"/>
              </w:rPr>
            </w:pPr>
            <w:r>
              <w:rPr>
                <w:rFonts w:ascii="Arial" w:hAnsi="Arial"/>
                <w:color w:val="000000"/>
                <w:sz w:val="23"/>
              </w:rPr>
              <w:t>/s/ Paul Peter Tak</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3"/>
              </w:rPr>
            </w:pPr>
            <w:r>
              <w:rPr>
                <w:rFonts w:ascii="Arial" w:hAnsi="Arial"/>
                <w:b/>
                <w:color w:val="000000"/>
                <w:sz w:val="23"/>
              </w:rPr>
              <w:t>Paul Peter Tak</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3"/>
              </w:rPr>
            </w:pPr>
            <w:r>
              <w:rPr>
                <w:rFonts w:ascii="Arial" w:hAnsi="Arial"/>
                <w:b/>
                <w:color w:val="000000"/>
                <w:sz w:val="23"/>
              </w:rPr>
              <w:t>President and Chief Executive Officer</w:t>
            </w:r>
          </w:p>
          <w:p>
            <w:pPr>
              <w:pStyle w:val="TableContents"/>
              <w:bidi w:val="0"/>
              <w:spacing w:before="0" w:after="283"/>
              <w:jc w:val="center"/>
              <w:rPr>
                <w:rFonts w:ascii="Arial" w:hAnsi="Arial"/>
                <w:b/>
                <w:i/>
                <w:color w:val="000000"/>
                <w:sz w:val="23"/>
              </w:rPr>
            </w:pPr>
            <w:r>
              <w:rPr>
                <w:rFonts w:ascii="Arial" w:hAnsi="Arial"/>
                <w:b/>
                <w:i/>
                <w:color w:val="000000"/>
                <w:sz w:val="23"/>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adl-ex31_2.htm"/>
      <w:bookmarkStart w:id="28" w:name="kscadlex31_2"/>
      <w:bookmarkEnd w:id="27"/>
      <w:bookmarkEnd w:id="28"/>
      <w:r>
        <w:rPr/>
        <w:t> </w:t>
      </w:r>
      <w:r>
        <w:br w:type="page"/>
      </w:r>
    </w:p>
    <w:p>
      <w:pPr>
        <w:pStyle w:val="TextBody"/>
        <w:bidi w:val="0"/>
        <w:jc w:val="right"/>
        <w:rPr>
          <w:rFonts w:ascii="Arial" w:hAnsi="Arial"/>
          <w:b/>
          <w:color w:val="000000"/>
          <w:sz w:val="23"/>
        </w:rPr>
      </w:pPr>
      <w:r>
        <w:rPr>
          <w:rFonts w:ascii="Arial" w:hAnsi="Arial"/>
          <w:b/>
          <w:color w:val="000000"/>
          <w:sz w:val="23"/>
        </w:rPr>
        <w:t>Exhibit 31.2</w:t>
      </w:r>
    </w:p>
    <w:p>
      <w:pPr>
        <w:pStyle w:val="TextBody"/>
        <w:bidi w:val="0"/>
        <w:spacing w:before="180" w:after="283"/>
        <w:jc w:val="center"/>
        <w:rPr>
          <w:rFonts w:ascii="Arial" w:hAnsi="Arial"/>
          <w:b/>
          <w:color w:val="000000"/>
          <w:sz w:val="23"/>
        </w:rPr>
      </w:pPr>
      <w:r>
        <w:rPr>
          <w:rFonts w:ascii="Arial" w:hAnsi="Arial"/>
          <w:b/>
          <w:color w:val="000000"/>
          <w:sz w:val="23"/>
        </w:rPr>
        <w:t>CERTIFICATIONS</w:t>
      </w:r>
    </w:p>
    <w:p>
      <w:pPr>
        <w:pStyle w:val="TextBody"/>
        <w:bidi w:val="0"/>
        <w:spacing w:before="180" w:after="283"/>
        <w:jc w:val="left"/>
        <w:rPr>
          <w:rFonts w:ascii="Arial" w:hAnsi="Arial"/>
          <w:color w:val="000000"/>
          <w:sz w:val="23"/>
        </w:rPr>
      </w:pPr>
      <w:r>
        <w:rPr>
          <w:rFonts w:ascii="Arial" w:hAnsi="Arial"/>
          <w:color w:val="000000"/>
          <w:sz w:val="23"/>
        </w:rPr>
        <w:t>I, Charles Schoch, certify that:</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1. I have reviewed this Quarterly Report on Form 10-Q of Candel Therapeutics, Inc.;</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Arial" w:hAnsi="Arial"/>
          <w:color w:val="000000"/>
          <w:sz w:val="23"/>
        </w:rPr>
      </w:pPr>
      <w:r>
        <w:rPr>
          <w:rFonts w:ascii="Arial" w:hAnsi="Arial"/>
          <w:color w:val="000000"/>
          <w:sz w:val="23"/>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9127" w:type="dxa"/>
        <w:jc w:val="left"/>
        <w:tblInd w:w="0" w:type="dxa"/>
        <w:tblLayout w:type="fixed"/>
        <w:tblCellMar>
          <w:top w:w="28" w:type="dxa"/>
          <w:left w:w="28" w:type="dxa"/>
          <w:bottom w:w="28" w:type="dxa"/>
          <w:right w:w="28" w:type="dxa"/>
        </w:tblCellMar>
      </w:tblPr>
      <w:tblGrid>
        <w:gridCol w:w="2296"/>
        <w:gridCol w:w="109"/>
        <w:gridCol w:w="436"/>
        <w:gridCol w:w="6286"/>
      </w:tblGrid>
      <w:tr>
        <w:trPr/>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3"/>
              </w:rPr>
            </w:pPr>
            <w:r>
              <w:rPr>
                <w:rFonts w:ascii="Arial" w:hAnsi="Arial"/>
                <w:color w:val="000000"/>
                <w:sz w:val="23"/>
              </w:rPr>
              <w:t>Date: August 13, 2026</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3"/>
              </w:rPr>
            </w:pPr>
            <w:r>
              <w:rPr>
                <w:rFonts w:ascii="Arial" w:hAnsi="Arial"/>
                <w:color w:val="000000"/>
                <w:sz w:val="23"/>
              </w:rPr>
              <w:t>By:</w:t>
            </w:r>
          </w:p>
        </w:tc>
        <w:tc>
          <w:tcPr>
            <w:tcW w:w="628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3"/>
              </w:rPr>
            </w:pPr>
            <w:r>
              <w:rPr>
                <w:rFonts w:ascii="Arial" w:hAnsi="Arial"/>
                <w:color w:val="000000"/>
                <w:sz w:val="23"/>
              </w:rPr>
              <w:t>/s/ Charles Schoch</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3"/>
              </w:rPr>
            </w:pPr>
            <w:r>
              <w:rPr>
                <w:rFonts w:ascii="Arial" w:hAnsi="Arial"/>
                <w:b/>
                <w:color w:val="000000"/>
                <w:sz w:val="23"/>
              </w:rPr>
              <w:t>Charles Schoch</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3"/>
              </w:rPr>
            </w:pPr>
            <w:r>
              <w:rPr>
                <w:rFonts w:ascii="Arial" w:hAnsi="Arial"/>
                <w:b/>
                <w:color w:val="000000"/>
                <w:sz w:val="23"/>
              </w:rPr>
              <w:t>Chief Financial Officer</w:t>
            </w:r>
          </w:p>
          <w:p>
            <w:pPr>
              <w:pStyle w:val="TableContents"/>
              <w:bidi w:val="0"/>
              <w:spacing w:before="0" w:after="283"/>
              <w:jc w:val="center"/>
              <w:rPr>
                <w:rFonts w:ascii="Arial" w:hAnsi="Arial"/>
                <w:b/>
                <w:i/>
                <w:color w:val="000000"/>
                <w:sz w:val="23"/>
              </w:rPr>
            </w:pPr>
            <w:r>
              <w:rPr>
                <w:rFonts w:ascii="Arial" w:hAnsi="Arial"/>
                <w:b/>
                <w:i/>
                <w:color w:val="000000"/>
                <w:sz w:val="23"/>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cadl-ex32_1.htm"/>
      <w:bookmarkStart w:id="30" w:name="kscadlex32_1"/>
      <w:bookmarkEnd w:id="29"/>
      <w:bookmarkEnd w:id="30"/>
      <w:r>
        <w:rPr/>
        <w:t> </w:t>
      </w:r>
      <w:r>
        <w:br w:type="page"/>
      </w:r>
    </w:p>
    <w:p>
      <w:pPr>
        <w:pStyle w:val="TextBody"/>
        <w:bidi w:val="0"/>
        <w:jc w:val="right"/>
        <w:rPr>
          <w:rFonts w:ascii="Arial" w:hAnsi="Arial"/>
          <w:b/>
          <w:color w:val="000000"/>
          <w:sz w:val="24"/>
        </w:rPr>
      </w:pPr>
      <w:r>
        <w:rPr>
          <w:rFonts w:ascii="Arial" w:hAnsi="Arial"/>
          <w:b/>
          <w:color w:val="000000"/>
          <w:sz w:val="24"/>
        </w:rPr>
        <w:t>Exhibit 32.1</w:t>
      </w:r>
    </w:p>
    <w:p>
      <w:pPr>
        <w:pStyle w:val="TextBody"/>
        <w:bidi w:val="0"/>
        <w:spacing w:before="240" w:after="283"/>
        <w:jc w:val="center"/>
        <w:rPr>
          <w:rFonts w:ascii="Arial" w:hAnsi="Arial"/>
          <w:b/>
          <w:color w:val="000000"/>
          <w:sz w:val="24"/>
        </w:rPr>
      </w:pPr>
      <w:r>
        <w:rPr>
          <w:rFonts w:ascii="Arial" w:hAnsi="Arial"/>
          <w:b/>
          <w:color w:val="000000"/>
          <w:sz w:val="24"/>
        </w:rPr>
        <w:t>CERTIFICATION PURSUANT TO</w:t>
      </w:r>
    </w:p>
    <w:p>
      <w:pPr>
        <w:pStyle w:val="TextBody"/>
        <w:bidi w:val="0"/>
        <w:jc w:val="center"/>
        <w:rPr>
          <w:rFonts w:ascii="Arial" w:hAnsi="Arial"/>
          <w:b/>
          <w:color w:val="000000"/>
          <w:sz w:val="24"/>
        </w:rPr>
      </w:pPr>
      <w:r>
        <w:rPr>
          <w:rFonts w:ascii="Arial" w:hAnsi="Arial"/>
          <w:b/>
          <w:color w:val="000000"/>
          <w:sz w:val="24"/>
        </w:rPr>
        <w:t>18 U.S.C. SECTION 1350, AS ADOPTED PURSUANT TO</w:t>
      </w:r>
    </w:p>
    <w:p>
      <w:pPr>
        <w:pStyle w:val="TextBody"/>
        <w:bidi w:val="0"/>
        <w:jc w:val="center"/>
        <w:rPr>
          <w:rFonts w:ascii="Arial" w:hAnsi="Arial"/>
          <w:b/>
          <w:color w:val="000000"/>
          <w:sz w:val="24"/>
        </w:rPr>
      </w:pPr>
      <w:r>
        <w:rPr>
          <w:rFonts w:ascii="Arial" w:hAnsi="Arial"/>
          <w:b/>
          <w:color w:val="000000"/>
          <w:sz w:val="24"/>
        </w:rPr>
        <w:t>SECTION 906 OF THE SARBANES-OXLEY ACT OF 2002</w:t>
      </w:r>
    </w:p>
    <w:p>
      <w:pPr>
        <w:pStyle w:val="TextBody"/>
        <w:bidi w:val="0"/>
        <w:spacing w:before="240" w:after="283"/>
        <w:jc w:val="left"/>
        <w:rPr>
          <w:rFonts w:ascii="Arial" w:hAnsi="Arial"/>
          <w:color w:val="000000"/>
          <w:sz w:val="24"/>
        </w:rPr>
      </w:pPr>
      <w:r>
        <w:rPr>
          <w:rFonts w:ascii="Arial" w:hAnsi="Arial"/>
          <w:color w:val="000000"/>
          <w:sz w:val="24"/>
        </w:rPr>
        <w:t>In connection with the Quarterly Report of Candel Therapeutics, Inc. (the “Company”) on Form 10-Q for the period ended June 30, 2026 as filed with the Securities and Exchange Commission on the date hereof (the “Report”), I, Paul Peter Tak, certify, pursuant to 18 U.S.C. § 1350, as adopted pursuant to § 906 of the Sarbanes-Oxley Act of 2002, that, to the best of my knowledge:</w:t>
      </w:r>
    </w:p>
    <w:p>
      <w:pPr>
        <w:pStyle w:val="TextBody"/>
        <w:bidi w:val="0"/>
        <w:spacing w:before="240" w:after="283"/>
        <w:jc w:val="left"/>
        <w:rPr>
          <w:rFonts w:ascii="Arial" w:hAnsi="Arial"/>
          <w:color w:val="000000"/>
          <w:sz w:val="24"/>
        </w:rPr>
      </w:pPr>
      <w:r>
        <w:rPr>
          <w:rFonts w:ascii="Arial" w:hAnsi="Arial"/>
          <w:color w:val="000000"/>
          <w:sz w:val="24"/>
        </w:rPr>
        <w:t>(1) The Report fully complies with the requirements of section 13(a) or 15(d) of the Securities Exchange Act of 1934, as amended; and</w:t>
      </w:r>
    </w:p>
    <w:p>
      <w:pPr>
        <w:pStyle w:val="TextBody"/>
        <w:bidi w:val="0"/>
        <w:spacing w:before="240" w:after="283"/>
        <w:jc w:val="left"/>
        <w:rPr>
          <w:rFonts w:ascii="Arial" w:hAnsi="Arial"/>
          <w:color w:val="000000"/>
          <w:sz w:val="24"/>
        </w:rPr>
      </w:pPr>
      <w:r>
        <w:rPr>
          <w:rFonts w:ascii="Arial" w:hAnsi="Arial"/>
          <w:color w:val="000000"/>
          <w:sz w:val="24"/>
        </w:rPr>
        <w:t>(2) The information contained in the Report fairly presents, in all material respects, the financial condition and results of operations of the Company.</w:t>
      </w:r>
    </w:p>
    <w:p>
      <w:pPr>
        <w:pStyle w:val="TextBody"/>
        <w:bidi w:val="0"/>
        <w:jc w:val="left"/>
        <w:rPr/>
      </w:pPr>
      <w:r>
        <w:rPr/>
        <w:t> </w:t>
      </w:r>
    </w:p>
    <w:tbl>
      <w:tblPr>
        <w:tblW w:w="7447" w:type="dxa"/>
        <w:jc w:val="left"/>
        <w:tblInd w:w="0" w:type="dxa"/>
        <w:tblLayout w:type="fixed"/>
        <w:tblCellMar>
          <w:top w:w="28" w:type="dxa"/>
          <w:left w:w="28" w:type="dxa"/>
          <w:bottom w:w="28" w:type="dxa"/>
          <w:right w:w="28" w:type="dxa"/>
        </w:tblCellMar>
      </w:tblPr>
      <w:tblGrid>
        <w:gridCol w:w="2491"/>
        <w:gridCol w:w="109"/>
        <w:gridCol w:w="451"/>
        <w:gridCol w:w="4396"/>
      </w:tblGrid>
      <w:tr>
        <w:trPr/>
        <w:tc>
          <w:tcPr>
            <w:tcW w:w="2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96"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Date: August 13, 2026</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By:</w:t>
            </w:r>
          </w:p>
        </w:tc>
        <w:tc>
          <w:tcPr>
            <w:tcW w:w="439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/s/ Paul Peter Tak</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Paul Peter Tak</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6"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4"/>
              </w:rPr>
            </w:pPr>
            <w:r>
              <w:rPr>
                <w:rFonts w:ascii="Arial" w:hAnsi="Arial"/>
                <w:b/>
                <w:color w:val="000000"/>
                <w:sz w:val="24"/>
              </w:rPr>
              <w:t>President and Chief Executive Officer</w:t>
            </w:r>
          </w:p>
          <w:p>
            <w:pPr>
              <w:pStyle w:val="TableContents"/>
              <w:bidi w:val="0"/>
              <w:spacing w:before="0" w:after="283"/>
              <w:jc w:val="center"/>
              <w:rPr>
                <w:rFonts w:ascii="Arial" w:hAnsi="Arial"/>
                <w:b/>
                <w:i/>
                <w:color w:val="000000"/>
                <w:sz w:val="24"/>
              </w:rPr>
            </w:pPr>
            <w:r>
              <w:rPr>
                <w:rFonts w:ascii="Arial" w:hAnsi="Arial"/>
                <w:b/>
                <w:i/>
                <w:color w:val="000000"/>
                <w:sz w:val="24"/>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cadl-ex32_2.htm"/>
      <w:bookmarkStart w:id="32" w:name="kscadlex32_2"/>
      <w:bookmarkEnd w:id="31"/>
      <w:bookmarkEnd w:id="32"/>
      <w:r>
        <w:rPr/>
        <w:t> </w:t>
      </w:r>
      <w:r>
        <w:br w:type="page"/>
      </w:r>
    </w:p>
    <w:p>
      <w:pPr>
        <w:pStyle w:val="TextBody"/>
        <w:bidi w:val="0"/>
        <w:jc w:val="right"/>
        <w:rPr>
          <w:rFonts w:ascii="Arial" w:hAnsi="Arial"/>
          <w:b/>
          <w:color w:val="000000"/>
          <w:sz w:val="24"/>
        </w:rPr>
      </w:pPr>
      <w:r>
        <w:rPr>
          <w:rFonts w:ascii="Arial" w:hAnsi="Arial"/>
          <w:b/>
          <w:color w:val="000000"/>
          <w:sz w:val="24"/>
        </w:rPr>
        <w:t>Exhibit 32.2</w:t>
      </w:r>
    </w:p>
    <w:p>
      <w:pPr>
        <w:pStyle w:val="TextBody"/>
        <w:bidi w:val="0"/>
        <w:spacing w:before="240" w:after="283"/>
        <w:jc w:val="center"/>
        <w:rPr>
          <w:rFonts w:ascii="Arial" w:hAnsi="Arial"/>
          <w:b/>
          <w:color w:val="000000"/>
          <w:sz w:val="24"/>
        </w:rPr>
      </w:pPr>
      <w:r>
        <w:rPr>
          <w:rFonts w:ascii="Arial" w:hAnsi="Arial"/>
          <w:b/>
          <w:color w:val="000000"/>
          <w:sz w:val="24"/>
        </w:rPr>
        <w:t>CERTIFICATION PURSUANT TO</w:t>
      </w:r>
    </w:p>
    <w:p>
      <w:pPr>
        <w:pStyle w:val="TextBody"/>
        <w:bidi w:val="0"/>
        <w:jc w:val="center"/>
        <w:rPr>
          <w:rFonts w:ascii="Arial" w:hAnsi="Arial"/>
          <w:b/>
          <w:color w:val="000000"/>
          <w:sz w:val="24"/>
        </w:rPr>
      </w:pPr>
      <w:r>
        <w:rPr>
          <w:rFonts w:ascii="Arial" w:hAnsi="Arial"/>
          <w:b/>
          <w:color w:val="000000"/>
          <w:sz w:val="24"/>
        </w:rPr>
        <w:t>18 U.S.C. SECTION 1350, AS ADOPTED PURSUANT TO</w:t>
      </w:r>
    </w:p>
    <w:p>
      <w:pPr>
        <w:pStyle w:val="TextBody"/>
        <w:bidi w:val="0"/>
        <w:jc w:val="center"/>
        <w:rPr>
          <w:rFonts w:ascii="Arial" w:hAnsi="Arial"/>
          <w:b/>
          <w:color w:val="000000"/>
          <w:sz w:val="24"/>
        </w:rPr>
      </w:pPr>
      <w:r>
        <w:rPr>
          <w:rFonts w:ascii="Arial" w:hAnsi="Arial"/>
          <w:b/>
          <w:color w:val="000000"/>
          <w:sz w:val="24"/>
        </w:rPr>
        <w:t>SECTION 906 OF THE SARBANES-OXLEY ACT OF 2002</w:t>
      </w:r>
    </w:p>
    <w:p>
      <w:pPr>
        <w:pStyle w:val="TextBody"/>
        <w:bidi w:val="0"/>
        <w:spacing w:before="240" w:after="283"/>
        <w:jc w:val="left"/>
        <w:rPr>
          <w:rFonts w:ascii="Arial" w:hAnsi="Arial"/>
          <w:color w:val="000000"/>
          <w:sz w:val="24"/>
        </w:rPr>
      </w:pPr>
      <w:r>
        <w:rPr>
          <w:rFonts w:ascii="Arial" w:hAnsi="Arial"/>
          <w:color w:val="000000"/>
          <w:sz w:val="24"/>
        </w:rPr>
        <w:t>In connection with the Quarterly Report of Candel Therapeutics, Inc. (the “Company”) on Form 10-Q for the period ended June 30, 2026 as filed with the Securities and Exchange Commission on the date hereof (the “Report”), I, Charles Schoch, certify, pursuant to 18 U.S.C. § 1350, as adopted pursuant to § 906 of the Sarbanes-Oxley Act of 2002, that, to the best of my knowledge:</w:t>
      </w:r>
    </w:p>
    <w:p>
      <w:pPr>
        <w:pStyle w:val="TextBody"/>
        <w:bidi w:val="0"/>
        <w:spacing w:before="240" w:after="283"/>
        <w:jc w:val="left"/>
        <w:rPr>
          <w:rFonts w:ascii="Arial" w:hAnsi="Arial"/>
          <w:color w:val="000000"/>
          <w:sz w:val="24"/>
        </w:rPr>
      </w:pPr>
      <w:r>
        <w:rPr>
          <w:rFonts w:ascii="Arial" w:hAnsi="Arial"/>
          <w:color w:val="000000"/>
          <w:sz w:val="24"/>
        </w:rPr>
        <w:t>(1) The Report fully complies with the requirements of section 13(a) or 15(d) of the Securities Exchange Act of 1934, as amended; and</w:t>
      </w:r>
    </w:p>
    <w:p>
      <w:pPr>
        <w:pStyle w:val="TextBody"/>
        <w:bidi w:val="0"/>
        <w:spacing w:before="240" w:after="283"/>
        <w:jc w:val="left"/>
        <w:rPr>
          <w:rFonts w:ascii="Arial" w:hAnsi="Arial"/>
          <w:color w:val="000000"/>
          <w:sz w:val="24"/>
        </w:rPr>
      </w:pPr>
      <w:r>
        <w:rPr>
          <w:rFonts w:ascii="Arial" w:hAnsi="Arial"/>
          <w:color w:val="000000"/>
          <w:sz w:val="24"/>
        </w:rPr>
        <w:t>(2) The information contained in the Report fairly presents, in all material respects, the financial condition and results of operations of the Company.</w:t>
      </w:r>
    </w:p>
    <w:p>
      <w:pPr>
        <w:pStyle w:val="TextBody"/>
        <w:bidi w:val="0"/>
        <w:jc w:val="left"/>
        <w:rPr/>
      </w:pPr>
      <w:r>
        <w:rPr/>
        <w:t> </w:t>
      </w:r>
    </w:p>
    <w:tbl>
      <w:tblPr>
        <w:tblW w:w="7672" w:type="dxa"/>
        <w:jc w:val="left"/>
        <w:tblInd w:w="0" w:type="dxa"/>
        <w:tblLayout w:type="fixed"/>
        <w:tblCellMar>
          <w:top w:w="28" w:type="dxa"/>
          <w:left w:w="28" w:type="dxa"/>
          <w:bottom w:w="28" w:type="dxa"/>
          <w:right w:w="28" w:type="dxa"/>
        </w:tblCellMar>
      </w:tblPr>
      <w:tblGrid>
        <w:gridCol w:w="2491"/>
        <w:gridCol w:w="109"/>
        <w:gridCol w:w="451"/>
        <w:gridCol w:w="4621"/>
      </w:tblGrid>
      <w:tr>
        <w:trPr/>
        <w:tc>
          <w:tcPr>
            <w:tcW w:w="2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621"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Date: August 13, 2026</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By:</w:t>
            </w:r>
          </w:p>
        </w:tc>
        <w:tc>
          <w:tcPr>
            <w:tcW w:w="462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/s/ Charles Schoch</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Charles Schoch</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4"/>
              </w:rPr>
            </w:pPr>
            <w:r>
              <w:rPr>
                <w:rFonts w:ascii="Arial" w:hAnsi="Arial"/>
                <w:b/>
                <w:color w:val="000000"/>
                <w:sz w:val="24"/>
              </w:rPr>
              <w:t>Chief Financial Officer</w:t>
            </w:r>
          </w:p>
          <w:p>
            <w:pPr>
              <w:pStyle w:val="TableContents"/>
              <w:bidi w:val="0"/>
              <w:jc w:val="center"/>
              <w:rPr>
                <w:rFonts w:ascii="Times New Roman" w:hAnsi="Times New Roman"/>
                <w:sz w:val="24"/>
              </w:rPr>
            </w:pPr>
            <w:r>
              <w:rPr>
                <w:rFonts w:ascii="Arial" w:hAnsi="Arial"/>
                <w:b/>
                <w:i/>
                <w:color w:val="000000"/>
                <w:sz w:val="24"/>
              </w:rPr>
              <w:t>(principal financial officer and principal</w:t>
            </w:r>
            <w:r>
              <w:rPr>
                <w:rFonts w:ascii="Times New Roman" w:hAnsi="Times New Roman"/>
                <w:color w:val="000000"/>
                <w:sz w:val="24"/>
              </w:rPr>
              <w:t xml:space="preserve"> </w:t>
            </w:r>
          </w:p>
          <w:p>
            <w:pPr>
              <w:pStyle w:val="TableContents"/>
              <w:bidi w:val="0"/>
              <w:spacing w:before="0" w:after="283"/>
              <w:jc w:val="center"/>
              <w:rPr>
                <w:rFonts w:ascii="Arial" w:hAnsi="Arial"/>
                <w:b/>
                <w:i/>
                <w:color w:val="000000"/>
                <w:sz w:val="24"/>
              </w:rPr>
            </w:pPr>
            <w:r>
              <w:rPr>
                <w:rFonts w:ascii="Arial" w:hAnsi="Arial"/>
                <w:b/>
                <w:i/>
                <w:color w:val="000000"/>
                <w:sz w:val="24"/>
              </w:rPr>
              <w:t>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41387/000119312521229437/d203496dex31.htm" TargetMode="External"/><Relationship Id="rId3" Type="http://schemas.openxmlformats.org/officeDocument/2006/relationships/hyperlink" Target="https://www.sec.gov/Archives/edgar/data/0001841387/000119312521229437/d203496dex32.htm" TargetMode="External"/><Relationship Id="rId4" Type="http://schemas.openxmlformats.org/officeDocument/2006/relationships/hyperlink" Target="https://www.sec.gov/Archives/edgar/data/1841387/000095017024066608/cadl-ex3_1.htm" TargetMode="External"/><Relationship Id="rId5" Type="http://schemas.openxmlformats.org/officeDocument/2006/relationships/hyperlink" Target="https://www.sec.gov/Archives/edgar/data/0001841387/000119312521216891/d120909dex41.htm" TargetMode="External"/><Relationship Id="rId6" Type="http://schemas.openxmlformats.org/officeDocument/2006/relationships/hyperlink" Target="https://www.sec.gov/Archives/edgar/data/1841387/000119312526222904/cadl-ex10_1.htm" TargetMode="External"/><Relationship Id="rId7" Type="http://schemas.openxmlformats.org/officeDocument/2006/relationships/hyperlink" Target="https://www.sec.gov/Archives/edgar/data/1841387/000184138726000007/cadl-ex10_1.htm" TargetMode="External"/><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85485</Words>
  <Characters>475133</Characters>
  <CharactersWithSpaces>560566</CharactersWithSpaces>
  <Paragraphs>6676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